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资产处置全部附表及流程图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湄洲湾职业技术学院国有资产处置汇总表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湄洲湾职业技术学院国有资产处置审批表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、湄洲湾职业技术学院国有资产处置清单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4、资产报废处置分级管理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资产报废处置流程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6、资产调拨、置换处置流程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7、资产报损处置流程</w:t>
      </w:r>
    </w:p>
    <w:p>
      <w:pPr>
        <w:pStyle w:val="5"/>
        <w:ind w:left="0" w:leftChars="0" w:firstLine="0" w:firstLineChars="0"/>
        <w:rPr>
          <w:highlight w:val="none"/>
        </w:rPr>
      </w:pPr>
    </w:p>
    <w:p>
      <w:pPr>
        <w:pStyle w:val="5"/>
        <w:ind w:left="0" w:leftChars="0" w:firstLine="0" w:firstLineChars="0"/>
        <w:rPr>
          <w:highlight w:val="none"/>
        </w:rPr>
      </w:pPr>
    </w:p>
    <w:p>
      <w:pPr>
        <w:pStyle w:val="5"/>
        <w:ind w:left="0" w:leftChars="0" w:firstLine="0" w:firstLineChars="0"/>
        <w:rPr>
          <w:highlight w:val="none"/>
        </w:rPr>
      </w:pPr>
    </w:p>
    <w:p>
      <w:pPr>
        <w:pStyle w:val="5"/>
        <w:ind w:left="0" w:leftChars="0" w:firstLine="0" w:firstLineChars="0"/>
        <w:rPr>
          <w:highlight w:val="none"/>
        </w:rPr>
      </w:pPr>
    </w:p>
    <w:p>
      <w:pPr>
        <w:pStyle w:val="5"/>
        <w:ind w:left="0" w:leftChars="0" w:firstLine="0" w:firstLineChars="0"/>
        <w:rPr>
          <w:highlight w:val="none"/>
        </w:rPr>
      </w:pPr>
    </w:p>
    <w:p>
      <w:pPr>
        <w:pStyle w:val="5"/>
        <w:ind w:left="0" w:leftChars="0" w:firstLine="0" w:firstLineChars="0"/>
        <w:rPr>
          <w:highlight w:val="none"/>
        </w:rPr>
      </w:pPr>
    </w:p>
    <w:p>
      <w:pPr>
        <w:pStyle w:val="5"/>
        <w:ind w:left="0" w:leftChars="0" w:firstLine="0" w:firstLineChars="0"/>
        <w:rPr>
          <w:highlight w:val="none"/>
        </w:rPr>
      </w:pPr>
    </w:p>
    <w:p>
      <w:pPr>
        <w:pStyle w:val="5"/>
        <w:ind w:left="0" w:leftChars="0" w:firstLine="0" w:firstLineChars="0"/>
        <w:rPr>
          <w:highlight w:val="none"/>
        </w:rPr>
      </w:pPr>
    </w:p>
    <w:p>
      <w:pPr>
        <w:pStyle w:val="5"/>
        <w:ind w:left="0" w:leftChars="0" w:firstLine="0" w:firstLineChars="0"/>
        <w:rPr>
          <w:highlight w:val="none"/>
        </w:rPr>
      </w:pPr>
    </w:p>
    <w:p>
      <w:pPr>
        <w:pStyle w:val="5"/>
        <w:ind w:left="0" w:leftChars="0" w:firstLine="0" w:firstLineChars="0"/>
        <w:rPr>
          <w:highlight w:val="none"/>
        </w:rPr>
      </w:pPr>
    </w:p>
    <w:p>
      <w:pPr>
        <w:pStyle w:val="5"/>
        <w:ind w:left="0" w:leftChars="0" w:firstLine="0" w:firstLineChars="0"/>
        <w:rPr>
          <w:highlight w:val="none"/>
        </w:rPr>
      </w:pPr>
    </w:p>
    <w:p>
      <w:pPr>
        <w:pStyle w:val="5"/>
        <w:ind w:left="0" w:leftChars="0" w:firstLine="0" w:firstLineChars="0"/>
        <w:rPr>
          <w:highlight w:val="none"/>
        </w:rPr>
      </w:pPr>
    </w:p>
    <w:p>
      <w:pPr>
        <w:pStyle w:val="5"/>
        <w:ind w:left="0" w:leftChars="0" w:firstLine="0" w:firstLineChars="0"/>
        <w:rPr>
          <w:highlight w:val="none"/>
        </w:rPr>
      </w:pPr>
    </w:p>
    <w:p>
      <w:pPr>
        <w:pStyle w:val="5"/>
        <w:ind w:left="0" w:leftChars="0" w:firstLine="0" w:firstLineChars="0"/>
        <w:rPr>
          <w:highlight w:val="none"/>
        </w:rPr>
      </w:pPr>
    </w:p>
    <w:p>
      <w:pPr>
        <w:pStyle w:val="5"/>
        <w:ind w:left="0" w:leftChars="0" w:firstLine="0" w:firstLineChars="0"/>
        <w:rPr>
          <w:highlight w:val="none"/>
        </w:rPr>
      </w:pPr>
    </w:p>
    <w:p>
      <w:pPr>
        <w:pStyle w:val="5"/>
        <w:ind w:left="0" w:leftChars="0" w:firstLine="0" w:firstLineChars="0"/>
        <w:rPr>
          <w:highlight w:val="none"/>
        </w:rPr>
      </w:pPr>
    </w:p>
    <w:p>
      <w:pPr>
        <w:pStyle w:val="5"/>
        <w:ind w:left="0" w:leftChars="0" w:firstLine="0" w:firstLineChars="0"/>
        <w:rPr>
          <w:highlight w:val="none"/>
        </w:rPr>
      </w:pPr>
    </w:p>
    <w:p>
      <w:pPr>
        <w:pStyle w:val="5"/>
        <w:ind w:left="0" w:leftChars="0" w:firstLine="0" w:firstLineChars="0"/>
        <w:rPr>
          <w:highlight w:val="none"/>
        </w:rPr>
      </w:pPr>
    </w:p>
    <w:p>
      <w:pPr>
        <w:pStyle w:val="5"/>
        <w:ind w:left="0" w:leftChars="0" w:firstLine="0" w:firstLineChars="0"/>
        <w:rPr>
          <w:highlight w:val="none"/>
        </w:rPr>
      </w:pPr>
    </w:p>
    <w:p>
      <w:pPr>
        <w:pStyle w:val="5"/>
        <w:ind w:left="0" w:leftChars="0" w:firstLine="0" w:firstLineChars="0"/>
        <w:rPr>
          <w:highlight w:val="none"/>
        </w:rPr>
      </w:pPr>
    </w:p>
    <w:p>
      <w:pPr>
        <w:pStyle w:val="5"/>
        <w:ind w:left="0" w:leftChars="0" w:firstLine="0" w:firstLineChars="0"/>
        <w:rPr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firstLine="0" w:firstLineChars="0"/>
        <w:jc w:val="left"/>
        <w:textAlignment w:val="auto"/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附件1</w:t>
      </w:r>
    </w:p>
    <w:tbl>
      <w:tblPr>
        <w:tblStyle w:val="6"/>
        <w:tblW w:w="8655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2100"/>
        <w:gridCol w:w="1423"/>
        <w:gridCol w:w="1367"/>
        <w:gridCol w:w="1050"/>
        <w:gridCol w:w="19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655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_GBK" w:hAnsi="宋体" w:eastAsia="方正小标宋_GBK" w:cs="宋体"/>
                <w:b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highlight w:val="none"/>
                <w:lang w:eastAsia="zh-CN"/>
              </w:rPr>
              <w:t>湄洲湾职业技术学院国有资产处置汇总表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655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highlight w:val="none"/>
                <w:lang w:eastAsia="zh-CN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  <w:highlight w:val="none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/>
                <w:bCs/>
                <w:spacing w:val="-8"/>
                <w:sz w:val="24"/>
                <w:highlight w:val="none"/>
              </w:rPr>
              <w:t xml:space="preserve">   </w:t>
            </w:r>
            <w:r>
              <w:rPr>
                <w:rFonts w:hint="eastAsia" w:ascii="宋体" w:hAnsi="宋体"/>
                <w:bCs/>
                <w:spacing w:val="-8"/>
                <w:sz w:val="24"/>
                <w:highlight w:val="none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宋体" w:hAnsi="宋体"/>
                <w:bCs/>
                <w:spacing w:val="-8"/>
                <w:sz w:val="24"/>
                <w:highlight w:val="none"/>
              </w:rPr>
              <w:t xml:space="preserve">   年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Times New Roman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Times New Roman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eastAsia="zh-CN"/>
              </w:rPr>
              <w:t>部门</w:t>
            </w:r>
          </w:p>
        </w:tc>
        <w:tc>
          <w:tcPr>
            <w:tcW w:w="3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Times New Roman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eastAsia="zh-CN"/>
              </w:rPr>
              <w:t>处置总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金额</w:t>
            </w:r>
            <w:r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  <w:t>(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元</w:t>
            </w:r>
            <w:r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  <w:t>)</w:t>
            </w:r>
          </w:p>
        </w:tc>
        <w:tc>
          <w:tcPr>
            <w:tcW w:w="1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Times New Roman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Times New Roman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Times New Roman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3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Times New Roman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1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Times New Roman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Times New Roman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Times New Roman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3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Times New Roman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1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Times New Roman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Times New Roman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Times New Roman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3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Times New Roman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1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Times New Roman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3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3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3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3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3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3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3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11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3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12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3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13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3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14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3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15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3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16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3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17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3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18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3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合计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3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学院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资产管理员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：</w:t>
            </w:r>
          </w:p>
          <w:p>
            <w:pPr>
              <w:pStyle w:val="5"/>
              <w:ind w:left="0" w:leftChars="0" w:firstLine="0" w:firstLineChars="0"/>
              <w:rPr>
                <w:rFonts w:hint="eastAsia"/>
                <w:highlight w:val="none"/>
                <w:lang w:eastAsia="zh-CN"/>
              </w:rPr>
            </w:pPr>
          </w:p>
          <w:p>
            <w:pPr>
              <w:pStyle w:val="5"/>
              <w:rPr>
                <w:rFonts w:hint="eastAsia"/>
                <w:highlight w:val="no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（签字）</w:t>
            </w:r>
          </w:p>
        </w:tc>
        <w:tc>
          <w:tcPr>
            <w:tcW w:w="2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后勤管理处负责人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 xml:space="preserve">  </w:t>
            </w:r>
          </w:p>
          <w:p>
            <w:pPr>
              <w:pStyle w:val="5"/>
              <w:ind w:left="0" w:leftChars="0" w:firstLine="0" w:firstLineChars="0"/>
              <w:rPr>
                <w:rFonts w:hint="eastAsia"/>
                <w:highlight w:val="none"/>
              </w:rPr>
            </w:pPr>
          </w:p>
          <w:p>
            <w:pPr>
              <w:pStyle w:val="5"/>
              <w:ind w:left="0" w:leftChars="0" w:firstLine="0" w:firstLineChars="0"/>
              <w:rPr>
                <w:rFonts w:hint="eastAsia"/>
                <w:highlight w:val="none"/>
              </w:rPr>
            </w:pPr>
          </w:p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（签字）</w:t>
            </w:r>
          </w:p>
        </w:tc>
        <w:tc>
          <w:tcPr>
            <w:tcW w:w="2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计划财务处负责人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 xml:space="preserve">  </w:t>
            </w:r>
          </w:p>
          <w:p>
            <w:pPr>
              <w:pStyle w:val="5"/>
              <w:ind w:left="0" w:leftChars="0" w:firstLine="0" w:firstLineChars="0"/>
              <w:rPr>
                <w:rFonts w:hint="eastAsia"/>
                <w:highlight w:val="none"/>
              </w:rPr>
            </w:pPr>
          </w:p>
          <w:p>
            <w:pPr>
              <w:pStyle w:val="5"/>
              <w:ind w:left="0" w:leftChars="0" w:firstLine="0" w:firstLineChars="0"/>
              <w:rPr>
                <w:rFonts w:hint="eastAsia"/>
                <w:highlight w:val="none"/>
              </w:rPr>
            </w:pPr>
          </w:p>
          <w:p>
            <w:pPr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（签字）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43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分管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挂钩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领导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：</w:t>
            </w:r>
          </w:p>
          <w:p>
            <w:pPr>
              <w:pStyle w:val="5"/>
              <w:ind w:left="0" w:leftChars="0" w:firstLine="0" w:firstLineChars="0"/>
              <w:rPr>
                <w:rFonts w:hint="eastAsia"/>
                <w:highlight w:val="none"/>
                <w:lang w:eastAsia="zh-CN"/>
              </w:rPr>
            </w:pPr>
          </w:p>
          <w:p>
            <w:pPr>
              <w:pStyle w:val="5"/>
              <w:rPr>
                <w:rFonts w:hint="eastAsia"/>
                <w:highlight w:val="none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 xml:space="preserve">    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（签字）</w:t>
            </w:r>
          </w:p>
        </w:tc>
        <w:tc>
          <w:tcPr>
            <w:tcW w:w="43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主管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领导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：</w:t>
            </w:r>
          </w:p>
          <w:p>
            <w:pPr>
              <w:pStyle w:val="5"/>
              <w:rPr>
                <w:rFonts w:hint="eastAsia"/>
                <w:highlight w:val="none"/>
                <w:lang w:eastAsia="zh-CN"/>
              </w:rPr>
            </w:pPr>
          </w:p>
          <w:p>
            <w:pPr>
              <w:pStyle w:val="5"/>
              <w:ind w:left="0" w:leftChars="0" w:firstLine="0" w:firstLineChars="0"/>
              <w:rPr>
                <w:rFonts w:hint="eastAsia"/>
                <w:highlight w:val="none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 xml:space="preserve">    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（签字）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8655" w:type="dxa"/>
            <w:gridSpan w:val="6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备注：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eastAsia="zh-CN"/>
              </w:rPr>
              <w:t>本表适用资产报废、报损等处置方式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left"/>
              <w:rPr>
                <w:rFonts w:hint="default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>2.由后勤管理处汇总填写。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firstLine="0" w:firstLineChars="0"/>
        <w:jc w:val="left"/>
        <w:textAlignment w:val="auto"/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附件2</w:t>
      </w:r>
    </w:p>
    <w:tbl>
      <w:tblPr>
        <w:tblStyle w:val="6"/>
        <w:tblW w:w="8655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285"/>
        <w:gridCol w:w="900"/>
        <w:gridCol w:w="870"/>
        <w:gridCol w:w="1275"/>
        <w:gridCol w:w="195"/>
        <w:gridCol w:w="810"/>
        <w:gridCol w:w="270"/>
        <w:gridCol w:w="285"/>
        <w:gridCol w:w="765"/>
        <w:gridCol w:w="21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655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_GBK" w:hAnsi="宋体" w:eastAsia="方正小标宋_GBK" w:cs="宋体"/>
                <w:b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highlight w:val="none"/>
                <w:lang w:eastAsia="zh-CN"/>
              </w:rPr>
              <w:t>湄洲湾职业技术学院国有资产处置审批表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655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highlight w:val="none"/>
                <w:lang w:eastAsia="zh-CN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  <w:highlight w:val="none"/>
              </w:rPr>
              <w:t xml:space="preserve">部门名称（盖章）：    </w:t>
            </w:r>
            <w:r>
              <w:rPr>
                <w:rFonts w:hint="eastAsia" w:ascii="宋体" w:hAnsi="宋体"/>
                <w:bCs/>
                <w:spacing w:val="-8"/>
                <w:sz w:val="24"/>
                <w:highlight w:val="none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宋体" w:hAnsi="宋体"/>
                <w:bCs/>
                <w:spacing w:val="-8"/>
                <w:sz w:val="24"/>
                <w:highlight w:val="none"/>
              </w:rPr>
              <w:t xml:space="preserve">   年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Times New Roman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Times New Roman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资产类别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处置</w:t>
            </w:r>
          </w:p>
          <w:p>
            <w:pPr>
              <w:widowControl/>
              <w:jc w:val="center"/>
              <w:rPr>
                <w:rFonts w:hint="eastAsia" w:ascii="宋体" w:hAnsi="Times New Roman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方式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Times New Roman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数量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Times New Roman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单价</w:t>
            </w:r>
            <w:r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  <w:t>(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元</w:t>
            </w:r>
            <w:r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  <w:t>)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Times New Roman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金额</w:t>
            </w:r>
            <w:r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  <w:t>(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元</w:t>
            </w:r>
            <w:r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  <w:t>)</w:t>
            </w:r>
          </w:p>
        </w:tc>
        <w:tc>
          <w:tcPr>
            <w:tcW w:w="2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Times New Roman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Times New Roman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Times New Roman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Times New Roman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Times New Roman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Times New Roman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Times New Roman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Times New Roman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清单附后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Times New Roman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Times New Roman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Times New Roman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Times New Roman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Times New Roman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Times New Roman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Times New Roman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清单附后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Times New Roman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Times New Roman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Times New Roman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Times New Roman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Times New Roman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Times New Roman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2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Times New Roman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清单附后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清单附后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清单附后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合计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2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处置理由</w:t>
            </w:r>
          </w:p>
        </w:tc>
        <w:tc>
          <w:tcPr>
            <w:tcW w:w="7566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left="0" w:leftChars="0" w:firstLine="0" w:firstLineChars="0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  <w:p>
            <w:pPr>
              <w:pStyle w:val="5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8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鉴定意见</w:t>
            </w:r>
          </w:p>
        </w:tc>
        <w:tc>
          <w:tcPr>
            <w:tcW w:w="3240" w:type="dxa"/>
            <w:gridSpan w:val="4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涉密情况</w:t>
            </w:r>
            <w:r>
              <w:rPr>
                <w:rFonts w:ascii="宋体" w:hAnsi="宋体" w:cs="宋体"/>
                <w:kern w:val="0"/>
                <w:sz w:val="21"/>
                <w:szCs w:val="21"/>
                <w:highlight w:val="none"/>
              </w:rPr>
              <w:t xml:space="preserve">: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 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鉴定小组成员</w:t>
            </w: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职务（职称）</w:t>
            </w: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8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3240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8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8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3240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8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08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3240" w:type="dxa"/>
            <w:gridSpan w:val="4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81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28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二级单位资产管理员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：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5"/>
              <w:ind w:left="0" w:leftChars="0" w:firstLine="0" w:firstLineChars="0"/>
              <w:rPr>
                <w:rFonts w:hint="eastAsia"/>
                <w:highlight w:val="none"/>
                <w:lang w:eastAsia="zh-CN"/>
              </w:rPr>
            </w:pPr>
          </w:p>
          <w:p>
            <w:pPr>
              <w:pStyle w:val="5"/>
              <w:rPr>
                <w:rFonts w:hint="eastAsia"/>
                <w:highlight w:val="no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（签字）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二级单位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部门负责人：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 xml:space="preserve">  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  <w:p>
            <w:pPr>
              <w:pStyle w:val="5"/>
              <w:ind w:left="0" w:leftChars="0" w:firstLine="0" w:firstLineChars="0"/>
              <w:rPr>
                <w:rFonts w:hint="eastAsia"/>
                <w:highlight w:val="none"/>
              </w:rPr>
            </w:pPr>
          </w:p>
          <w:p>
            <w:pPr>
              <w:pStyle w:val="5"/>
              <w:rPr>
                <w:rFonts w:hint="eastAsia"/>
                <w:highlight w:val="none"/>
              </w:rPr>
            </w:pPr>
          </w:p>
          <w:p>
            <w:pPr>
              <w:numPr>
                <w:ilvl w:val="0"/>
                <w:numId w:val="0"/>
              </w:num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（签字）</w:t>
            </w:r>
          </w:p>
        </w:tc>
        <w:tc>
          <w:tcPr>
            <w:tcW w:w="2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公共实训管理中心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负责人：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 xml:space="preserve">  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eastAsia" w:ascii="宋体" w:hAnsi="宋体" w:cs="宋体"/>
                <w:i/>
                <w:iCs/>
                <w:color w:val="A5A5A5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i/>
                <w:iCs/>
                <w:color w:val="A5A5A5"/>
                <w:sz w:val="21"/>
                <w:szCs w:val="21"/>
                <w:highlight w:val="none"/>
                <w:lang w:eastAsia="zh-CN"/>
              </w:rPr>
              <w:t>（教学实训类）</w:t>
            </w:r>
          </w:p>
          <w:p>
            <w:pPr>
              <w:pStyle w:val="5"/>
              <w:ind w:left="0" w:leftChars="0" w:firstLine="0" w:firstLineChars="0"/>
              <w:rPr>
                <w:rFonts w:hint="eastAsia"/>
                <w:highlight w:val="none"/>
                <w:lang w:eastAsia="zh-CN"/>
              </w:rPr>
            </w:pPr>
          </w:p>
          <w:p>
            <w:pPr>
              <w:pStyle w:val="5"/>
              <w:rPr>
                <w:rFonts w:hint="eastAsia"/>
                <w:highlight w:val="no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（签字）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8655" w:type="dxa"/>
            <w:gridSpan w:val="11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备注：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eastAsia="zh-CN"/>
              </w:rPr>
              <w:t>本表适用资产报废、报损、调拨、置换等处置方式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必须附清单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审批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eastAsia="zh-CN"/>
              </w:rPr>
              <w:t>表及清单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 xml:space="preserve">一式四份； 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>报废处置：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eastAsia="zh-CN"/>
              </w:rPr>
              <w:t>二级单位组织本单位至少三人，对资产状况进行初步鉴定；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  <w:t>4.报损处置：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eastAsia="zh-CN"/>
              </w:rPr>
              <w:t>党政联席会议或部（处务会）会议纪要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  <w:t>、资产报损说明报告、安全保卫处证明材料（若有）、赔偿收缴证明、院长办公会议纪要等；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eastAsia="zh-CN"/>
              </w:rPr>
              <w:t>教学实训类须增加公共实训管理中心审批；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二级单位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eastAsia="zh-CN"/>
              </w:rPr>
              <w:t>提请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eastAsia="zh-CN"/>
              </w:rPr>
              <w:t>处置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eastAsia="zh-CN"/>
              </w:rPr>
              <w:t>批量价值超过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  <w:t>10万元（含）以上的，须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>附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党政联席会议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eastAsia="zh-CN"/>
              </w:rPr>
              <w:t>或部（处务会）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eastAsia="zh-CN"/>
              </w:rPr>
              <w:t>会议纪要。</w:t>
            </w:r>
          </w:p>
        </w:tc>
      </w:tr>
    </w:tbl>
    <w:p>
      <w:pPr>
        <w:widowControl/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firstLine="0" w:firstLineChars="0"/>
        <w:jc w:val="left"/>
        <w:textAlignment w:val="auto"/>
        <w:rPr>
          <w:rFonts w:hint="default" w:ascii="仿宋_GB2312" w:hAnsi="宋体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附件3</w:t>
      </w:r>
    </w:p>
    <w:tbl>
      <w:tblPr>
        <w:tblStyle w:val="6"/>
        <w:tblW w:w="4857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29"/>
        <w:gridCol w:w="615"/>
        <w:gridCol w:w="975"/>
        <w:gridCol w:w="556"/>
        <w:gridCol w:w="855"/>
        <w:gridCol w:w="960"/>
        <w:gridCol w:w="165"/>
        <w:gridCol w:w="1665"/>
        <w:gridCol w:w="399"/>
        <w:gridCol w:w="576"/>
        <w:gridCol w:w="700"/>
        <w:gridCol w:w="664"/>
        <w:gridCol w:w="120"/>
        <w:gridCol w:w="780"/>
        <w:gridCol w:w="675"/>
        <w:gridCol w:w="303"/>
        <w:gridCol w:w="635"/>
        <w:gridCol w:w="343"/>
        <w:gridCol w:w="459"/>
        <w:gridCol w:w="13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/>
                <w:sz w:val="40"/>
                <w:szCs w:val="40"/>
                <w:highlight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highlight w:val="none"/>
                <w:lang w:eastAsia="zh-CN"/>
              </w:rPr>
              <w:t>湄洲湾职业技术学院国有资产处置清单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364" w:type="pct"/>
            <w:gridSpan w:val="2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单位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（盖章）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部门二级资产管理员：</w:t>
            </w:r>
          </w:p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（移出/报废）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809" w:type="pct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部门二级资产管理员：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（仅移入，报废不填）</w:t>
            </w:r>
          </w:p>
        </w:tc>
        <w:tc>
          <w:tcPr>
            <w:tcW w:w="704" w:type="pct"/>
            <w:gridSpan w:val="3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681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highlight w:val="none"/>
              </w:rPr>
              <w:t>学院</w:t>
            </w:r>
            <w:r>
              <w:rPr>
                <w:rStyle w:val="9"/>
                <w:rFonts w:hint="default"/>
                <w:highlight w:val="none"/>
              </w:rPr>
              <w:t>资产</w:t>
            </w:r>
            <w:r>
              <w:rPr>
                <w:rStyle w:val="9"/>
                <w:rFonts w:hint="eastAsia"/>
                <w:highlight w:val="none"/>
                <w:lang w:eastAsia="zh-CN"/>
              </w:rPr>
              <w:t>管理员</w:t>
            </w:r>
            <w:r>
              <w:rPr>
                <w:rStyle w:val="9"/>
                <w:rFonts w:hint="default"/>
                <w:highlight w:val="none"/>
              </w:rPr>
              <w:t>：</w:t>
            </w:r>
          </w:p>
        </w:tc>
        <w:tc>
          <w:tcPr>
            <w:tcW w:w="1001" w:type="pct"/>
            <w:gridSpan w:val="4"/>
            <w:tcBorders>
              <w:top w:val="nil"/>
              <w:left w:val="nil"/>
              <w:right w:val="nil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64" w:type="pct"/>
            <w:gridSpan w:val="2"/>
            <w:vMerge w:val="continue"/>
            <w:tcBorders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779" w:type="pct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部门负责人：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（移出/报废）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809" w:type="pct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部门负责人：</w:t>
            </w:r>
          </w:p>
          <w:p>
            <w:pPr>
              <w:jc w:val="left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（仅移入，报废不填）</w:t>
            </w:r>
          </w:p>
        </w:tc>
        <w:tc>
          <w:tcPr>
            <w:tcW w:w="704" w:type="pct"/>
            <w:gridSpan w:val="3"/>
            <w:tcBorders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036" w:type="pct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单位：元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序号</w:t>
            </w:r>
          </w:p>
        </w:tc>
        <w:tc>
          <w:tcPr>
            <w:tcW w:w="342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凭证号</w:t>
            </w:r>
          </w:p>
        </w:tc>
        <w:tc>
          <w:tcPr>
            <w:tcW w:w="3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表单号</w:t>
            </w:r>
          </w:p>
        </w:tc>
        <w:tc>
          <w:tcPr>
            <w:tcW w:w="512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资产编号</w:t>
            </w:r>
          </w:p>
        </w:tc>
        <w:tc>
          <w:tcPr>
            <w:tcW w:w="408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名称</w:t>
            </w:r>
          </w:p>
        </w:tc>
        <w:tc>
          <w:tcPr>
            <w:tcW w:w="60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型号</w:t>
            </w:r>
          </w:p>
        </w:tc>
        <w:tc>
          <w:tcPr>
            <w:tcW w:w="354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规格</w:t>
            </w:r>
          </w:p>
        </w:tc>
        <w:tc>
          <w:tcPr>
            <w:tcW w:w="2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单位</w:t>
            </w:r>
          </w:p>
        </w:tc>
        <w:tc>
          <w:tcPr>
            <w:tcW w:w="56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帐面结存</w:t>
            </w:r>
          </w:p>
        </w:tc>
        <w:tc>
          <w:tcPr>
            <w:tcW w:w="2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Style w:val="9"/>
                <w:rFonts w:hint="default"/>
                <w:highlight w:val="none"/>
              </w:rPr>
              <w:t>存放地点</w:t>
            </w:r>
          </w:p>
        </w:tc>
        <w:tc>
          <w:tcPr>
            <w:tcW w:w="340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保管人</w:t>
            </w:r>
          </w:p>
        </w:tc>
        <w:tc>
          <w:tcPr>
            <w:tcW w:w="291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登记日期</w:t>
            </w:r>
          </w:p>
        </w:tc>
        <w:tc>
          <w:tcPr>
            <w:tcW w:w="4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9"/>
                <w:rFonts w:hint="default"/>
                <w:highlight w:val="none"/>
              </w:rPr>
            </w:pPr>
            <w:r>
              <w:rPr>
                <w:rStyle w:val="9"/>
                <w:rFonts w:hint="default"/>
                <w:highlight w:val="none"/>
              </w:rPr>
              <w:t>备注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（使用年限）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342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3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512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408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6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354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2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28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数量</w:t>
            </w: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 xml:space="preserve">金额 </w:t>
            </w:r>
          </w:p>
        </w:tc>
        <w:tc>
          <w:tcPr>
            <w:tcW w:w="2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340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291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4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0" w:type="pct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待报废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34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51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40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35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28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3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2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34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51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40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35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28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3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2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34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51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40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35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28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3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2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34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51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40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35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28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3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2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34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51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40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35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28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3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2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0" w:type="pct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</w:rPr>
              <w:t>待移交</w:t>
            </w:r>
            <w:r>
              <w:rPr>
                <w:rFonts w:hint="eastAsia"/>
                <w:highlight w:val="none"/>
                <w:lang w:eastAsia="zh-CN"/>
              </w:rPr>
              <w:t>、待置换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34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51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40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35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28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3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2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34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51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40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35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28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3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2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34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51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40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35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28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3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2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34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51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40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35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28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3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2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34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51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40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35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28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3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2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00" w:type="pct"/>
            <w:gridSpan w:val="21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备注：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eastAsia="zh-CN"/>
              </w:rPr>
              <w:t>本表作为审批单附表，适用资产报废、报损、调拨、置换等处置方式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；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</w:p>
        </w:tc>
      </w:tr>
    </w:tbl>
    <w:p>
      <w:pPr>
        <w:pStyle w:val="5"/>
        <w:ind w:left="0" w:leftChars="0" w:firstLine="0" w:firstLineChars="0"/>
        <w:rPr>
          <w:rFonts w:hint="eastAsia" w:ascii="仿宋_GB2312" w:hAnsi="仿宋" w:eastAsia="仿宋_GB2312"/>
          <w:sz w:val="28"/>
          <w:szCs w:val="28"/>
          <w:highlight w:val="none"/>
        </w:rPr>
        <w:sectPr>
          <w:pgSz w:w="16838" w:h="11905" w:orient="landscape"/>
          <w:pgMar w:top="1803" w:right="1440" w:bottom="1803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type="lines" w:linePitch="319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firstLine="0" w:firstLineChars="0"/>
        <w:jc w:val="left"/>
        <w:textAlignment w:val="auto"/>
        <w:rPr>
          <w:rFonts w:hint="eastAsia" w:ascii="仿宋_GB2312" w:hAnsi="宋体" w:eastAsia="仿宋_GB2312" w:cs="Times New Roman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  <w:highlight w:val="none"/>
          <w:lang w:val="en-US" w:eastAsia="zh-CN"/>
        </w:rPr>
        <w:t xml:space="preserve">附件4 </w:t>
      </w:r>
    </w:p>
    <w:p>
      <w:pPr>
        <w:pStyle w:val="5"/>
        <w:rPr>
          <w:highlight w:val="none"/>
        </w:rPr>
      </w:pPr>
      <w:r>
        <w:rPr>
          <w:highlight w:val="none"/>
        </w:rPr>
        <w:drawing>
          <wp:inline distT="0" distB="0" distL="114300" distR="114300">
            <wp:extent cx="5266690" cy="6541770"/>
            <wp:effectExtent l="0" t="0" r="10160" b="1143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654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rPr>
          <w:highlight w:val="none"/>
        </w:rPr>
      </w:pPr>
    </w:p>
    <w:p>
      <w:pPr>
        <w:pStyle w:val="5"/>
        <w:rPr>
          <w:highlight w:val="none"/>
        </w:rPr>
      </w:pPr>
    </w:p>
    <w:p>
      <w:pPr>
        <w:pStyle w:val="5"/>
        <w:rPr>
          <w:highlight w:val="none"/>
        </w:rPr>
      </w:pPr>
    </w:p>
    <w:p>
      <w:pPr>
        <w:pStyle w:val="5"/>
        <w:rPr>
          <w:highlight w:val="none"/>
        </w:rPr>
      </w:pPr>
    </w:p>
    <w:p>
      <w:pPr>
        <w:pStyle w:val="5"/>
        <w:rPr>
          <w:highlight w:val="none"/>
        </w:rPr>
      </w:pPr>
    </w:p>
    <w:p>
      <w:pPr>
        <w:pStyle w:val="5"/>
        <w:rPr>
          <w:highlight w:val="none"/>
        </w:rPr>
      </w:pPr>
    </w:p>
    <w:p>
      <w:pPr>
        <w:adjustRightInd w:val="0"/>
        <w:spacing w:line="480" w:lineRule="exact"/>
        <w:ind w:firstLine="0" w:firstLineChars="0"/>
        <w:jc w:val="left"/>
        <w:rPr>
          <w:highlight w:val="none"/>
        </w:rPr>
      </w:pPr>
      <w:r>
        <w:rPr>
          <w:rFonts w:hint="eastAsia" w:ascii="仿宋_GB2312" w:hAnsi="宋体" w:eastAsia="仿宋_GB2312" w:cs="Times New Roman"/>
          <w:sz w:val="32"/>
          <w:szCs w:val="32"/>
          <w:highlight w:val="none"/>
          <w:lang w:eastAsia="zh-CN"/>
        </w:rPr>
        <w:t>附件</w:t>
      </w:r>
      <w:r>
        <w:rPr>
          <w:rFonts w:hint="eastAsia" w:ascii="仿宋_GB2312" w:hAnsi="宋体" w:eastAsia="仿宋_GB2312" w:cs="Times New Roman"/>
          <w:sz w:val="32"/>
          <w:szCs w:val="32"/>
          <w:highlight w:val="none"/>
          <w:lang w:val="en-US" w:eastAsia="zh-CN"/>
        </w:rPr>
        <w:t>5</w:t>
      </w:r>
    </w:p>
    <w:p>
      <w:pPr>
        <w:pStyle w:val="5"/>
        <w:ind w:left="0" w:leftChars="0" w:firstLine="0" w:firstLineChars="0"/>
        <w:rPr>
          <w:highlight w:val="none"/>
        </w:rPr>
      </w:pPr>
      <w:r>
        <w:rPr>
          <w:highlight w:val="none"/>
        </w:rPr>
        <w:drawing>
          <wp:inline distT="0" distB="0" distL="114300" distR="114300">
            <wp:extent cx="5264150" cy="6018530"/>
            <wp:effectExtent l="0" t="0" r="12700" b="127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601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600" w:firstLineChars="200"/>
        <w:textAlignment w:val="auto"/>
        <w:rPr>
          <w:rFonts w:hint="eastAsia" w:ascii="仿宋_GB2312" w:hAnsi="仿宋" w:eastAsia="仿宋_GB2312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600" w:firstLineChars="200"/>
        <w:textAlignment w:val="auto"/>
        <w:rPr>
          <w:rFonts w:hint="eastAsia" w:ascii="仿宋_GB2312" w:hAnsi="仿宋" w:eastAsia="仿宋_GB2312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600" w:firstLineChars="200"/>
        <w:textAlignment w:val="auto"/>
        <w:rPr>
          <w:rFonts w:hint="eastAsia" w:ascii="仿宋_GB2312" w:hAnsi="仿宋" w:eastAsia="仿宋_GB2312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600" w:firstLineChars="200"/>
        <w:textAlignment w:val="auto"/>
        <w:rPr>
          <w:rFonts w:hint="eastAsia" w:ascii="仿宋_GB2312" w:hAnsi="仿宋" w:eastAsia="仿宋_GB2312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600" w:firstLineChars="200"/>
        <w:textAlignment w:val="auto"/>
        <w:rPr>
          <w:rFonts w:hint="eastAsia" w:ascii="仿宋_GB2312" w:hAnsi="仿宋" w:eastAsia="仿宋_GB2312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600" w:firstLineChars="200"/>
        <w:textAlignment w:val="auto"/>
        <w:rPr>
          <w:rFonts w:hint="eastAsia" w:ascii="仿宋_GB2312" w:hAnsi="仿宋" w:eastAsia="仿宋_GB2312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600" w:firstLineChars="200"/>
        <w:textAlignment w:val="auto"/>
        <w:rPr>
          <w:rFonts w:hint="eastAsia" w:ascii="仿宋_GB2312" w:hAnsi="仿宋" w:eastAsia="仿宋_GB2312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600" w:firstLineChars="200"/>
        <w:textAlignment w:val="auto"/>
        <w:rPr>
          <w:rFonts w:hint="eastAsia" w:ascii="仿宋_GB2312" w:hAnsi="仿宋" w:eastAsia="仿宋_GB2312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600" w:firstLineChars="200"/>
        <w:textAlignment w:val="auto"/>
        <w:rPr>
          <w:rFonts w:hint="eastAsia" w:ascii="仿宋_GB2312" w:hAnsi="仿宋" w:eastAsia="仿宋_GB2312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600" w:firstLineChars="200"/>
        <w:textAlignment w:val="auto"/>
        <w:rPr>
          <w:rFonts w:hint="eastAsia" w:ascii="仿宋_GB2312" w:hAnsi="仿宋" w:eastAsia="仿宋_GB2312"/>
          <w:sz w:val="30"/>
          <w:szCs w:val="30"/>
          <w:highlight w:val="none"/>
          <w:lang w:val="en-US" w:eastAsia="zh-CN"/>
        </w:rPr>
      </w:pPr>
    </w:p>
    <w:p>
      <w:pPr>
        <w:adjustRightInd w:val="0"/>
        <w:spacing w:line="480" w:lineRule="exact"/>
        <w:jc w:val="left"/>
        <w:rPr>
          <w:rFonts w:hint="eastAsia" w:ascii="仿宋_GB2312" w:hAnsi="宋体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  <w:highlight w:val="none"/>
          <w:lang w:eastAsia="zh-CN"/>
        </w:rPr>
        <w:t>附件</w:t>
      </w:r>
      <w:r>
        <w:rPr>
          <w:rFonts w:hint="eastAsia" w:ascii="仿宋_GB2312" w:hAnsi="宋体" w:eastAsia="仿宋_GB2312" w:cs="Times New Roman"/>
          <w:sz w:val="32"/>
          <w:szCs w:val="32"/>
          <w:highlight w:val="none"/>
          <w:lang w:val="en-US" w:eastAsia="zh-CN"/>
        </w:rPr>
        <w:t>6</w:t>
      </w:r>
    </w:p>
    <w:p>
      <w:pPr>
        <w:pStyle w:val="5"/>
        <w:ind w:left="0" w:leftChars="0" w:firstLine="0" w:firstLineChars="0"/>
        <w:rPr>
          <w:highlight w:val="none"/>
        </w:rPr>
      </w:pPr>
      <w:r>
        <w:rPr>
          <w:highlight w:val="none"/>
        </w:rPr>
        <w:drawing>
          <wp:inline distT="0" distB="0" distL="114300" distR="114300">
            <wp:extent cx="3476625" cy="5267325"/>
            <wp:effectExtent l="0" t="0" r="9525" b="9525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ind w:left="0" w:leftChars="0" w:firstLine="0" w:firstLineChars="0"/>
        <w:rPr>
          <w:highlight w:val="none"/>
        </w:rPr>
      </w:pPr>
    </w:p>
    <w:p>
      <w:pPr>
        <w:pStyle w:val="5"/>
        <w:ind w:left="0" w:leftChars="0" w:firstLine="0" w:firstLineChars="0"/>
        <w:rPr>
          <w:highlight w:val="none"/>
        </w:rPr>
      </w:pPr>
    </w:p>
    <w:p>
      <w:pPr>
        <w:pStyle w:val="5"/>
        <w:ind w:left="0" w:leftChars="0" w:firstLine="0" w:firstLineChars="0"/>
        <w:rPr>
          <w:highlight w:val="none"/>
        </w:rPr>
      </w:pPr>
    </w:p>
    <w:p>
      <w:pPr>
        <w:pStyle w:val="5"/>
        <w:ind w:left="0" w:leftChars="0" w:firstLine="0" w:firstLineChars="0"/>
        <w:rPr>
          <w:highlight w:val="none"/>
        </w:rPr>
      </w:pPr>
    </w:p>
    <w:p>
      <w:pPr>
        <w:pStyle w:val="5"/>
        <w:ind w:left="0" w:leftChars="0" w:firstLine="0" w:firstLineChars="0"/>
        <w:rPr>
          <w:highlight w:val="none"/>
        </w:rPr>
      </w:pPr>
    </w:p>
    <w:p>
      <w:pPr>
        <w:pStyle w:val="5"/>
        <w:ind w:left="0" w:leftChars="0" w:firstLine="0" w:firstLineChars="0"/>
        <w:rPr>
          <w:highlight w:val="none"/>
        </w:rPr>
      </w:pPr>
    </w:p>
    <w:p>
      <w:pPr>
        <w:pStyle w:val="5"/>
        <w:ind w:left="0" w:leftChars="0" w:firstLine="0" w:firstLineChars="0"/>
        <w:rPr>
          <w:highlight w:val="none"/>
        </w:rPr>
      </w:pPr>
    </w:p>
    <w:p>
      <w:pPr>
        <w:pStyle w:val="5"/>
        <w:ind w:left="0" w:leftChars="0" w:firstLine="0" w:firstLineChars="0"/>
        <w:rPr>
          <w:highlight w:val="none"/>
        </w:rPr>
      </w:pPr>
    </w:p>
    <w:p>
      <w:pPr>
        <w:pStyle w:val="5"/>
        <w:ind w:left="0" w:leftChars="0" w:firstLine="0" w:firstLineChars="0"/>
        <w:rPr>
          <w:highlight w:val="none"/>
        </w:rPr>
      </w:pPr>
    </w:p>
    <w:p>
      <w:pPr>
        <w:pStyle w:val="5"/>
        <w:ind w:left="0" w:leftChars="0" w:firstLine="0" w:firstLineChars="0"/>
        <w:rPr>
          <w:highlight w:val="none"/>
        </w:rPr>
      </w:pPr>
    </w:p>
    <w:p>
      <w:pPr>
        <w:pStyle w:val="5"/>
        <w:ind w:left="0" w:leftChars="0" w:firstLine="0" w:firstLineChars="0"/>
        <w:rPr>
          <w:highlight w:val="none"/>
        </w:rPr>
      </w:pPr>
    </w:p>
    <w:p>
      <w:pPr>
        <w:adjustRightInd w:val="0"/>
        <w:spacing w:line="480" w:lineRule="exact"/>
        <w:jc w:val="left"/>
        <w:rPr>
          <w:rFonts w:hint="eastAsia" w:ascii="仿宋_GB2312" w:hAnsi="宋体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  <w:highlight w:val="none"/>
          <w:lang w:eastAsia="zh-CN"/>
        </w:rPr>
        <w:t>附件</w:t>
      </w:r>
      <w:r>
        <w:rPr>
          <w:rFonts w:hint="eastAsia" w:ascii="仿宋_GB2312" w:hAnsi="宋体" w:eastAsia="仿宋_GB2312" w:cs="Times New Roman"/>
          <w:sz w:val="32"/>
          <w:szCs w:val="32"/>
          <w:highlight w:val="none"/>
          <w:lang w:val="en-US" w:eastAsia="zh-CN"/>
        </w:rPr>
        <w:t>7</w:t>
      </w:r>
    </w:p>
    <w:p>
      <w:pPr>
        <w:pStyle w:val="5"/>
        <w:ind w:left="0" w:leftChars="0" w:firstLine="0" w:firstLineChars="0"/>
        <w:rPr>
          <w:rFonts w:hint="eastAsia"/>
          <w:highlight w:val="none"/>
        </w:rPr>
      </w:pPr>
      <w:r>
        <w:rPr>
          <w:highlight w:val="none"/>
        </w:rPr>
        <w:drawing>
          <wp:inline distT="0" distB="0" distL="114300" distR="114300">
            <wp:extent cx="5265420" cy="6084570"/>
            <wp:effectExtent l="0" t="0" r="11430" b="1143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608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/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7</w:t>
    </w:r>
    <w:r>
      <w:rPr>
        <w:lang w:val="zh-CN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8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8"/>
                      </w:rPr>
                    </w:pPr>
                    <w:r>
                      <w:fldChar w:fldCharType="begin"/>
                    </w:r>
                    <w:r>
                      <w:rPr>
                        <w:rStyle w:val="8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8"/>
                      </w:rPr>
                      <w:t>2</w:t>
                    </w:r>
                    <w: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2MDc5M2Y2YmFlNDY0NzdiMDE2Njc0MzM1MTBkODAifQ=="/>
  </w:docVars>
  <w:rsids>
    <w:rsidRoot w:val="54AB2560"/>
    <w:rsid w:val="54AB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First Indent"/>
    <w:basedOn w:val="2"/>
    <w:qFormat/>
    <w:uiPriority w:val="0"/>
    <w:pPr>
      <w:ind w:firstLine="420" w:firstLineChars="100"/>
    </w:pPr>
    <w:rPr>
      <w:kern w:val="0"/>
      <w:sz w:val="20"/>
      <w:szCs w:val="20"/>
    </w:rPr>
  </w:style>
  <w:style w:type="character" w:styleId="8">
    <w:name w:val="page number"/>
    <w:basedOn w:val="7"/>
    <w:qFormat/>
    <w:uiPriority w:val="0"/>
  </w:style>
  <w:style w:type="character" w:customStyle="1" w:styleId="9">
    <w:name w:val="font6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2023-11-21T09:15:00Z</dcterms:created>
  <dc:creator>李杜白﹏₯㎕、</dc:creator>
  <cp:lastModifiedBy>李杜白﹏₯㎕、</cp:lastModifiedBy>
  <dcterms:modified xsi:type="dcterms:W3CDTF">2023-11-21T09:16:57Z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3C0473FA610446C0823C78F6E312794B_11</vt:lpwstr>
  </property>
</Properties>
</file>