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cs="宋体"/>
          <w:b/>
          <w:color w:val="auto"/>
          <w:sz w:val="28"/>
          <w:szCs w:val="28"/>
          <w:highlight w:val="none"/>
        </w:rPr>
      </w:pPr>
      <w:bookmarkStart w:id="0" w:name="_Toc26627"/>
      <w:r>
        <w:rPr>
          <w:rFonts w:hint="eastAsia" w:ascii="宋体" w:hAnsi="宋体" w:cs="宋体"/>
          <w:b/>
          <w:color w:val="auto"/>
          <w:sz w:val="28"/>
          <w:szCs w:val="28"/>
          <w:highlight w:val="none"/>
        </w:rPr>
        <w:t>本文件已经我单位审核，请按此文件发布!</w:t>
      </w:r>
    </w:p>
    <w:p>
      <w:pPr>
        <w:spacing w:line="360" w:lineRule="auto"/>
        <w:ind w:firstLine="4337" w:firstLineChars="1543"/>
        <w:rPr>
          <w:rFonts w:ascii="宋体" w:hAnsi="宋体" w:cs="宋体"/>
          <w:b/>
          <w:bCs/>
          <w:color w:val="auto"/>
          <w:sz w:val="28"/>
          <w:szCs w:val="28"/>
          <w:highlight w:val="none"/>
        </w:rPr>
      </w:pPr>
      <w:r>
        <w:rPr>
          <w:rFonts w:hint="eastAsia" w:ascii="宋体" w:hAnsi="宋体" w:cs="宋体"/>
          <w:b/>
          <w:bCs/>
          <w:color w:val="auto"/>
          <w:sz w:val="28"/>
          <w:szCs w:val="28"/>
          <w:highlight w:val="none"/>
        </w:rPr>
        <w:t>盖章：</w:t>
      </w:r>
    </w:p>
    <w:p>
      <w:pPr>
        <w:wordWrap w:val="0"/>
        <w:adjustRightInd w:val="0"/>
        <w:ind w:right="600"/>
        <w:rPr>
          <w:rFonts w:ascii="宋体" w:hAnsi="宋体" w:cs="宋体"/>
          <w:b/>
          <w:bCs/>
          <w:color w:val="auto"/>
          <w:sz w:val="28"/>
          <w:szCs w:val="28"/>
          <w:highlight w:val="none"/>
        </w:rPr>
      </w:pPr>
    </w:p>
    <w:p>
      <w:pPr>
        <w:wordWrap w:val="0"/>
        <w:adjustRightInd w:val="0"/>
        <w:ind w:right="600"/>
        <w:rPr>
          <w:rFonts w:ascii="宋体" w:hAnsi="宋体" w:cs="宋体"/>
          <w:b/>
          <w:color w:val="auto"/>
          <w:sz w:val="72"/>
          <w:szCs w:val="72"/>
          <w:highlight w:val="none"/>
        </w:rPr>
      </w:pPr>
    </w:p>
    <w:p>
      <w:pPr>
        <w:spacing w:line="360" w:lineRule="auto"/>
        <w:ind w:firstLine="708" w:firstLineChars="98"/>
        <w:rPr>
          <w:rFonts w:ascii="宋体" w:hAnsi="宋体" w:cs="宋体"/>
          <w:b/>
          <w:color w:val="auto"/>
          <w:sz w:val="72"/>
          <w:szCs w:val="72"/>
          <w:highlight w:val="none"/>
        </w:rPr>
      </w:pPr>
    </w:p>
    <w:p>
      <w:pPr>
        <w:spacing w:line="264" w:lineRule="auto"/>
        <w:rPr>
          <w:rFonts w:ascii="宋体" w:hAnsi="宋体" w:cs="宋体"/>
          <w:b/>
          <w:color w:val="auto"/>
          <w:sz w:val="84"/>
          <w:szCs w:val="84"/>
          <w:highlight w:val="none"/>
        </w:rPr>
      </w:pPr>
      <w:r>
        <w:rPr>
          <w:rFonts w:hint="eastAsia" w:ascii="宋体" w:hAnsi="宋体" w:cs="宋体"/>
          <w:b/>
          <w:color w:val="auto"/>
          <w:sz w:val="72"/>
          <w:szCs w:val="72"/>
          <w:highlight w:val="none"/>
        </w:rPr>
        <w:t xml:space="preserve">      公开招标文件</w:t>
      </w:r>
    </w:p>
    <w:p>
      <w:pPr>
        <w:tabs>
          <w:tab w:val="left" w:pos="4008"/>
        </w:tabs>
        <w:spacing w:line="264" w:lineRule="auto"/>
        <w:rPr>
          <w:rFonts w:ascii="宋体" w:hAnsi="宋体" w:cs="宋体"/>
          <w:color w:val="auto"/>
          <w:highlight w:val="none"/>
        </w:rPr>
      </w:pPr>
    </w:p>
    <w:p>
      <w:pPr>
        <w:pStyle w:val="20"/>
        <w:ind w:left="420" w:firstLine="480"/>
        <w:rPr>
          <w:rFonts w:ascii="宋体" w:hAnsi="宋体" w:cs="宋体"/>
          <w:color w:val="auto"/>
          <w:highlight w:val="none"/>
        </w:rPr>
      </w:pPr>
    </w:p>
    <w:p>
      <w:pPr>
        <w:pStyle w:val="20"/>
        <w:ind w:left="420" w:firstLine="480"/>
        <w:rPr>
          <w:rFonts w:ascii="宋体" w:hAnsi="宋体" w:cs="宋体"/>
          <w:color w:val="auto"/>
          <w:highlight w:val="none"/>
        </w:rPr>
      </w:pPr>
    </w:p>
    <w:p>
      <w:pPr>
        <w:pStyle w:val="20"/>
        <w:ind w:left="0" w:leftChars="0" w:firstLine="0" w:firstLineChars="0"/>
        <w:rPr>
          <w:rFonts w:ascii="宋体" w:hAnsi="宋体" w:cs="宋体"/>
          <w:color w:val="auto"/>
          <w:highlight w:val="none"/>
        </w:rPr>
      </w:pPr>
    </w:p>
    <w:p>
      <w:pPr>
        <w:pStyle w:val="20"/>
        <w:ind w:left="420" w:firstLine="480"/>
        <w:rPr>
          <w:rFonts w:ascii="宋体" w:hAnsi="宋体" w:cs="宋体"/>
          <w:color w:val="auto"/>
          <w:highlight w:val="none"/>
        </w:rPr>
      </w:pPr>
    </w:p>
    <w:p>
      <w:pPr>
        <w:tabs>
          <w:tab w:val="left" w:pos="4008"/>
        </w:tabs>
        <w:spacing w:line="360" w:lineRule="auto"/>
        <w:ind w:firstLine="1606" w:firstLineChars="500"/>
        <w:rPr>
          <w:rFonts w:ascii="宋体" w:hAnsi="宋体" w:cs="宋体"/>
          <w:b/>
          <w:color w:val="auto"/>
          <w:sz w:val="32"/>
          <w:szCs w:val="28"/>
          <w:highlight w:val="none"/>
        </w:rPr>
      </w:pPr>
      <w:r>
        <w:rPr>
          <w:rFonts w:hint="eastAsia" w:ascii="宋体" w:hAnsi="宋体" w:cs="宋体"/>
          <w:b/>
          <w:color w:val="auto"/>
          <w:sz w:val="32"/>
          <w:szCs w:val="28"/>
          <w:highlight w:val="none"/>
        </w:rPr>
        <w:t>招标编号：闽莆建融【F-2022】采招019号</w:t>
      </w:r>
    </w:p>
    <w:p>
      <w:pPr>
        <w:tabs>
          <w:tab w:val="left" w:pos="4008"/>
        </w:tabs>
        <w:spacing w:line="360" w:lineRule="auto"/>
        <w:ind w:left="3202" w:leftChars="760" w:hanging="1606" w:hangingChars="500"/>
        <w:rPr>
          <w:rFonts w:ascii="宋体" w:hAnsi="宋体" w:cs="宋体"/>
          <w:b/>
          <w:color w:val="auto"/>
          <w:sz w:val="32"/>
          <w:szCs w:val="28"/>
          <w:highlight w:val="none"/>
        </w:rPr>
      </w:pPr>
      <w:r>
        <w:rPr>
          <w:rFonts w:hint="eastAsia" w:ascii="宋体" w:hAnsi="宋体" w:cs="宋体"/>
          <w:b/>
          <w:color w:val="auto"/>
          <w:sz w:val="32"/>
          <w:szCs w:val="28"/>
          <w:highlight w:val="none"/>
        </w:rPr>
        <w:t>项目名称：</w:t>
      </w:r>
      <w:r>
        <w:rPr>
          <w:rFonts w:hint="eastAsia" w:ascii="宋体" w:hAnsi="宋体" w:cs="宋体"/>
          <w:b/>
          <w:bCs/>
          <w:color w:val="auto"/>
          <w:sz w:val="32"/>
          <w:szCs w:val="32"/>
          <w:highlight w:val="none"/>
        </w:rPr>
        <w:t>电气自动化技术专业教学资源库（二期）</w:t>
      </w:r>
    </w:p>
    <w:p>
      <w:pPr>
        <w:pStyle w:val="12"/>
        <w:ind w:firstLine="0" w:firstLineChars="0"/>
        <w:rPr>
          <w:rFonts w:ascii="宋体" w:hAnsi="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pStyle w:val="52"/>
        <w:ind w:firstLine="0" w:firstLineChars="0"/>
        <w:rPr>
          <w:rFonts w:ascii="宋体" w:hAnsi="宋体" w:eastAsia="宋体" w:cs="宋体"/>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28"/>
          <w:highlight w:val="none"/>
        </w:rPr>
        <w:t xml:space="preserve"> 招标人：湄洲湾职业技术学院</w:t>
      </w:r>
      <w:r>
        <w:rPr>
          <w:rFonts w:hint="eastAsia" w:ascii="宋体" w:hAnsi="宋体" w:cs="宋体"/>
          <w:b/>
          <w:color w:val="auto"/>
          <w:sz w:val="32"/>
          <w:szCs w:val="32"/>
          <w:highlight w:val="none"/>
        </w:rPr>
        <w:t>（盖章）</w:t>
      </w: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招标代理机构：建融建设管理集团有限责任公司 （盖章）</w:t>
      </w:r>
    </w:p>
    <w:p>
      <w:pPr>
        <w:tabs>
          <w:tab w:val="left" w:pos="4008"/>
        </w:tabs>
        <w:spacing w:line="360" w:lineRule="auto"/>
        <w:ind w:firstLine="3534" w:firstLineChars="1100"/>
        <w:rPr>
          <w:rFonts w:ascii="宋体" w:hAnsi="宋体" w:cs="宋体"/>
          <w:b/>
          <w:color w:val="auto"/>
          <w:sz w:val="32"/>
          <w:szCs w:val="28"/>
          <w:highlight w:val="none"/>
        </w:rPr>
      </w:pPr>
      <w:r>
        <w:rPr>
          <w:rFonts w:hint="eastAsia" w:ascii="宋体" w:hAnsi="宋体" w:cs="宋体"/>
          <w:b/>
          <w:color w:val="auto"/>
          <w:sz w:val="32"/>
          <w:szCs w:val="28"/>
          <w:highlight w:val="none"/>
        </w:rPr>
        <w:t xml:space="preserve">二○二二年七月 </w:t>
      </w:r>
    </w:p>
    <w:p>
      <w:pPr>
        <w:rPr>
          <w:rFonts w:ascii="宋体" w:hAnsi="宋体" w:cs="宋体"/>
          <w:color w:val="auto"/>
          <w:highlight w:val="none"/>
        </w:rPr>
      </w:pPr>
      <w:r>
        <w:rPr>
          <w:rFonts w:hint="eastAsia" w:ascii="宋体" w:hAnsi="宋体" w:cs="宋体"/>
          <w:color w:val="auto"/>
          <w:highlight w:val="none"/>
        </w:rPr>
        <w:br w:type="page"/>
      </w:r>
    </w:p>
    <w:p>
      <w:pPr>
        <w:tabs>
          <w:tab w:val="left" w:pos="4008"/>
        </w:tabs>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第一章 投标邀请</w:t>
      </w:r>
    </w:p>
    <w:p>
      <w:pPr>
        <w:pStyle w:val="17"/>
        <w:widowControl/>
        <w:spacing w:line="400" w:lineRule="exact"/>
        <w:ind w:firstLine="480"/>
        <w:rPr>
          <w:rFonts w:ascii="宋体" w:hAnsi="宋体" w:cs="宋体"/>
          <w:color w:val="auto"/>
          <w:highlight w:val="none"/>
        </w:rPr>
      </w:pPr>
      <w:r>
        <w:rPr>
          <w:rFonts w:hint="eastAsia" w:ascii="宋体" w:hAnsi="宋体" w:cs="宋体"/>
          <w:color w:val="auto"/>
          <w:highlight w:val="none"/>
          <w:u w:val="single"/>
        </w:rPr>
        <w:t xml:space="preserve">建融建设管理集团有限责任公司 </w:t>
      </w:r>
      <w:r>
        <w:rPr>
          <w:rFonts w:hint="eastAsia" w:ascii="宋体" w:hAnsi="宋体" w:cs="宋体"/>
          <w:color w:val="auto"/>
          <w:highlight w:val="none"/>
        </w:rPr>
        <w:t>采用</w:t>
      </w:r>
      <w:r>
        <w:rPr>
          <w:rFonts w:hint="eastAsia" w:ascii="宋体" w:hAnsi="宋体" w:cs="宋体"/>
          <w:color w:val="auto"/>
          <w:highlight w:val="none"/>
          <w:u w:val="single"/>
        </w:rPr>
        <w:t>公开招标方式</w:t>
      </w:r>
      <w:r>
        <w:rPr>
          <w:rFonts w:hint="eastAsia" w:ascii="宋体" w:hAnsi="宋体" w:cs="宋体"/>
          <w:color w:val="auto"/>
          <w:highlight w:val="none"/>
        </w:rPr>
        <w:t>组织</w:t>
      </w:r>
      <w:r>
        <w:rPr>
          <w:rFonts w:hint="eastAsia" w:ascii="宋体" w:hAnsi="宋体" w:cs="宋体"/>
          <w:color w:val="auto"/>
          <w:highlight w:val="none"/>
          <w:u w:val="single"/>
          <w:lang w:eastAsia="zh-CN"/>
        </w:rPr>
        <w:t>电气自动化技术专业教学资源库（二期）</w:t>
      </w:r>
      <w:r>
        <w:rPr>
          <w:rFonts w:hint="eastAsia" w:ascii="宋体" w:hAnsi="宋体" w:cs="宋体"/>
          <w:color w:val="auto"/>
          <w:highlight w:val="none"/>
        </w:rPr>
        <w:t>（以下简称：“本项目”）的政府采购活动，现邀请供应商参加投标。</w:t>
      </w:r>
    </w:p>
    <w:p>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1、招标编号：闽莆建融【F-2022】采招01</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号</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2、预算金额、最高限价：详见《采购标的一览表》。</w:t>
      </w:r>
    </w:p>
    <w:p>
      <w:pPr>
        <w:pStyle w:val="17"/>
        <w:widowControl/>
        <w:spacing w:line="400" w:lineRule="exact"/>
        <w:ind w:firstLine="480"/>
        <w:rPr>
          <w:rFonts w:ascii="宋体" w:hAnsi="宋体" w:cs="宋体"/>
          <w:color w:val="auto"/>
          <w:highlight w:val="none"/>
        </w:rPr>
      </w:pPr>
      <w:r>
        <w:rPr>
          <w:rFonts w:hint="eastAsia" w:ascii="宋体" w:hAnsi="宋体" w:cs="宋体"/>
          <w:color w:val="auto"/>
          <w:highlight w:val="none"/>
        </w:rPr>
        <w:t>3、招标内容及要求：详见《采购标的一览表》及招标文件第五章。</w:t>
      </w:r>
    </w:p>
    <w:p>
      <w:pPr>
        <w:pStyle w:val="17"/>
        <w:widowControl/>
        <w:spacing w:line="400" w:lineRule="exact"/>
        <w:ind w:firstLine="480"/>
        <w:rPr>
          <w:rFonts w:ascii="宋体" w:hAnsi="宋体" w:cs="宋体"/>
          <w:color w:val="auto"/>
          <w:highlight w:val="none"/>
        </w:rPr>
      </w:pPr>
      <w:r>
        <w:rPr>
          <w:rFonts w:hint="eastAsia" w:ascii="宋体" w:hAnsi="宋体" w:cs="宋体"/>
          <w:color w:val="auto"/>
          <w:highlight w:val="none"/>
        </w:rPr>
        <w:t>4、需要落实的政府采购政策：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w:t>
      </w:r>
    </w:p>
    <w:p>
      <w:pPr>
        <w:pStyle w:val="17"/>
        <w:widowControl/>
        <w:spacing w:line="420" w:lineRule="exact"/>
        <w:ind w:firstLine="480"/>
        <w:rPr>
          <w:rFonts w:ascii="宋体" w:hAnsi="宋体" w:cs="宋体"/>
          <w:color w:val="auto"/>
          <w:highlight w:val="none"/>
        </w:rPr>
      </w:pPr>
      <w:r>
        <w:rPr>
          <w:rFonts w:hint="eastAsia" w:ascii="宋体" w:hAnsi="宋体" w:cs="宋体"/>
          <w:color w:val="auto"/>
          <w:highlight w:val="none"/>
        </w:rPr>
        <w:t>5、投标人的资格要求</w:t>
      </w:r>
    </w:p>
    <w:p>
      <w:pPr>
        <w:pStyle w:val="17"/>
        <w:widowControl/>
        <w:spacing w:line="420" w:lineRule="exact"/>
        <w:ind w:firstLine="480"/>
        <w:rPr>
          <w:rFonts w:ascii="宋体" w:hAnsi="宋体" w:cs="宋体"/>
          <w:color w:val="auto"/>
          <w:highlight w:val="none"/>
        </w:rPr>
      </w:pPr>
      <w:r>
        <w:rPr>
          <w:rFonts w:hint="eastAsia" w:ascii="宋体" w:hAnsi="宋体" w:cs="宋体"/>
          <w:color w:val="auto"/>
          <w:highlight w:val="none"/>
        </w:rPr>
        <w:t>5.1法定条件：符合政府采购法第二十二条第一款规定的条件。</w:t>
      </w:r>
    </w:p>
    <w:p>
      <w:pPr>
        <w:pStyle w:val="17"/>
        <w:widowControl/>
        <w:spacing w:before="75" w:after="75"/>
        <w:ind w:left="479" w:leftChars="228"/>
        <w:rPr>
          <w:rFonts w:ascii="宋体" w:hAnsi="宋体" w:cs="宋体"/>
          <w:color w:val="auto"/>
          <w:highlight w:val="none"/>
        </w:rPr>
      </w:pPr>
      <w:r>
        <w:rPr>
          <w:rFonts w:hint="eastAsia" w:ascii="宋体" w:hAnsi="宋体" w:cs="宋体"/>
          <w:color w:val="auto"/>
          <w:highlight w:val="none"/>
        </w:rPr>
        <w:t>5.2特定条件：</w:t>
      </w:r>
    </w:p>
    <w:tbl>
      <w:tblPr>
        <w:tblStyle w:val="21"/>
        <w:tblW w:w="500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891"/>
        <w:gridCol w:w="47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49" w:type="pct"/>
            <w:shd w:val="clear" w:color="auto" w:fill="auto"/>
            <w:vAlign w:val="center"/>
          </w:tcPr>
          <w:p>
            <w:pPr>
              <w:widowControl/>
              <w:jc w:val="center"/>
              <w:rPr>
                <w:b/>
                <w:bCs/>
                <w:color w:val="auto"/>
                <w:highlight w:val="none"/>
              </w:rPr>
            </w:pPr>
            <w:r>
              <w:rPr>
                <w:rFonts w:ascii="宋体" w:hAnsi="宋体" w:cs="宋体"/>
                <w:b/>
                <w:bCs/>
                <w:color w:val="auto"/>
                <w:kern w:val="0"/>
                <w:sz w:val="24"/>
                <w:highlight w:val="none"/>
              </w:rPr>
              <w:t>明细</w:t>
            </w:r>
          </w:p>
        </w:tc>
        <w:tc>
          <w:tcPr>
            <w:tcW w:w="2750" w:type="pct"/>
            <w:shd w:val="clear" w:color="auto" w:fill="auto"/>
            <w:vAlign w:val="center"/>
          </w:tcPr>
          <w:p>
            <w:pPr>
              <w:widowControl/>
              <w:jc w:val="center"/>
              <w:rPr>
                <w:b/>
                <w:bCs/>
                <w:color w:val="auto"/>
                <w:highlight w:val="none"/>
              </w:rPr>
            </w:pPr>
            <w:r>
              <w:rPr>
                <w:rFonts w:ascii="宋体" w:hAnsi="宋体" w:cs="宋体"/>
                <w:b/>
                <w:bCs/>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shd w:val="clear" w:color="auto" w:fill="auto"/>
            <w:vAlign w:val="center"/>
          </w:tcPr>
          <w:p>
            <w:pPr>
              <w:widowControl/>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2750" w:type="pct"/>
            <w:shd w:val="clear" w:color="auto" w:fill="auto"/>
            <w:vAlign w:val="center"/>
          </w:tcPr>
          <w:p>
            <w:pPr>
              <w:widowControl/>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shd w:val="clear" w:color="auto" w:fill="auto"/>
            <w:vAlign w:val="center"/>
          </w:tcPr>
          <w:p>
            <w:pPr>
              <w:widowControl/>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2750" w:type="pct"/>
            <w:shd w:val="clear" w:color="auto" w:fill="auto"/>
            <w:vAlign w:val="center"/>
          </w:tcPr>
          <w:p>
            <w:pPr>
              <w:widowControl/>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应商为残疾人福利性单位的视同小型和微型企业，可不提供以上第1点材料，但应当提供《残疾人福利性单位声明函》，格式见第五章《响应文件格式》附件。4、本采购项目所属行业为其他未列明行业。</w:t>
            </w:r>
            <w:bookmarkStart w:id="1" w:name="_GoBack"/>
            <w:bookmarkEnd w:id="1"/>
          </w:p>
        </w:tc>
      </w:tr>
    </w:tbl>
    <w:p>
      <w:pPr>
        <w:pStyle w:val="17"/>
        <w:widowControl/>
        <w:spacing w:before="75" w:after="75"/>
        <w:ind w:left="479" w:leftChars="228"/>
        <w:rPr>
          <w:rFonts w:ascii="宋体" w:hAnsi="宋体" w:cs="宋体"/>
          <w:color w:val="auto"/>
          <w:highlight w:val="none"/>
        </w:rPr>
      </w:pPr>
    </w:p>
    <w:p>
      <w:pPr>
        <w:pStyle w:val="17"/>
        <w:widowControl/>
        <w:spacing w:before="75" w:after="75"/>
        <w:ind w:firstLine="480" w:firstLineChars="200"/>
        <w:rPr>
          <w:rFonts w:ascii="宋体" w:hAnsi="宋体" w:cs="宋体"/>
          <w:color w:val="auto"/>
          <w:kern w:val="0"/>
          <w:highlight w:val="none"/>
        </w:rPr>
      </w:pPr>
      <w:r>
        <w:rPr>
          <w:rFonts w:hint="eastAsia" w:ascii="宋体" w:hAnsi="宋体" w:cs="宋体"/>
          <w:color w:val="auto"/>
          <w:highlight w:val="none"/>
        </w:rPr>
        <w:t>5.3是否接受联合体投标：不接受。</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※根据上述资格要求，投标文件中应提交的“投标人的资格及资信证明文件”详见招标文件第四章。</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6、报名</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6、招标文件的获取</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6.1、招标文件获取期限：详见招标公告或更正公告，若不一致，以更正公告为准。</w:t>
      </w:r>
    </w:p>
    <w:p>
      <w:pPr>
        <w:tabs>
          <w:tab w:val="left" w:pos="1134"/>
        </w:tabs>
        <w:spacing w:line="400" w:lineRule="exact"/>
        <w:ind w:right="105" w:rightChars="50" w:firstLine="480" w:firstLineChars="200"/>
        <w:rPr>
          <w:rFonts w:ascii="宋体" w:hAnsi="宋体" w:cs="宋体"/>
          <w:color w:val="auto"/>
          <w:sz w:val="24"/>
          <w:highlight w:val="none"/>
        </w:rPr>
      </w:pPr>
      <w:r>
        <w:rPr>
          <w:rFonts w:hint="eastAsia" w:ascii="宋体" w:hAnsi="宋体" w:cs="宋体"/>
          <w:color w:val="auto"/>
          <w:sz w:val="24"/>
          <w:highlight w:val="none"/>
        </w:rPr>
        <w:t>6.2获取地点及方式：</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（莆田市城厢区荣华家园3号楼5层）。</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6.3、招标文件售价：100元。</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7、投标截止</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7.1投标截止时间：详见招标公告或更正公告（若有），若不一致，以更正公告（若有）为准。</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8、开标时间及地点：详见招标公告或更正公告（若有），若不一致，以更正公告（若有）为准。</w:t>
      </w:r>
      <w:r>
        <w:rPr>
          <w:rStyle w:val="25"/>
          <w:rFonts w:hint="eastAsia" w:ascii="宋体" w:hAnsi="宋体" w:cs="宋体"/>
          <w:color w:val="auto"/>
          <w:highlight w:val="none"/>
        </w:rPr>
        <w:t> </w:t>
      </w:r>
    </w:p>
    <w:p>
      <w:pPr>
        <w:pStyle w:val="17"/>
        <w:widowControl/>
        <w:spacing w:before="75" w:after="75"/>
        <w:ind w:firstLine="480"/>
        <w:rPr>
          <w:rFonts w:ascii="宋体" w:hAnsi="宋体" w:cs="宋体"/>
          <w:color w:val="auto"/>
          <w:highlight w:val="none"/>
        </w:rPr>
      </w:pPr>
      <w:r>
        <w:rPr>
          <w:rFonts w:hint="eastAsia" w:ascii="宋体" w:hAnsi="宋体" w:cs="宋体"/>
          <w:color w:val="auto"/>
          <w:highlight w:val="none"/>
        </w:rPr>
        <w:t>9、公告期限</w:t>
      </w:r>
    </w:p>
    <w:p>
      <w:pPr>
        <w:autoSpaceDN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9.1招标公告的公告期限：</w:t>
      </w:r>
      <w:r>
        <w:rPr>
          <w:rFonts w:hint="eastAsia" w:ascii="宋体" w:hAnsi="宋体" w:cs="宋体"/>
          <w:color w:val="auto"/>
          <w:spacing w:val="-6"/>
          <w:sz w:val="24"/>
          <w:highlight w:val="none"/>
        </w:rPr>
        <w:t>指定的政府采购信息发布媒体最先发布公告之日起5个工作日。</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9.2招标文件公告期限：招标文件随同招标公告一并发布，其公告期限与本章第9.1条载明的期限保持一致。</w:t>
      </w:r>
    </w:p>
    <w:p>
      <w:pPr>
        <w:spacing w:line="44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10、</w:t>
      </w:r>
      <w:r>
        <w:rPr>
          <w:rFonts w:hint="eastAsia" w:ascii="宋体" w:hAnsi="宋体" w:cs="宋体"/>
          <w:bCs/>
          <w:color w:val="auto"/>
          <w:sz w:val="24"/>
          <w:highlight w:val="none"/>
        </w:rPr>
        <w:t>投标须知：</w:t>
      </w:r>
    </w:p>
    <w:p>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10.1建融建设管理集团有限责任公司 指定账户：</w:t>
      </w:r>
    </w:p>
    <w:p>
      <w:pPr>
        <w:pStyle w:val="2"/>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保证金缴纳帐户：保证金必须以供应商</w:t>
      </w:r>
      <w:r>
        <w:rPr>
          <w:rFonts w:hint="eastAsia" w:ascii="宋体" w:hAnsi="宋体" w:cs="宋体"/>
          <w:b/>
          <w:color w:val="auto"/>
          <w:sz w:val="24"/>
          <w:highlight w:val="none"/>
        </w:rPr>
        <w:t>银行帐户公对公</w:t>
      </w:r>
      <w:r>
        <w:rPr>
          <w:rFonts w:hint="eastAsia" w:ascii="宋体" w:hAnsi="宋体" w:cs="宋体"/>
          <w:color w:val="auto"/>
          <w:sz w:val="24"/>
          <w:highlight w:val="none"/>
        </w:rPr>
        <w:t>转账至（开户名—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莆田咨询分公司，开户行—中国农业银行莆田市分行，帐号—13400201040007163。）</w:t>
      </w:r>
    </w:p>
    <w:p>
      <w:pPr>
        <w:spacing w:line="400" w:lineRule="exact"/>
        <w:ind w:right="-218" w:rightChars="-104" w:firstLine="480" w:firstLineChars="200"/>
        <w:rPr>
          <w:rFonts w:ascii="宋体" w:hAnsi="宋体" w:cs="宋体"/>
          <w:color w:val="auto"/>
          <w:sz w:val="24"/>
          <w:highlight w:val="none"/>
        </w:rPr>
      </w:pPr>
      <w:r>
        <w:rPr>
          <w:rFonts w:hint="eastAsia" w:ascii="宋体" w:hAnsi="宋体" w:cs="宋体"/>
          <w:color w:val="auto"/>
          <w:sz w:val="24"/>
          <w:highlight w:val="none"/>
        </w:rPr>
        <w:t>11、对本次招标提出询问，请按以下方式联系：</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采购单位：湄洲湾职业技术学院</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地址：莆田市涵江区梧塘镇荔涵东大道1001号</w:t>
      </w:r>
    </w:p>
    <w:p>
      <w:pPr>
        <w:spacing w:line="380" w:lineRule="exact"/>
        <w:ind w:left="40" w:leftChars="19" w:firstLine="756" w:firstLineChars="315"/>
        <w:rPr>
          <w:rFonts w:ascii="宋体" w:hAnsi="宋体" w:cs="宋体"/>
          <w:color w:val="auto"/>
          <w:kern w:val="0"/>
          <w:sz w:val="24"/>
          <w:highlight w:val="none"/>
        </w:rPr>
      </w:pPr>
      <w:r>
        <w:rPr>
          <w:rFonts w:hint="eastAsia" w:ascii="宋体" w:hAnsi="宋体" w:cs="宋体"/>
          <w:color w:val="auto"/>
          <w:kern w:val="0"/>
          <w:sz w:val="24"/>
          <w:highlight w:val="none"/>
        </w:rPr>
        <w:t>联系人：梁老师</w:t>
      </w:r>
    </w:p>
    <w:p>
      <w:pPr>
        <w:spacing w:line="360" w:lineRule="auto"/>
        <w:ind w:firstLine="720" w:firstLineChars="300"/>
        <w:rPr>
          <w:rFonts w:ascii="宋体" w:hAnsi="宋体" w:cs="宋体"/>
          <w:color w:val="auto"/>
          <w:kern w:val="0"/>
          <w:sz w:val="24"/>
          <w:highlight w:val="none"/>
        </w:rPr>
      </w:pPr>
      <w:r>
        <w:rPr>
          <w:rFonts w:hint="eastAsia" w:ascii="宋体" w:hAnsi="宋体" w:cs="宋体"/>
          <w:color w:val="auto"/>
          <w:kern w:val="0"/>
          <w:sz w:val="24"/>
          <w:highlight w:val="none"/>
        </w:rPr>
        <w:t>电  话：18030386069</w:t>
      </w:r>
    </w:p>
    <w:p>
      <w:pPr>
        <w:spacing w:line="360" w:lineRule="auto"/>
        <w:ind w:firstLine="720" w:firstLineChars="300"/>
        <w:rPr>
          <w:rFonts w:ascii="宋体" w:hAnsi="宋体" w:cs="宋体"/>
          <w:color w:val="auto"/>
          <w:kern w:val="0"/>
          <w:sz w:val="24"/>
          <w:highlight w:val="none"/>
        </w:rPr>
      </w:pP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采购代理机构联系方式</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采购代理机构：建融建设管理集团有限责任公司</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地  址：莆田市城厢区荣华嘉园3号楼5层 </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 xml:space="preserve">邮  编：  351100          </w:t>
      </w:r>
      <w:r>
        <w:rPr>
          <w:rFonts w:hint="eastAsia" w:ascii="宋体" w:hAnsi="宋体" w:cs="宋体"/>
          <w:color w:val="auto"/>
          <w:kern w:val="0"/>
          <w:sz w:val="24"/>
          <w:highlight w:val="none"/>
        </w:rPr>
        <w:tab/>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电  话： 13599466266（微信同号）</w:t>
      </w:r>
    </w:p>
    <w:p>
      <w:pPr>
        <w:spacing w:line="360" w:lineRule="auto"/>
        <w:ind w:firstLine="840" w:firstLineChars="350"/>
        <w:rPr>
          <w:rFonts w:ascii="宋体" w:hAnsi="宋体" w:cs="宋体"/>
          <w:color w:val="auto"/>
          <w:kern w:val="0"/>
          <w:sz w:val="24"/>
          <w:highlight w:val="none"/>
        </w:rPr>
      </w:pPr>
      <w:r>
        <w:rPr>
          <w:rFonts w:hint="eastAsia" w:ascii="宋体" w:hAnsi="宋体" w:cs="宋体"/>
          <w:color w:val="auto"/>
          <w:kern w:val="0"/>
          <w:sz w:val="24"/>
          <w:highlight w:val="none"/>
        </w:rPr>
        <w:t>邮  箱： 149870167@qq.com</w:t>
      </w:r>
    </w:p>
    <w:p>
      <w:pPr>
        <w:rPr>
          <w:rFonts w:ascii="宋体" w:hAnsi="宋体" w:cs="宋体"/>
          <w:b/>
          <w:color w:val="auto"/>
          <w:sz w:val="24"/>
          <w:highlight w:val="none"/>
        </w:rPr>
      </w:pPr>
      <w:r>
        <w:rPr>
          <w:rFonts w:hint="eastAsia" w:ascii="宋体" w:hAnsi="宋体" w:cs="宋体"/>
          <w:b/>
          <w:color w:val="auto"/>
          <w:sz w:val="24"/>
          <w:highlight w:val="none"/>
        </w:rPr>
        <w:br w:type="page"/>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附1：采购标的一览表</w:t>
      </w:r>
    </w:p>
    <w:p>
      <w:pPr>
        <w:autoSpaceDN w:val="0"/>
        <w:spacing w:before="75" w:after="75" w:line="360" w:lineRule="auto"/>
        <w:rPr>
          <w:rFonts w:ascii="宋体" w:hAnsi="宋体" w:cs="宋体"/>
          <w:color w:val="auto"/>
          <w:sz w:val="24"/>
          <w:highlight w:val="none"/>
        </w:rPr>
      </w:pPr>
      <w:r>
        <w:rPr>
          <w:rFonts w:hint="eastAsia" w:ascii="宋体" w:hAnsi="宋体" w:cs="宋体"/>
          <w:color w:val="auto"/>
          <w:sz w:val="24"/>
          <w:highlight w:val="none"/>
        </w:rPr>
        <w:t xml:space="preserve">                                                            金额单位：人民币/元</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5" w:type="dxa"/>
          <w:bottom w:w="0" w:type="dxa"/>
          <w:right w:w="15" w:type="dxa"/>
        </w:tblCellMar>
      </w:tblPr>
      <w:tblGrid>
        <w:gridCol w:w="728"/>
        <w:gridCol w:w="4200"/>
        <w:gridCol w:w="495"/>
        <w:gridCol w:w="119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790" w:hRule="atLeast"/>
        </w:trPr>
        <w:tc>
          <w:tcPr>
            <w:tcW w:w="660" w:type="pct"/>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合同包</w:t>
            </w:r>
          </w:p>
        </w:tc>
        <w:tc>
          <w:tcPr>
            <w:tcW w:w="1321" w:type="pct"/>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品目名称（采购标的）</w:t>
            </w:r>
          </w:p>
        </w:tc>
        <w:tc>
          <w:tcPr>
            <w:tcW w:w="652" w:type="pct"/>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数量</w:t>
            </w:r>
          </w:p>
        </w:tc>
        <w:tc>
          <w:tcPr>
            <w:tcW w:w="1039" w:type="pct"/>
            <w:noWrap/>
            <w:vAlign w:val="center"/>
          </w:tcPr>
          <w:p>
            <w:pPr>
              <w:autoSpaceDN w:val="0"/>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小计（元）</w:t>
            </w:r>
          </w:p>
        </w:tc>
        <w:tc>
          <w:tcPr>
            <w:tcW w:w="1327" w:type="pct"/>
            <w:noWrap/>
            <w:vAlign w:val="center"/>
          </w:tcPr>
          <w:p>
            <w:pPr>
              <w:autoSpaceDN w:val="0"/>
              <w:ind w:firstLine="723" w:firstLineChars="300"/>
              <w:textAlignment w:val="center"/>
              <w:rPr>
                <w:rFonts w:ascii="宋体" w:hAnsi="宋体" w:cs="宋体"/>
                <w:b/>
                <w:bCs/>
                <w:color w:val="auto"/>
                <w:sz w:val="24"/>
                <w:highlight w:val="none"/>
              </w:rPr>
            </w:pPr>
            <w:r>
              <w:rPr>
                <w:rFonts w:hint="eastAsia" w:ascii="宋体" w:hAnsi="宋体" w:cs="宋体"/>
                <w:b/>
                <w:bCs/>
                <w:color w:val="auto"/>
                <w:sz w:val="24"/>
                <w:highlight w:val="none"/>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357" w:hRule="exact"/>
        </w:trPr>
        <w:tc>
          <w:tcPr>
            <w:tcW w:w="660" w:type="pct"/>
            <w:noWrap/>
            <w:vAlign w:val="center"/>
          </w:tcPr>
          <w:p>
            <w:pPr>
              <w:autoSpaceDN w:val="0"/>
              <w:jc w:val="center"/>
              <w:textAlignment w:val="center"/>
              <w:rPr>
                <w:rFonts w:ascii="宋体" w:hAnsi="宋体" w:cs="宋体"/>
                <w:color w:val="auto"/>
                <w:sz w:val="24"/>
                <w:highlight w:val="none"/>
              </w:rPr>
            </w:pPr>
            <w:r>
              <w:rPr>
                <w:rFonts w:hint="eastAsia" w:ascii="宋体" w:hAnsi="宋体" w:cs="宋体"/>
                <w:color w:val="auto"/>
                <w:sz w:val="24"/>
                <w:highlight w:val="none"/>
              </w:rPr>
              <w:t>1</w:t>
            </w:r>
          </w:p>
        </w:tc>
        <w:tc>
          <w:tcPr>
            <w:tcW w:w="1321" w:type="pct"/>
            <w:noWrap/>
            <w:vAlign w:val="center"/>
          </w:tcPr>
          <w:p>
            <w:pPr>
              <w:spacing w:line="300" w:lineRule="auto"/>
              <w:jc w:val="center"/>
              <w:rPr>
                <w:rFonts w:ascii="宋体" w:hAnsi="宋体" w:cs="宋体"/>
                <w:color w:val="auto"/>
                <w:sz w:val="24"/>
                <w:highlight w:val="none"/>
              </w:rPr>
            </w:pPr>
            <w:r>
              <w:rPr>
                <w:rFonts w:hint="eastAsia" w:ascii="宋体" w:hAnsi="宋体" w:cs="宋体"/>
                <w:color w:val="auto"/>
                <w:sz w:val="24"/>
                <w:highlight w:val="none"/>
              </w:rPr>
              <w:t>电气自动化技术专业教学资源库（二期）</w:t>
            </w:r>
          </w:p>
        </w:tc>
        <w:tc>
          <w:tcPr>
            <w:tcW w:w="652" w:type="pct"/>
            <w:noWrap/>
            <w:vAlign w:val="center"/>
          </w:tcPr>
          <w:p>
            <w:pPr>
              <w:spacing w:line="300" w:lineRule="auto"/>
              <w:jc w:val="center"/>
              <w:rPr>
                <w:rFonts w:ascii="宋体" w:hAnsi="宋体" w:cs="宋体"/>
                <w:color w:val="auto"/>
                <w:sz w:val="24"/>
                <w:highlight w:val="none"/>
              </w:rPr>
            </w:pPr>
            <w:r>
              <w:rPr>
                <w:rFonts w:hint="eastAsia" w:ascii="宋体" w:hAnsi="宋体" w:cs="宋体"/>
                <w:color w:val="auto"/>
                <w:szCs w:val="21"/>
                <w:highlight w:val="none"/>
              </w:rPr>
              <w:t>1批</w:t>
            </w:r>
          </w:p>
        </w:tc>
        <w:tc>
          <w:tcPr>
            <w:tcW w:w="1039" w:type="pct"/>
            <w:noWrap/>
            <w:vAlign w:val="center"/>
          </w:tcPr>
          <w:p>
            <w:pPr>
              <w:spacing w:line="360" w:lineRule="auto"/>
              <w:jc w:val="center"/>
              <w:rPr>
                <w:rFonts w:ascii="宋体" w:hAnsi="宋体" w:cs="宋体"/>
                <w:color w:val="auto"/>
                <w:sz w:val="24"/>
                <w:highlight w:val="none"/>
              </w:rPr>
            </w:pPr>
            <w:r>
              <w:rPr>
                <w:rFonts w:hint="eastAsia" w:asciiTheme="minorEastAsia" w:hAnsiTheme="minorEastAsia" w:cstheme="minorEastAsia"/>
                <w:color w:val="auto"/>
                <w:szCs w:val="21"/>
                <w:highlight w:val="none"/>
              </w:rPr>
              <w:t>498000</w:t>
            </w:r>
          </w:p>
        </w:tc>
        <w:tc>
          <w:tcPr>
            <w:tcW w:w="1327" w:type="pct"/>
            <w:noWrap/>
            <w:vAlign w:val="center"/>
          </w:tcPr>
          <w:p>
            <w:pPr>
              <w:spacing w:line="360" w:lineRule="auto"/>
              <w:jc w:val="center"/>
              <w:rPr>
                <w:rFonts w:ascii="宋体" w:hAnsi="宋体" w:cs="宋体"/>
                <w:color w:val="auto"/>
                <w:sz w:val="24"/>
                <w:highlight w:val="none"/>
              </w:rPr>
            </w:pPr>
            <w:r>
              <w:rPr>
                <w:rFonts w:hint="eastAsia" w:asciiTheme="minorEastAsia" w:hAnsiTheme="minorEastAsia" w:cstheme="minorEastAsia"/>
                <w:color w:val="auto"/>
                <w:szCs w:val="21"/>
                <w:highlight w:val="none"/>
              </w:rPr>
              <w:t>4980</w:t>
            </w:r>
          </w:p>
        </w:tc>
      </w:tr>
    </w:tbl>
    <w:p>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备注：</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1、供应商可按合同包报价，对同一合同包内所有品目号内容响应必须完整。成交以合同包为单位。</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2、本次采购设有最高限价，最高限价为498000元，超过最高限价视为无效报价。</w:t>
      </w:r>
    </w:p>
    <w:p>
      <w:pPr>
        <w:pStyle w:val="18"/>
        <w:jc w:val="both"/>
        <w:rPr>
          <w:rFonts w:ascii="宋体" w:hAnsi="宋体" w:cs="宋体"/>
          <w:color w:val="auto"/>
          <w:highlight w:val="none"/>
        </w:rPr>
      </w:pPr>
    </w:p>
    <w:p>
      <w:pPr>
        <w:pStyle w:val="10"/>
        <w:tabs>
          <w:tab w:val="left" w:pos="8360"/>
        </w:tabs>
        <w:spacing w:line="440" w:lineRule="exact"/>
        <w:jc w:val="left"/>
        <w:rPr>
          <w:rFonts w:hAnsi="宋体" w:cs="宋体"/>
          <w:color w:val="auto"/>
          <w:sz w:val="24"/>
          <w:highlight w:val="none"/>
        </w:rPr>
      </w:pPr>
    </w:p>
    <w:p>
      <w:pPr>
        <w:spacing w:beforeLines="100" w:afterLines="100" w:line="400" w:lineRule="exact"/>
        <w:jc w:val="center"/>
        <w:rPr>
          <w:rFonts w:ascii="宋体" w:hAnsi="宋体" w:cs="宋体"/>
          <w:b/>
          <w:bCs/>
          <w:color w:val="auto"/>
          <w:kern w:val="0"/>
          <w:sz w:val="32"/>
          <w:highlight w:val="none"/>
        </w:rPr>
      </w:pPr>
    </w:p>
    <w:p>
      <w:pPr>
        <w:spacing w:beforeLines="100" w:afterLines="100" w:line="400" w:lineRule="exact"/>
        <w:jc w:val="center"/>
        <w:rPr>
          <w:rFonts w:ascii="宋体" w:hAnsi="宋体" w:cs="宋体"/>
          <w:b/>
          <w:bCs/>
          <w:color w:val="auto"/>
          <w:kern w:val="0"/>
          <w:sz w:val="32"/>
          <w:highlight w:val="none"/>
        </w:rPr>
      </w:pPr>
    </w:p>
    <w:p>
      <w:pPr>
        <w:spacing w:beforeLines="100" w:afterLines="100" w:line="400" w:lineRule="exact"/>
        <w:jc w:val="center"/>
        <w:rPr>
          <w:rFonts w:ascii="宋体" w:hAnsi="宋体" w:cs="宋体"/>
          <w:b/>
          <w:bCs/>
          <w:color w:val="auto"/>
          <w:kern w:val="0"/>
          <w:sz w:val="32"/>
          <w:highlight w:val="none"/>
        </w:rPr>
      </w:pPr>
    </w:p>
    <w:p>
      <w:pPr>
        <w:pStyle w:val="20"/>
        <w:ind w:left="420" w:firstLine="643"/>
        <w:rPr>
          <w:rFonts w:ascii="宋体" w:hAnsi="宋体" w:cs="宋体"/>
          <w:b/>
          <w:bCs/>
          <w:color w:val="auto"/>
          <w:sz w:val="32"/>
          <w:highlight w:val="none"/>
        </w:rPr>
      </w:pPr>
    </w:p>
    <w:p>
      <w:pPr>
        <w:pStyle w:val="20"/>
        <w:ind w:left="420" w:firstLine="643"/>
        <w:rPr>
          <w:rFonts w:ascii="宋体" w:hAnsi="宋体" w:cs="宋体"/>
          <w:b/>
          <w:bCs/>
          <w:color w:val="auto"/>
          <w:sz w:val="32"/>
          <w:highlight w:val="none"/>
        </w:rPr>
      </w:pPr>
    </w:p>
    <w:p>
      <w:pPr>
        <w:spacing w:beforeLines="100" w:afterLines="100" w:line="400" w:lineRule="exact"/>
        <w:jc w:val="center"/>
        <w:rPr>
          <w:rFonts w:ascii="宋体" w:hAnsi="宋体" w:cs="宋体"/>
          <w:b/>
          <w:bCs/>
          <w:color w:val="auto"/>
          <w:kern w:val="0"/>
          <w:sz w:val="32"/>
          <w:highlight w:val="none"/>
        </w:rPr>
      </w:pPr>
    </w:p>
    <w:p>
      <w:pPr>
        <w:rPr>
          <w:rFonts w:ascii="宋体" w:hAnsi="宋体" w:cs="宋体"/>
          <w:color w:val="auto"/>
          <w:highlight w:val="none"/>
        </w:rPr>
      </w:pPr>
      <w:r>
        <w:rPr>
          <w:rFonts w:hint="eastAsia" w:ascii="宋体" w:hAnsi="宋体" w:cs="宋体"/>
          <w:b/>
          <w:bCs/>
          <w:color w:val="auto"/>
          <w:kern w:val="0"/>
          <w:sz w:val="32"/>
          <w:highlight w:val="none"/>
        </w:rPr>
        <w:br w:type="page"/>
      </w:r>
    </w:p>
    <w:p>
      <w:pPr>
        <w:spacing w:beforeLines="100" w:afterLines="100" w:line="400" w:lineRule="exact"/>
        <w:jc w:val="center"/>
        <w:rPr>
          <w:rFonts w:ascii="宋体" w:hAnsi="宋体" w:cs="宋体"/>
          <w:b/>
          <w:color w:val="auto"/>
          <w:sz w:val="32"/>
          <w:szCs w:val="32"/>
          <w:highlight w:val="none"/>
        </w:rPr>
      </w:pPr>
      <w:r>
        <w:rPr>
          <w:rFonts w:hint="eastAsia" w:ascii="宋体" w:hAnsi="宋体" w:cs="宋体"/>
          <w:b/>
          <w:bCs/>
          <w:color w:val="auto"/>
          <w:kern w:val="0"/>
          <w:sz w:val="32"/>
          <w:highlight w:val="none"/>
        </w:rPr>
        <w:t>第二章   投标人须知前附表（表1）</w:t>
      </w:r>
    </w:p>
    <w:p>
      <w:pPr>
        <w:spacing w:line="360" w:lineRule="auto"/>
        <w:ind w:firstLine="354" w:firstLineChars="147"/>
        <w:outlineLvl w:val="1"/>
        <w:rPr>
          <w:rFonts w:ascii="宋体" w:hAnsi="宋体" w:cs="宋体"/>
          <w:b/>
          <w:color w:val="auto"/>
          <w:sz w:val="32"/>
          <w:szCs w:val="32"/>
          <w:highlight w:val="none"/>
        </w:rPr>
      </w:pPr>
      <w:r>
        <w:rPr>
          <w:rFonts w:hint="eastAsia" w:ascii="宋体" w:hAnsi="宋体" w:cs="宋体"/>
          <w:b/>
          <w:bCs/>
          <w:color w:val="auto"/>
          <w:kern w:val="0"/>
          <w:sz w:val="24"/>
          <w:highlight w:val="none"/>
        </w:rPr>
        <w:t>表1</w:t>
      </w:r>
    </w:p>
    <w:tbl>
      <w:tblPr>
        <w:tblStyle w:val="21"/>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486" w:type="dxa"/>
            <w:gridSpan w:val="3"/>
            <w:vAlign w:val="center"/>
          </w:tcPr>
          <w:p>
            <w:pPr>
              <w:spacing w:line="360" w:lineRule="auto"/>
              <w:ind w:firstLine="964" w:firstLineChars="400"/>
              <w:rPr>
                <w:rFonts w:ascii="宋体" w:hAnsi="宋体" w:cs="宋体"/>
                <w:b/>
                <w:color w:val="auto"/>
                <w:sz w:val="24"/>
                <w:highlight w:val="none"/>
              </w:rPr>
            </w:pPr>
            <w:r>
              <w:rPr>
                <w:rFonts w:hint="eastAsia" w:ascii="宋体" w:hAnsi="宋体" w:cs="宋体"/>
                <w:b/>
                <w:color w:val="auto"/>
                <w:sz w:val="24"/>
                <w:highlight w:val="none"/>
              </w:rPr>
              <w:t>特别提示：</w:t>
            </w:r>
            <w:r>
              <w:rPr>
                <w:rFonts w:hint="eastAsia" w:ascii="宋体" w:hAnsi="宋体" w:cs="宋体"/>
                <w:b/>
                <w:bCs/>
                <w:color w:val="auto"/>
                <w:sz w:val="24"/>
                <w:highlight w:val="none"/>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项号</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招标文件（第三章）</w:t>
            </w:r>
          </w:p>
        </w:tc>
        <w:tc>
          <w:tcPr>
            <w:tcW w:w="623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82" w:type="dxa"/>
            <w:vAlign w:val="center"/>
          </w:tcPr>
          <w:p>
            <w:pPr>
              <w:widowControl/>
              <w:spacing w:line="360" w:lineRule="auto"/>
              <w:jc w:val="center"/>
              <w:rPr>
                <w:rFonts w:ascii="宋体" w:hAnsi="宋体" w:cs="宋体"/>
                <w:color w:val="auto"/>
                <w:kern w:val="0"/>
                <w:sz w:val="24"/>
                <w:highlight w:val="none"/>
              </w:rPr>
            </w:pPr>
          </w:p>
        </w:tc>
        <w:tc>
          <w:tcPr>
            <w:tcW w:w="6236" w:type="dxa"/>
            <w:vAlign w:val="center"/>
          </w:tcPr>
          <w:p>
            <w:pPr>
              <w:widowControl/>
              <w:spacing w:line="360" w:lineRule="auto"/>
              <w:jc w:val="left"/>
              <w:rPr>
                <w:rFonts w:ascii="宋体" w:hAnsi="宋体" w:cs="宋体"/>
                <w:color w:val="auto"/>
                <w:highlight w:val="none"/>
              </w:rPr>
            </w:pPr>
            <w:r>
              <w:rPr>
                <w:rStyle w:val="25"/>
                <w:rFonts w:hint="eastAsia" w:ascii="宋体" w:hAnsi="宋体" w:cs="宋体"/>
                <w:b w:val="0"/>
                <w:color w:val="auto"/>
                <w:sz w:val="24"/>
                <w:highlight w:val="none"/>
              </w:rPr>
              <w:t>是否组织现场考察或召开开标前答疑会：</w:t>
            </w:r>
            <w:r>
              <w:rPr>
                <w:rFonts w:hint="eastAsia" w:ascii="宋体" w:hAnsi="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82"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投标文件的份数</w:t>
            </w: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纸质投标文件：</w:t>
            </w:r>
          </w:p>
          <w:p>
            <w:pPr>
              <w:widowControl/>
              <w:numPr>
                <w:ilvl w:val="0"/>
                <w:numId w:val="1"/>
              </w:num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资格及资信证明部分的正本1份、副本1份，报价部分的正本1份、副本1份，技术商务部分的正本1份、副本1份。</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允许散装或活页装订的内容或材料：</w:t>
            </w:r>
          </w:p>
          <w:p>
            <w:pPr>
              <w:widowControl/>
              <w:spacing w:line="360" w:lineRule="auto"/>
              <w:jc w:val="left"/>
              <w:rPr>
                <w:rFonts w:ascii="宋体" w:hAnsi="宋体" w:cs="宋体"/>
                <w:color w:val="auto"/>
                <w:kern w:val="0"/>
                <w:sz w:val="24"/>
                <w:highlight w:val="none"/>
              </w:rPr>
            </w:pP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（1）投标文件的补充、修改或撤回；</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是否允许中标人将本项目的非主体、非关键性工作进行分包</w:t>
            </w:r>
          </w:p>
        </w:tc>
        <w:tc>
          <w:tcPr>
            <w:tcW w:w="6236" w:type="dxa"/>
            <w:vAlign w:val="center"/>
          </w:tcPr>
          <w:p>
            <w:pPr>
              <w:widowControl/>
              <w:spacing w:line="360" w:lineRule="auto"/>
              <w:jc w:val="left"/>
              <w:rPr>
                <w:rFonts w:ascii="宋体" w:hAnsi="宋体" w:cs="宋体"/>
                <w:color w:val="auto"/>
                <w:kern w:val="0"/>
                <w:sz w:val="24"/>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投标有效期</w:t>
            </w: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密封及其标记的具体形式：</w:t>
            </w:r>
          </w:p>
          <w:p>
            <w:pPr>
              <w:widowControl/>
              <w:spacing w:line="360" w:lineRule="auto"/>
              <w:jc w:val="center"/>
              <w:rPr>
                <w:rFonts w:ascii="宋体" w:hAnsi="宋体" w:cs="宋体"/>
                <w:color w:val="auto"/>
                <w:kern w:val="0"/>
                <w:sz w:val="24"/>
                <w:highlight w:val="none"/>
              </w:rPr>
            </w:pP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（1）全部纸质投标文件（包括正本、副本及可读介质）均应密封，否则投标将被拒绝。</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（2）密封的外包装应至少标记“项目名称、招标编号、所投合同包、投标人的全称”等内容，否则造成投标文件误投、遗漏或提前拆封的，建融建设管理集团有限责任公司 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82" w:type="dxa"/>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推荐候选人</w:t>
            </w: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468"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8</w:t>
            </w:r>
          </w:p>
        </w:tc>
        <w:tc>
          <w:tcPr>
            <w:tcW w:w="1782" w:type="dxa"/>
            <w:vAlign w:val="center"/>
          </w:tcPr>
          <w:p>
            <w:pPr>
              <w:widowControl/>
              <w:spacing w:line="360" w:lineRule="auto"/>
              <w:jc w:val="left"/>
              <w:rPr>
                <w:rFonts w:ascii="宋体" w:hAnsi="宋体" w:cs="宋体"/>
                <w:color w:val="auto"/>
                <w:kern w:val="0"/>
                <w:sz w:val="24"/>
                <w:highlight w:val="none"/>
              </w:rPr>
            </w:pPr>
            <w:r>
              <w:rPr>
                <w:rStyle w:val="25"/>
                <w:rFonts w:hint="eastAsia" w:ascii="宋体" w:hAnsi="宋体" w:cs="宋体"/>
                <w:color w:val="auto"/>
                <w:highlight w:val="none"/>
              </w:rPr>
              <w:t>本项目中标人的确定（以合同包为单位）</w:t>
            </w:r>
          </w:p>
        </w:tc>
        <w:tc>
          <w:tcPr>
            <w:tcW w:w="6236" w:type="dxa"/>
            <w:vAlign w:val="center"/>
          </w:tcPr>
          <w:p>
            <w:pPr>
              <w:pStyle w:val="17"/>
              <w:widowControl/>
              <w:spacing w:line="360" w:lineRule="auto"/>
              <w:rPr>
                <w:rFonts w:ascii="宋体" w:hAnsi="宋体" w:cs="宋体"/>
                <w:color w:val="auto"/>
                <w:highlight w:val="none"/>
              </w:rPr>
            </w:pPr>
            <w:r>
              <w:rPr>
                <w:rFonts w:hint="eastAsia" w:ascii="宋体" w:hAnsi="宋体" w:cs="宋体"/>
                <w:color w:val="auto"/>
                <w:highlight w:val="none"/>
              </w:rPr>
              <w:t>（1）采购人应在政府采购招投标管理办法规定的时限内确定中标人。</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（2）若出现中标候选人并列情形，则按照下列方式确定中标人：</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①招标文件规定的方式：无。</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②若本款第①点规定方式为“无”，则按照下列方式确定：无。</w:t>
            </w:r>
          </w:p>
          <w:p>
            <w:pPr>
              <w:pStyle w:val="17"/>
              <w:widowControl/>
              <w:spacing w:line="360" w:lineRule="auto"/>
              <w:rPr>
                <w:rFonts w:ascii="宋体" w:hAnsi="宋体" w:cs="宋体"/>
                <w:b/>
                <w:bCs/>
                <w:color w:val="auto"/>
                <w:highlight w:val="none"/>
              </w:rPr>
            </w:pPr>
            <w:r>
              <w:rPr>
                <w:rFonts w:hint="eastAsia" w:ascii="宋体" w:hAnsi="宋体" w:cs="宋体"/>
                <w:color w:val="auto"/>
                <w:highlight w:val="none"/>
              </w:rPr>
              <w:t>③若本款第①、②点规定方式均为“无”，则按照下列方式确定：</w:t>
            </w:r>
            <w:r>
              <w:rPr>
                <w:rFonts w:hint="eastAsia" w:ascii="宋体" w:hAnsi="宋体" w:cs="宋体"/>
                <w:b/>
                <w:bCs/>
                <w:color w:val="auto"/>
                <w:highlight w:val="none"/>
              </w:rPr>
              <w:t>随机抽取。</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（3）本项目确定的中标人家数：</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①本项目确定合同包1中标人数为1家；</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782" w:type="dxa"/>
            <w:vAlign w:val="center"/>
          </w:tcPr>
          <w:p>
            <w:pPr>
              <w:widowControl/>
              <w:spacing w:line="360" w:lineRule="auto"/>
              <w:rPr>
                <w:rStyle w:val="25"/>
                <w:rFonts w:ascii="宋体" w:hAnsi="宋体" w:cs="宋体"/>
                <w:color w:val="auto"/>
                <w:highlight w:val="none"/>
              </w:rPr>
            </w:pPr>
            <w:r>
              <w:rPr>
                <w:rStyle w:val="25"/>
                <w:rFonts w:hint="eastAsia" w:ascii="宋体" w:hAnsi="宋体" w:cs="宋体"/>
                <w:color w:val="auto"/>
                <w:sz w:val="24"/>
                <w:highlight w:val="none"/>
              </w:rPr>
              <w:t>质疑函原件应采用下列方式提交</w:t>
            </w:r>
          </w:p>
        </w:tc>
        <w:tc>
          <w:tcPr>
            <w:tcW w:w="62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782"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招标文件的质疑</w:t>
            </w:r>
          </w:p>
          <w:p>
            <w:pPr>
              <w:widowControl/>
              <w:spacing w:line="360" w:lineRule="auto"/>
              <w:jc w:val="left"/>
              <w:rPr>
                <w:rFonts w:ascii="宋体" w:hAnsi="宋体" w:cs="宋体"/>
                <w:color w:val="auto"/>
                <w:kern w:val="0"/>
                <w:sz w:val="24"/>
                <w:highlight w:val="none"/>
              </w:rPr>
            </w:pPr>
          </w:p>
        </w:tc>
        <w:tc>
          <w:tcPr>
            <w:tcW w:w="6236" w:type="dxa"/>
            <w:vAlign w:val="center"/>
          </w:tcPr>
          <w:p>
            <w:pPr>
              <w:pStyle w:val="17"/>
              <w:widowControl/>
              <w:spacing w:line="360" w:lineRule="auto"/>
              <w:rPr>
                <w:rFonts w:ascii="宋体" w:hAnsi="宋体" w:cs="宋体"/>
                <w:color w:val="auto"/>
                <w:highlight w:val="none"/>
              </w:rPr>
            </w:pPr>
            <w:r>
              <w:rPr>
                <w:rFonts w:hint="eastAsia" w:ascii="宋体" w:hAnsi="宋体" w:cs="宋体"/>
                <w:color w:val="auto"/>
                <w:highlight w:val="none"/>
              </w:rPr>
              <w:t>（1）潜在投标人可在质疑时效期间内对招标文件以书面形式提出质疑。</w:t>
            </w:r>
          </w:p>
          <w:p>
            <w:pPr>
              <w:pStyle w:val="17"/>
              <w:widowControl/>
              <w:spacing w:line="360" w:lineRule="auto"/>
              <w:rPr>
                <w:rFonts w:ascii="宋体" w:hAnsi="宋体" w:cs="宋体"/>
                <w:color w:val="auto"/>
                <w:highlight w:val="none"/>
              </w:rPr>
            </w:pPr>
            <w:r>
              <w:rPr>
                <w:rFonts w:hint="eastAsia" w:ascii="宋体" w:hAnsi="宋体" w:cs="宋体"/>
                <w:color w:val="auto"/>
                <w:highlight w:val="none"/>
              </w:rPr>
              <w:t>（2）质疑时效期间：</w:t>
            </w:r>
          </w:p>
          <w:p>
            <w:pPr>
              <w:pStyle w:val="17"/>
              <w:widowControl/>
              <w:spacing w:line="360" w:lineRule="auto"/>
              <w:rPr>
                <w:rFonts w:ascii="宋体" w:hAnsi="宋体" w:cs="宋体"/>
                <w:color w:val="auto"/>
                <w:kern w:val="0"/>
                <w:highlight w:val="none"/>
              </w:rPr>
            </w:pPr>
            <w:r>
              <w:rPr>
                <w:rFonts w:hint="eastAsia" w:ascii="宋体" w:hAnsi="宋体" w:cs="宋体"/>
                <w:color w:val="auto"/>
                <w:highlight w:val="none"/>
              </w:rPr>
              <w:t>①在招标文件公告期限截止后至招标文件提供期限届满前的期间内：自招标文件公告期限届满之日起7个工作日内向建融建设管理集团有限责任公司 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监督管理部门</w:t>
            </w:r>
          </w:p>
        </w:tc>
        <w:tc>
          <w:tcPr>
            <w:tcW w:w="6236" w:type="dxa"/>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468" w:type="dxa"/>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12</w:t>
            </w:r>
          </w:p>
        </w:tc>
        <w:tc>
          <w:tcPr>
            <w:tcW w:w="1782" w:type="dxa"/>
            <w:vAlign w:val="center"/>
          </w:tcPr>
          <w:p>
            <w:pPr>
              <w:widowControl/>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指定媒体</w:t>
            </w:r>
          </w:p>
        </w:tc>
        <w:tc>
          <w:tcPr>
            <w:tcW w:w="6236" w:type="dxa"/>
            <w:vAlign w:val="center"/>
          </w:tcPr>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政府采购信息发布媒体（以下简称：“指定媒体”）：</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（1）中国政府采购网</w:t>
            </w: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（2）中国采购与招标网</w:t>
            </w:r>
          </w:p>
          <w:p>
            <w:pPr>
              <w:widowControl/>
              <w:spacing w:line="360" w:lineRule="auto"/>
              <w:jc w:val="left"/>
              <w:rPr>
                <w:rFonts w:ascii="宋体" w:hAnsi="宋体" w:cs="宋体"/>
                <w:color w:val="auto"/>
                <w:highlight w:val="none"/>
              </w:rPr>
            </w:pPr>
            <w:r>
              <w:rPr>
                <w:rFonts w:hint="eastAsia" w:ascii="宋体" w:hAnsi="宋体" w:cs="宋体"/>
                <w:color w:val="auto"/>
                <w:sz w:val="24"/>
                <w:highlight w:val="none"/>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782"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投标保证金</w:t>
            </w:r>
          </w:p>
        </w:tc>
        <w:tc>
          <w:tcPr>
            <w:tcW w:w="6236" w:type="dxa"/>
            <w:vAlign w:val="center"/>
          </w:tcPr>
          <w:p>
            <w:pPr>
              <w:pStyle w:val="2"/>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本批招标投标保证金为人民币</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4980 \* CHINESENUM4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肆仟玖佰捌拾元整</w:t>
            </w:r>
            <w:r>
              <w:rPr>
                <w:rFonts w:hint="eastAsia" w:ascii="宋体" w:hAnsi="宋体" w:cs="宋体"/>
                <w:color w:val="auto"/>
                <w:sz w:val="24"/>
                <w:highlight w:val="none"/>
              </w:rPr>
              <w:fldChar w:fldCharType="end"/>
            </w:r>
            <w:r>
              <w:rPr>
                <w:rFonts w:hint="eastAsia" w:ascii="宋体" w:hAnsi="宋体" w:cs="宋体"/>
                <w:color w:val="auto"/>
                <w:sz w:val="24"/>
                <w:highlight w:val="none"/>
              </w:rPr>
              <w:t>(¥4980元)，保证金必须以</w:t>
            </w:r>
            <w:r>
              <w:rPr>
                <w:rFonts w:hint="eastAsia" w:ascii="宋体" w:hAnsi="宋体" w:cs="宋体"/>
                <w:b/>
                <w:color w:val="auto"/>
                <w:sz w:val="24"/>
                <w:highlight w:val="none"/>
              </w:rPr>
              <w:t>投标人银行帐户公对公</w:t>
            </w:r>
            <w:r>
              <w:rPr>
                <w:rFonts w:hint="eastAsia" w:ascii="宋体" w:hAnsi="宋体" w:cs="宋体"/>
                <w:color w:val="auto"/>
                <w:sz w:val="24"/>
                <w:highlight w:val="none"/>
              </w:rPr>
              <w:t>转账至（开户名—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莆田咨询分公司，开户行—中国农业银行莆田市分行，帐号—13400201040007163）,以款到账户为准，不接受汇票。投标人在缴纳保证金时必须以公司的账户缴纳，不得以投标代表个人的名称缴纳。</w:t>
            </w:r>
            <w:r>
              <w:rPr>
                <w:rFonts w:hint="eastAsia" w:ascii="宋体" w:hAnsi="宋体" w:cs="宋体"/>
                <w:b/>
                <w:color w:val="auto"/>
                <w:sz w:val="24"/>
                <w:highlight w:val="none"/>
              </w:rPr>
              <w:t>保证金未按规定时间到账或提交投标保证金的汇款人名称与投标人名称不一致的，其投标将被拒绝。</w:t>
            </w:r>
          </w:p>
          <w:p>
            <w:pPr>
              <w:widowControl/>
              <w:spacing w:line="360" w:lineRule="auto"/>
              <w:jc w:val="left"/>
              <w:rPr>
                <w:rFonts w:ascii="宋体" w:hAnsi="宋体" w:cs="宋体"/>
                <w:b/>
                <w:color w:val="auto"/>
                <w:kern w:val="0"/>
                <w:sz w:val="24"/>
                <w:highlight w:val="none"/>
              </w:rPr>
            </w:pPr>
            <w:r>
              <w:rPr>
                <w:rFonts w:hint="eastAsia" w:ascii="宋体" w:hAnsi="宋体" w:cs="宋体"/>
                <w:b/>
                <w:color w:val="auto"/>
                <w:sz w:val="24"/>
                <w:highlight w:val="none"/>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782" w:type="dxa"/>
            <w:vAlign w:val="center"/>
          </w:tcPr>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招标服务费</w:t>
            </w:r>
          </w:p>
        </w:tc>
        <w:tc>
          <w:tcPr>
            <w:tcW w:w="6236" w:type="dxa"/>
            <w:vAlign w:val="center"/>
          </w:tcPr>
          <w:p>
            <w:pPr>
              <w:spacing w:line="360" w:lineRule="auto"/>
              <w:rPr>
                <w:rFonts w:ascii="宋体" w:hAnsi="宋体" w:cs="宋体"/>
                <w:color w:val="auto"/>
                <w:sz w:val="24"/>
                <w:highlight w:val="none"/>
              </w:rPr>
            </w:pPr>
            <w:r>
              <w:rPr>
                <w:rFonts w:hint="eastAsia" w:ascii="宋体" w:hAnsi="宋体" w:cs="宋体"/>
                <w:bCs/>
                <w:color w:val="auto"/>
                <w:kern w:val="0"/>
                <w:sz w:val="24"/>
                <w:highlight w:val="none"/>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spacing w:line="360" w:lineRule="auto"/>
              <w:rPr>
                <w:rFonts w:ascii="宋体" w:hAnsi="宋体" w:cs="宋体"/>
                <w:color w:val="auto"/>
                <w:sz w:val="24"/>
                <w:highlight w:val="none"/>
              </w:rPr>
            </w:pPr>
            <w:r>
              <w:rPr>
                <w:rFonts w:hint="eastAsia" w:ascii="宋体" w:hAnsi="宋体" w:cs="宋体"/>
                <w:bCs/>
                <w:color w:val="auto"/>
                <w:kern w:val="0"/>
                <w:sz w:val="24"/>
                <w:highlight w:val="none"/>
              </w:rPr>
              <w:t>②招标服务费缴纳账户：</w:t>
            </w:r>
            <w:r>
              <w:rPr>
                <w:rFonts w:hint="eastAsia" w:ascii="宋体" w:hAnsi="宋体" w:cs="宋体"/>
                <w:color w:val="auto"/>
                <w:sz w:val="24"/>
                <w:highlight w:val="none"/>
              </w:rPr>
              <w:t>开户名—</w:t>
            </w:r>
            <w:r>
              <w:rPr>
                <w:rFonts w:hint="eastAsia" w:ascii="宋体" w:hAnsi="宋体" w:cs="宋体"/>
                <w:bCs/>
                <w:color w:val="auto"/>
                <w:kern w:val="0"/>
                <w:sz w:val="24"/>
                <w:highlight w:val="none"/>
              </w:rPr>
              <w:t>建融建设管理集团有限责任公司</w:t>
            </w:r>
            <w:r>
              <w:rPr>
                <w:rFonts w:hint="eastAsia" w:ascii="宋体" w:hAnsi="宋体" w:cs="宋体"/>
                <w:color w:val="auto"/>
                <w:sz w:val="24"/>
                <w:highlight w:val="none"/>
              </w:rPr>
              <w:t>莆田咨询分公司，开户行—中国农业银行莆田市分行，帐号—13400201040007163</w:t>
            </w:r>
          </w:p>
        </w:tc>
      </w:tr>
    </w:tbl>
    <w:p>
      <w:pPr>
        <w:rPr>
          <w:rFonts w:hint="eastAsia" w:ascii="宋体" w:hAnsi="宋体" w:cs="宋体"/>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color w:val="auto"/>
          <w:highlight w:val="none"/>
        </w:rPr>
      </w:pPr>
    </w:p>
    <w:p>
      <w:pPr>
        <w:widowControl/>
        <w:spacing w:before="75" w:after="75"/>
        <w:rPr>
          <w:rFonts w:ascii="宋体" w:hAnsi="宋体" w:cs="宋体"/>
          <w:b/>
          <w:bCs/>
          <w:color w:val="auto"/>
          <w:kern w:val="0"/>
          <w:sz w:val="32"/>
          <w:highlight w:val="none"/>
        </w:rPr>
      </w:pPr>
    </w:p>
    <w:p>
      <w:pPr>
        <w:widowControl/>
        <w:spacing w:before="75" w:after="75" w:line="360" w:lineRule="auto"/>
        <w:jc w:val="center"/>
        <w:rPr>
          <w:rFonts w:ascii="宋体" w:hAnsi="宋体" w:cs="宋体"/>
          <w:color w:val="auto"/>
          <w:kern w:val="0"/>
          <w:sz w:val="24"/>
          <w:highlight w:val="none"/>
        </w:rPr>
      </w:pPr>
      <w:r>
        <w:rPr>
          <w:rFonts w:hint="eastAsia" w:ascii="宋体" w:hAnsi="宋体" w:cs="宋体"/>
          <w:b/>
          <w:bCs/>
          <w:color w:val="auto"/>
          <w:kern w:val="0"/>
          <w:sz w:val="32"/>
          <w:highlight w:val="none"/>
        </w:rPr>
        <w:t>第三章   投标人须知</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一、总则</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1、适用范围</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1.1适用于招标文件载明项目的政府采购活动（以下简称：“本次采购活动”）。</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2、定义</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2.1“采购标的”指招标文件载明的需要采购的货物或服务。</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2.2“潜在投标人”指按照招标文件第一章第6条规定获取招标文件且有意向参加本项目投标的供应商。</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2.3“投标人”指按照招标文件第一章第6条规定获取招标文件并参加本项目投标的供应商。</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2.4“单位负责人”指单位法定代表人或法律、法规规定代表单位行使职权的主要负责人。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2.5“投标人代表”指投标人的单位负责人或“单位负责人授权书”中载明的接受授权方。</w:t>
      </w:r>
    </w:p>
    <w:p>
      <w:pPr>
        <w:widowControl/>
        <w:spacing w:before="75" w:after="75" w:line="360" w:lineRule="auto"/>
        <w:jc w:val="center"/>
        <w:rPr>
          <w:rFonts w:ascii="宋体" w:hAnsi="宋体" w:cs="宋体"/>
          <w:b/>
          <w:bCs/>
          <w:color w:val="auto"/>
          <w:kern w:val="0"/>
          <w:sz w:val="24"/>
          <w:highlight w:val="none"/>
        </w:rPr>
      </w:pPr>
    </w:p>
    <w:p>
      <w:pPr>
        <w:widowControl/>
        <w:spacing w:before="75" w:after="75" w:line="360" w:lineRule="auto"/>
        <w:jc w:val="center"/>
        <w:rPr>
          <w:rFonts w:ascii="宋体" w:hAnsi="宋体" w:cs="宋体"/>
          <w:b/>
          <w:bCs/>
          <w:color w:val="auto"/>
          <w:kern w:val="0"/>
          <w:sz w:val="24"/>
          <w:highlight w:val="none"/>
        </w:rPr>
      </w:pPr>
    </w:p>
    <w:p>
      <w:pPr>
        <w:widowControl/>
        <w:spacing w:before="75" w:after="75"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3、合格投标人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3.1一般规定</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（2）投标人的资格要求：详见招标文件第一章。</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3.2若本项目接受联合体投标且投标人为联合体，则联合体各方应遵守本章第3.1条规定，同时还应遵守下列规定：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（1）联合体各方应提交联合体协议，联合体协议应符合招标文件规定。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（2）联合体各方不得再单独参加或与其他供应商另外组成联合体参加同一合同项下的投标。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（3）联合体各方应共同与采购人签订政府采购合同，就政府采购合同约定的事项对采购人承担连带责任。</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4、投标费用</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4.1除招标文件另有规定外，投标人应自行承担其参加本项目投标所涉及的一切费用。</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三、招标</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5、招标文件</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5.1招标文件由下述部分组成：</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（1）投标邀请</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（2）投标人须知前附表</w:t>
      </w:r>
      <w:r>
        <w:rPr>
          <w:rFonts w:hint="eastAsia" w:ascii="宋体" w:hAnsi="宋体" w:cs="宋体"/>
          <w:color w:val="auto"/>
          <w:kern w:val="0"/>
          <w:highlight w:val="none"/>
        </w:rPr>
        <w:t>（表1、2）</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（3）投标人须知</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（4）资格审查与评标</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（5）招标内容及要求</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（6）采购合同（参考文本）</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（7）投标文件格式</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（8）按照招标文件规定作为招标文件组成部分的其他内容（若有）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5.2招标文件的澄清或修改</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（1）建融建设管理集团有限责任公司 可对已发出的招标文件进行必要的澄清或修改，但不得对招标文件载明的采购标的和投标人的资格要求进行改变。</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（2）除本章第5.2条第（3）款规定情形外，澄清或修改的内容可能影响投标文件编制的，建融建设管理集团有限责任公司 将在投标截止时间至少15个日历日前，在招标文件载明的指定媒体以更正公告的形式发布澄清或修改的内容。不足15个日历日的，建融建设管理集团有限责任公司 将顺延投标截止时间及开标时间，建融建设管理集团有限责任公司 和投标人受原投标截止时间及开标时间制约的所有权利和义务均延长至新的投标截止时间及开标时间。</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（3）澄清或修改的内容可能改变招标文件载明的采购标的和投标人的资格要求的，本次采购活动结束，建融建设管理集团有限责任公司 将依法组织后续采购活动（包括但不限于：重新招标、采用其他方式采购等）。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6、现场考察或开标前答疑会</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6.1是否组织现场考察或召开开标前答疑会：详见招标文件第二章。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7、更正公告</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7.1若建融建设管理集团有限责任公司 发布更正公告，则更正公告及其所发布的内容或信息（包括但不限于：招标文件的澄清或修改、现场考察或答疑会的有关事宜等）</w:t>
      </w:r>
      <w:r>
        <w:rPr>
          <w:rStyle w:val="25"/>
          <w:rFonts w:hint="eastAsia" w:ascii="宋体" w:hAnsi="宋体" w:cs="宋体"/>
          <w:color w:val="auto"/>
          <w:highlight w:val="none"/>
        </w:rPr>
        <w:t>作为招标文件组成部分</w:t>
      </w:r>
      <w:r>
        <w:rPr>
          <w:rFonts w:hint="eastAsia" w:ascii="宋体" w:hAnsi="宋体" w:cs="宋体"/>
          <w:color w:val="auto"/>
          <w:highlight w:val="none"/>
        </w:rPr>
        <w:t>，对投标人具有约束力。</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7.2更正公告作为建融建设管理集团有限责任公司 通知所有潜在投标人的书面形式。</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8、终止公告</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8.1若出现因重大变故导致采购任务取消情形，建融建设管理集团有限责任公司 可终止招标并发布终止公告。</w:t>
      </w:r>
    </w:p>
    <w:p>
      <w:pPr>
        <w:pStyle w:val="17"/>
        <w:spacing w:before="75" w:after="75" w:line="360" w:lineRule="auto"/>
        <w:rPr>
          <w:rFonts w:ascii="宋体" w:hAnsi="宋体" w:cs="宋体"/>
          <w:b/>
          <w:color w:val="auto"/>
          <w:kern w:val="0"/>
          <w:sz w:val="28"/>
          <w:szCs w:val="28"/>
          <w:highlight w:val="none"/>
        </w:rPr>
      </w:pPr>
      <w:r>
        <w:rPr>
          <w:rFonts w:hint="eastAsia" w:ascii="宋体" w:hAnsi="宋体" w:cs="宋体"/>
          <w:color w:val="auto"/>
          <w:highlight w:val="none"/>
        </w:rPr>
        <w:t>8.2终止公告作为建融建设管理集团有限责任公司 通知所有潜在投标人的书面形式。</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四、投标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9、投标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9.1投标人可对招标文件载明的全部或部分采购包进行投标。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9.2投标人应对同一个采购包内的所有内容进行完整投标，否则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9.3投标人代表只能接受一个投标人的授权参加投标，否则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9.4单位负责人为同一人或存在直接控股、管理关系的不同供应商，不得同时参加同一合同项下的投标，否则</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9.7有下列情形之一的，视为投标人串通投标，</w:t>
      </w:r>
      <w:r>
        <w:rPr>
          <w:rStyle w:val="25"/>
          <w:rFonts w:hint="eastAsia" w:ascii="宋体" w:hAnsi="宋体" w:cs="宋体"/>
          <w:color w:val="auto"/>
          <w:highlight w:val="none"/>
        </w:rPr>
        <w:t>其投标无效：</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（1）不同投标人的投标文件由同一单位或个人编制；</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（2）不同投标人委托同一单位或个人办理投标事宜；</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（3）不同投标人的投标文件载明的项目管理成员或联系人员为同一人；</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（4）不同投标人的投标文件异常一致或投标报价呈规律性差异；</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（5）不同投标人的投标文件相互混装；</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（6）不同投标人的投标保证金从同一单位或个人的账户转出；</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（7）不同投标人的投标文件制作工具MAC地址一致。</w:t>
      </w:r>
    </w:p>
    <w:p>
      <w:pPr>
        <w:widowControl/>
        <w:spacing w:before="75" w:after="75"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（8）有关法律、法规和规章及招标文件规定的其他串通投标情形。</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10、投标文件</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10.1投标文件的编制</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（1）投标人应先仔细阅读招标文件的全部内容后，再进行投标文件的编制。</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（2）投标文件应按照本章第10.2条规定编制其组成部分。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10.2投标文件由下述部分组成：</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（1）资格及资信证明部分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①投标函</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②投标人的资格及资信证明文件</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③投标保证金</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（2）报价部分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①开标一览表</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②投标分项报价表</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③招标文件规定的价格扣除证明材料（若有）</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④招标文件规定的加分证明材料（若有）</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（3）技术商务部分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①标的说明一览表</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②技术和服务要求响应表</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③商务条件响应表</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④投标人提交的其他资料（若有）</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⑤招标文件规定作为投标文件组成部分的其他内容（若有）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10.3投标文件的语言</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（1）除招标文件另有规定外，投标文件应使用中文文本，若有不同文本，以中文文本为准。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10.4投标文件的份数：详见招标文件第二章。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10.5投标文件的格式</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（1）除招标文件另有规定外，投标文件应使用招标文件第七章规定的格式。</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（2）除招标文件另有规定外，投标文件的正本和全部副本均应使用不能擦去的墨料或墨水打印、书写或复印，其中：</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①正本应用A4幅面纸张打印装订，编制封面（封面标明“正本”字样）、索引、页码，并用胶装装订成册。</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③允许散装或活页装订的内容或材料：详见招标文件第二章。</w:t>
      </w:r>
    </w:p>
    <w:p>
      <w:pPr>
        <w:pStyle w:val="17"/>
        <w:spacing w:before="75" w:after="75" w:line="360" w:lineRule="auto"/>
        <w:ind w:firstLine="480"/>
        <w:rPr>
          <w:rFonts w:ascii="宋体" w:hAnsi="宋体" w:cs="宋体"/>
          <w:color w:val="auto"/>
          <w:highlight w:val="none"/>
        </w:rPr>
      </w:pPr>
      <w:r>
        <w:rPr>
          <w:rStyle w:val="25"/>
          <w:rFonts w:hint="eastAsia" w:ascii="宋体" w:hAnsi="宋体" w:cs="宋体"/>
          <w:color w:val="auto"/>
          <w:highlight w:val="none"/>
        </w:rPr>
        <w:t>※除本章第10.5条第（2）款第③点规定情形外，投标文件散装或活页装订将导致投标无效。</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（3）除招标文件另有规定外，投标文件应使用人民币作为计量货币。</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（4）除招标文件另有规定外，签署、盖章应遵守下列规定：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①投标文件应由投标人代表签字并加盖投标人的单位公章。若投标人代表为单位授权的委托代理人，应提供“单位授权书”。</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②投标文件应没有涂改或行间插字，除非这些改动是根据建融建设管理集团有限责任公司 的指示进行的，或是为改正投标人造成的应修改的错误而进行的。若有前述改动，应按照下列规定之一对改动处进行处理：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a.投标人代表签字确认；</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b.加盖投标人的单位公章或校正章。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10.6投标报价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（1）投标报价超出最高限价将导致</w:t>
      </w:r>
      <w:r>
        <w:rPr>
          <w:rFonts w:hint="eastAsia" w:ascii="宋体" w:hAnsi="宋体" w:cs="宋体"/>
          <w:b/>
          <w:bCs/>
          <w:color w:val="auto"/>
          <w:kern w:val="0"/>
          <w:sz w:val="24"/>
          <w:highlight w:val="none"/>
        </w:rPr>
        <w:t>投标无效。</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（2）最高限价由采购人根据价格测算情况，在预算金额的额度内合理设定。最高限价不得超出预算金额。</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（3）除招标文件另有规定外，投标文件不能出现任何选择性的投标报价，即每一个采购包和品目号的采购标的都只能有一个投标报价。任何选择性的投标报价将导致</w:t>
      </w:r>
      <w:r>
        <w:rPr>
          <w:rFonts w:hint="eastAsia" w:ascii="宋体" w:hAnsi="宋体" w:cs="宋体"/>
          <w:b/>
          <w:bCs/>
          <w:color w:val="auto"/>
          <w:kern w:val="0"/>
          <w:sz w:val="24"/>
          <w:highlight w:val="none"/>
        </w:rPr>
        <w:t>投标无效。</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10.7分包</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（1）是否允许中标人将本项目的非主体、非关键性工作进行分包：详见招标文件第二章。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（3）招标文件允许中标人将非主体、非关键性工作进行分包的项目，有下列情形之一的，中标人不得分包：</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①投标文件中未载明分包承担主体；</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②投标文件载明的分包承担主体不具备相应资质条件；</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③投标文件载明的分包承担主体拟再次分包。</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④享受中小企业扶持政策获得政府采购合同的，小微企业不得将合同分包给大中型企业，中型企业不得将合同分包给大型企业。</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10.8投标有效期</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（1）招标文件载明的投标有效期：详见招标文件第二章。</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（2）投标文件承诺的投标有效期不得少于招标文件载明的投标有效期，否则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（3）根据本次采购活动的需要，建融建设管理集团有限责任公司 可于投标有效期届满之前书面要求投标人延长投标有效期，投标人应在建融建设管理集团有限责任公司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10.9投标保证金</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（1）投标保证金作为投标人按照招标文件规定履行相应投标责任、义务的约束及担保。</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（2）投标保证金的有效期应与投标文件承诺的投标有效期保持一致，否则</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（3）提交</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①投标人应从其银行账户</w:t>
      </w:r>
      <w:r>
        <w:rPr>
          <w:rStyle w:val="25"/>
          <w:rFonts w:hint="eastAsia" w:ascii="宋体" w:hAnsi="宋体" w:cs="宋体"/>
          <w:color w:val="auto"/>
          <w:highlight w:val="none"/>
        </w:rPr>
        <w:t>（基本存款账户）</w:t>
      </w:r>
      <w:r>
        <w:rPr>
          <w:rFonts w:hint="eastAsia" w:ascii="宋体" w:hAnsi="宋体" w:cs="宋体"/>
          <w:color w:val="auto"/>
          <w:highlight w:val="none"/>
        </w:rPr>
        <w:t>按照下列方式：</w:t>
      </w:r>
      <w:r>
        <w:rPr>
          <w:rStyle w:val="25"/>
          <w:rFonts w:hint="eastAsia" w:ascii="宋体" w:hAnsi="宋体" w:cs="宋体"/>
          <w:color w:val="auto"/>
          <w:highlight w:val="none"/>
        </w:rPr>
        <w:t>公对公转账方式</w:t>
      </w:r>
      <w:r>
        <w:rPr>
          <w:rFonts w:hint="eastAsia" w:ascii="宋体" w:hAnsi="宋体" w:cs="宋体"/>
          <w:color w:val="auto"/>
          <w:highlight w:val="none"/>
        </w:rPr>
        <w:t>向招标文件载明的投标保证金账户提交投标保证金，具体金额详见招标文件</w:t>
      </w:r>
      <w:r>
        <w:rPr>
          <w:rFonts w:hint="eastAsia" w:ascii="宋体" w:hAnsi="宋体" w:cs="宋体"/>
          <w:color w:val="auto"/>
          <w:kern w:val="0"/>
          <w:highlight w:val="none"/>
        </w:rPr>
        <w:t>第一章</w:t>
      </w:r>
      <w:r>
        <w:rPr>
          <w:rFonts w:hint="eastAsia" w:ascii="宋体" w:hAnsi="宋体" w:cs="宋体"/>
          <w:color w:val="auto"/>
          <w:highlight w:val="none"/>
        </w:rPr>
        <w:t>。</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 xml:space="preserve">②投标保证金应于投标截止时间前到达招标文件载明的投标保证金账户，否则视为投标保证金未提交；是否到达按照下列方式认定：以招标文件指定保证金账户到账时间为准。 </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③若本项目接受联合体投标且投标人为联合体，则联合体中的牵头方应按照本章第10.9条第（3）款第①、②点规定提交投标保证金。</w:t>
      </w:r>
    </w:p>
    <w:p>
      <w:pPr>
        <w:pStyle w:val="17"/>
        <w:spacing w:before="75" w:after="75" w:line="360" w:lineRule="auto"/>
        <w:rPr>
          <w:rFonts w:ascii="宋体" w:hAnsi="宋体" w:cs="宋体"/>
          <w:color w:val="auto"/>
          <w:highlight w:val="none"/>
        </w:rPr>
      </w:pPr>
      <w:r>
        <w:rPr>
          <w:rStyle w:val="25"/>
          <w:rFonts w:hint="eastAsia" w:ascii="宋体" w:hAnsi="宋体" w:cs="宋体"/>
          <w:color w:val="auto"/>
          <w:highlight w:val="none"/>
        </w:rPr>
        <w:t>※除招标文件另有规定外，未按照上述规定提交投标保证金将导致资格审查不合格。</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（4）退还</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①在投标截止时间前撤回已提交的投标文件的投标人，其投标保证金将在建融建设管理集团有限责任公司 收到投标人书面撤回通知之日起5个工作日内退回原账户。</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②未中标人的投标保证金将在中标通知书发出之日起5个工作日内退回原账户。</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③中标人的投标保证金将在政府采购合同签订之日起5个工作日内退回原账户；</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④终止招标的，建融建设管理集团有限责任公司 将在终止公告发布之日起5个工作日内退回已收取的投标保证金及其在银行产生的孳息。</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⑤除招标文件另有规定外，质疑或投诉涉及的投标人，若投标保证金尚未退还，则待质疑或投诉处理完毕后不计利息原额退还。</w:t>
      </w:r>
    </w:p>
    <w:p>
      <w:pPr>
        <w:pStyle w:val="17"/>
        <w:spacing w:before="75" w:after="75" w:line="360" w:lineRule="auto"/>
        <w:ind w:firstLine="480"/>
        <w:rPr>
          <w:rFonts w:ascii="宋体" w:hAnsi="宋体" w:cs="宋体"/>
          <w:color w:val="auto"/>
          <w:highlight w:val="none"/>
        </w:rPr>
      </w:pPr>
      <w:r>
        <w:rPr>
          <w:rStyle w:val="25"/>
          <w:rFonts w:hint="eastAsia" w:ascii="宋体" w:hAnsi="宋体" w:cs="宋体"/>
          <w:color w:val="auto"/>
          <w:highlight w:val="none"/>
        </w:rPr>
        <w:t>※本章第10.9条第（4）款第①、②、③点规定的投标保证金退还时限不包括因投标人自身原因导致无法及时退还而增加的时间。</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（6）有下列情形之一的，投标保证金将不予退还：</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①投标人串通投标；</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②投标人提供虚假材料；</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③投标人采取不正当手段诋毁、排挤其他投标人；</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④投标截止时间后，投标人在投标有效期内撤销投标文件；</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⑤招标文件规定的其他不予退还情形；</w:t>
      </w:r>
    </w:p>
    <w:p>
      <w:pPr>
        <w:pStyle w:val="17"/>
        <w:spacing w:before="75" w:after="75" w:line="360" w:lineRule="auto"/>
        <w:ind w:firstLine="480"/>
        <w:rPr>
          <w:rStyle w:val="25"/>
          <w:rFonts w:ascii="宋体" w:hAnsi="宋体" w:cs="宋体"/>
          <w:color w:val="auto"/>
          <w:highlight w:val="none"/>
        </w:rPr>
      </w:pPr>
      <w:r>
        <w:rPr>
          <w:rStyle w:val="25"/>
          <w:rFonts w:hint="eastAsia" w:ascii="宋体" w:hAnsi="宋体" w:cs="宋体"/>
          <w:color w:val="auto"/>
          <w:highlight w:val="none"/>
        </w:rPr>
        <w:t>⑥中标人有下列情形之一的：</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a.除不可抗力外，因中标人自身原因未在中标通知书要求的期限内与采购人签订政府采购合同；</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b.未按照招标文件、投标文件的约定签订政府采购合同或提交履约保证金。</w:t>
      </w:r>
    </w:p>
    <w:p>
      <w:pPr>
        <w:pStyle w:val="17"/>
        <w:spacing w:before="75" w:after="75" w:line="360" w:lineRule="auto"/>
        <w:ind w:firstLine="480"/>
        <w:rPr>
          <w:rFonts w:ascii="宋体" w:hAnsi="宋体" w:cs="宋体"/>
          <w:color w:val="auto"/>
          <w:highlight w:val="none"/>
        </w:rPr>
      </w:pPr>
      <w:r>
        <w:rPr>
          <w:rStyle w:val="25"/>
          <w:rFonts w:hint="eastAsia" w:ascii="宋体" w:hAnsi="宋体" w:cs="宋体"/>
          <w:color w:val="auto"/>
          <w:highlight w:val="none"/>
        </w:rPr>
        <w:t>※若上述投标保证金不予退还情形给采购人（采购代理机构）造成损失，则投标人还要承担相应的赔偿责任。</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10.10投标文件的提交</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（1）一个投标人只能提交一个投标文件，并按照招标文件第一章规定将其送达。</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（2）密封及其标记的具体形式：详见招标文件第二章。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10.11投标文件的补充、修改或撤回</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（1）投标截止时间前，投标人可对所提交的投标文件进行补充、修改或撤回，并书面通知建融建设管理集团有限责任公司 。</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（2）补充、修改的内容应按照本章第10.5条第（4）款规定进行签署、盖章，并按照本章第10.10条规定提交，</w:t>
      </w:r>
      <w:r>
        <w:rPr>
          <w:rStyle w:val="25"/>
          <w:rFonts w:hint="eastAsia" w:ascii="宋体" w:hAnsi="宋体" w:cs="宋体"/>
          <w:color w:val="auto"/>
          <w:highlight w:val="none"/>
        </w:rPr>
        <w:t>否则将被拒收。</w:t>
      </w:r>
    </w:p>
    <w:p>
      <w:pPr>
        <w:pStyle w:val="17"/>
        <w:spacing w:before="75" w:after="75" w:line="360" w:lineRule="auto"/>
        <w:ind w:firstLine="480"/>
        <w:rPr>
          <w:rFonts w:ascii="宋体" w:hAnsi="宋体" w:cs="宋体"/>
          <w:color w:val="auto"/>
          <w:highlight w:val="none"/>
        </w:rPr>
      </w:pPr>
      <w:r>
        <w:rPr>
          <w:rStyle w:val="25"/>
          <w:rFonts w:hint="eastAsia" w:ascii="宋体" w:hAnsi="宋体" w:cs="宋体"/>
          <w:color w:val="auto"/>
          <w:highlight w:val="none"/>
        </w:rPr>
        <w:t>※按照上述规定提交的补充、修改内容作为投标文件组成部分。</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10.12除招标文件另有规定外，有下列情形之一的，</w:t>
      </w:r>
      <w:r>
        <w:rPr>
          <w:rStyle w:val="25"/>
          <w:rFonts w:hint="eastAsia" w:ascii="宋体" w:hAnsi="宋体" w:cs="宋体"/>
          <w:color w:val="auto"/>
          <w:highlight w:val="none"/>
        </w:rPr>
        <w:t>投标无效</w:t>
      </w:r>
      <w:r>
        <w:rPr>
          <w:rFonts w:hint="eastAsia" w:ascii="宋体" w:hAnsi="宋体" w:cs="宋体"/>
          <w:color w:val="auto"/>
          <w:highlight w:val="none"/>
        </w:rPr>
        <w:t>：</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（1）投标文件未按照招标文件要求签署、盖章；</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（2）不符合招标文件中规定的资格要求；</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（3）投标报价超过招标文件中规定的预算金额或最高限价；</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（4）投标文件含有采购人不能接受的附加条件；</w:t>
      </w:r>
    </w:p>
    <w:p>
      <w:pPr>
        <w:pStyle w:val="17"/>
        <w:spacing w:before="75" w:after="75" w:line="360" w:lineRule="auto"/>
        <w:ind w:firstLine="480"/>
        <w:rPr>
          <w:rStyle w:val="25"/>
          <w:rFonts w:ascii="宋体" w:hAnsi="宋体" w:cs="宋体"/>
          <w:color w:val="auto"/>
          <w:highlight w:val="none"/>
        </w:rPr>
      </w:pPr>
      <w:r>
        <w:rPr>
          <w:rFonts w:hint="eastAsia" w:ascii="宋体" w:hAnsi="宋体" w:cs="宋体"/>
          <w:color w:val="auto"/>
          <w:highlight w:val="none"/>
        </w:rPr>
        <w:t>（5）有关法律、法规和规章及招标文件规定的其他无效情形。</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五、开标</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11、开标</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11.1建融建设管理集团有限责任公司 将在招标文件载明的开标时间及地点主持召开开标会，并邀请投标人参加。</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11.2开标会的主持人、唱标人、记录人及其他工作人员（若有）均由</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派出，现场监督人员（若有）可由有关方面派出。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11.3参加现场开标会的投标人应签到。</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11.4开标会应遵守下列规定：</w:t>
      </w:r>
    </w:p>
    <w:p>
      <w:pPr>
        <w:pStyle w:val="17"/>
        <w:spacing w:before="75" w:after="75" w:line="360" w:lineRule="auto"/>
        <w:ind w:firstLine="480" w:firstLineChars="200"/>
        <w:rPr>
          <w:rFonts w:ascii="宋体" w:hAnsi="宋体" w:cs="宋体"/>
          <w:color w:val="auto"/>
          <w:highlight w:val="none"/>
        </w:rPr>
      </w:pPr>
      <w:r>
        <w:rPr>
          <w:rFonts w:hint="eastAsia" w:ascii="宋体" w:hAnsi="宋体" w:cs="宋体"/>
          <w:color w:val="auto"/>
          <w:highlight w:val="none"/>
        </w:rPr>
        <w:t>（1）首先由主持人宣布开标会须知，然后由投标人代表对投标文件的密封情况进行检查，经确认无误后，由工作人员对密封的投标文件当众拆封。</w:t>
      </w:r>
    </w:p>
    <w:p>
      <w:pPr>
        <w:pStyle w:val="17"/>
        <w:spacing w:before="75" w:after="75" w:line="360" w:lineRule="auto"/>
        <w:ind w:firstLine="480" w:firstLineChars="200"/>
        <w:rPr>
          <w:rFonts w:ascii="宋体" w:hAnsi="宋体" w:cs="宋体"/>
          <w:color w:val="auto"/>
          <w:highlight w:val="none"/>
        </w:rPr>
      </w:pPr>
      <w:r>
        <w:rPr>
          <w:rFonts w:hint="eastAsia" w:ascii="宋体" w:hAnsi="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（3）记录人对唱标人宣布的内容作开标记录。</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（6）若投标人未参加开标会（包括但不限于投标人派出的人员不是投标人代表），视同其对开标过程和开标记录予以认可。</w:t>
      </w:r>
    </w:p>
    <w:p>
      <w:pPr>
        <w:pStyle w:val="17"/>
        <w:spacing w:before="75" w:after="75" w:line="360" w:lineRule="auto"/>
        <w:ind w:firstLine="480"/>
        <w:rPr>
          <w:rFonts w:ascii="宋体" w:hAnsi="宋体" w:cs="宋体"/>
          <w:color w:val="auto"/>
          <w:highlight w:val="none"/>
        </w:rPr>
      </w:pPr>
      <w:r>
        <w:rPr>
          <w:rStyle w:val="25"/>
          <w:rFonts w:hint="eastAsia" w:ascii="宋体" w:hAnsi="宋体" w:cs="宋体"/>
          <w:color w:val="auto"/>
          <w:highlight w:val="none"/>
        </w:rPr>
        <w:t>※若出现本章第11.4条第（4）、（5）、（6）款规定情形之一</w:t>
      </w:r>
      <w:r>
        <w:rPr>
          <w:rFonts w:hint="eastAsia" w:ascii="宋体" w:hAnsi="宋体" w:cs="宋体"/>
          <w:color w:val="auto"/>
          <w:highlight w:val="none"/>
        </w:rPr>
        <w:t>，</w:t>
      </w:r>
      <w:r>
        <w:rPr>
          <w:rStyle w:val="25"/>
          <w:rFonts w:hint="eastAsia" w:ascii="宋体" w:hAnsi="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cs="宋体"/>
          <w:color w:val="auto"/>
          <w:highlight w:val="none"/>
        </w:rPr>
        <w:t xml:space="preserve">建融建设管理集团有限责任公司 </w:t>
      </w:r>
      <w:r>
        <w:rPr>
          <w:rStyle w:val="25"/>
          <w:rFonts w:hint="eastAsia" w:ascii="宋体" w:hAnsi="宋体" w:cs="宋体"/>
          <w:color w:val="auto"/>
          <w:highlight w:val="none"/>
        </w:rPr>
        <w:t>提出任何疑义或要求（包括质疑）。</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11.5投标截止时间后，参加投标的投标人不足三家的，不进行开标。同时，本次采购活动结束，建融建设管理集团有限责任公司 将依法组织后续采购活动（包括但不限于：重新招标、采用其他方式采购等）。</w:t>
      </w:r>
    </w:p>
    <w:p>
      <w:pPr>
        <w:pStyle w:val="17"/>
        <w:spacing w:before="75" w:after="75" w:line="360" w:lineRule="auto"/>
        <w:rPr>
          <w:rFonts w:ascii="宋体" w:hAnsi="宋体" w:cs="宋体"/>
          <w:color w:val="auto"/>
          <w:highlight w:val="none"/>
        </w:rPr>
      </w:pPr>
      <w:r>
        <w:rPr>
          <w:rFonts w:hint="eastAsia" w:ascii="宋体" w:hAnsi="宋体" w:cs="宋体"/>
          <w:color w:val="auto"/>
          <w:kern w:val="0"/>
          <w:highlight w:val="none"/>
        </w:rPr>
        <w:t>11.6投标截止时间后撤销投标的处理</w:t>
      </w:r>
      <w:r>
        <w:rPr>
          <w:rFonts w:hint="eastAsia" w:ascii="宋体" w:hAnsi="宋体" w:cs="宋体"/>
          <w:color w:val="auto"/>
          <w:kern w:val="0"/>
          <w:highlight w:val="none"/>
        </w:rPr>
        <w:br w:type="textWrapping"/>
      </w:r>
      <w:r>
        <w:rPr>
          <w:rFonts w:hint="eastAsia" w:ascii="宋体" w:hAnsi="宋体" w:cs="宋体"/>
          <w:color w:val="auto"/>
          <w:kern w:val="0"/>
          <w:highlight w:val="none"/>
        </w:rPr>
        <w:t>  投标截止时间后，投标人在投标有效期内撤销投标的，其撤销投标的行为无效。   </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六、中标与政府采购合同</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12、中标</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12.1本项目推荐的中标候选人家数：详见招标文件第二章。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12.2本项目中标人的确定：详见招标文件第二章。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12.3中标公告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（1）中标人确定之日起2个工作日内，</w:t>
      </w:r>
      <w:r>
        <w:rPr>
          <w:rFonts w:hint="eastAsia" w:ascii="宋体" w:hAnsi="宋体" w:cs="宋体"/>
          <w:color w:val="auto"/>
          <w:kern w:val="0"/>
          <w:sz w:val="24"/>
          <w:highlight w:val="none"/>
          <w:u w:val="single"/>
        </w:rPr>
        <w:t xml:space="preserve">建融建设管理集团有限责任公司 </w:t>
      </w:r>
      <w:r>
        <w:rPr>
          <w:rFonts w:hint="eastAsia" w:ascii="宋体" w:hAnsi="宋体" w:cs="宋体"/>
          <w:color w:val="auto"/>
          <w:kern w:val="0"/>
          <w:sz w:val="24"/>
          <w:highlight w:val="none"/>
        </w:rPr>
        <w:t>将在招标文件载明的指定媒体以中标公告的形式发布中标结果。</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（2）中标公告的公告期限为1个工作日。</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12.4中标通知书</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（1）中标公告发布的同时，建融建设管理集团有限责任公司 将向中标人发出中标通知书。</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（2）中标通知书发出后，采购人不得违法改变中标结果，中标人无正当理由不得放弃中标。</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13、政府采购合同</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13.2签订时限：</w:t>
      </w:r>
      <w:r>
        <w:rPr>
          <w:rFonts w:hint="eastAsia" w:ascii="宋体" w:hAnsi="宋体" w:cs="宋体"/>
          <w:b/>
          <w:bCs/>
          <w:color w:val="auto"/>
          <w:highlight w:val="none"/>
        </w:rPr>
        <w:t>自中标通知书发出之日起30个工作日内。</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13.3政府采购合同的履行、违约责任和解决争议的方法等适用</w:t>
      </w:r>
      <w:r>
        <w:rPr>
          <w:rFonts w:hint="eastAsia" w:ascii="宋体" w:hAnsi="宋体" w:cs="宋体"/>
          <w:color w:val="auto"/>
          <w:kern w:val="0"/>
          <w:highlight w:val="none"/>
        </w:rPr>
        <w:t>民法典</w:t>
      </w:r>
      <w:r>
        <w:rPr>
          <w:rFonts w:hint="eastAsia" w:ascii="宋体" w:hAnsi="宋体" w:cs="宋体"/>
          <w:color w:val="auto"/>
          <w:highlight w:val="none"/>
        </w:rPr>
        <w:t>。</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13.4采购人与中标人应根据政府采购合同的约定依法履行合同义务。</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13.5政府采购合同履行过程中，采购人若需追加与合同标的相同的货物或服务，则追加采购金额不得超过原合同采购金额的10%。</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13.6中标人在政府采购合同履行过程中应遵守有关法律、法规和规章的强制性规定（即使前述强制性规定有可能在招标文件中未予列明）。</w:t>
      </w:r>
    </w:p>
    <w:p>
      <w:pPr>
        <w:pStyle w:val="17"/>
        <w:spacing w:before="75" w:after="75" w:line="360" w:lineRule="auto"/>
        <w:rPr>
          <w:rFonts w:ascii="宋体" w:hAnsi="宋体" w:cs="宋体"/>
          <w:color w:val="auto"/>
          <w:highlight w:val="none"/>
        </w:rPr>
      </w:pP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七、询问、质疑与投诉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14、询问</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14.1潜在投标人或投标人对本次采购活动的有关事项若有疑问，可向建融建设管理集团有限责任公司 提出询问，建融建设管理集团有限责任公司 将按照政府采购法及实施条例的有关规定进行答复。</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15、质疑</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15.1</w:t>
      </w:r>
      <w:r>
        <w:rPr>
          <w:rFonts w:hint="eastAsia" w:ascii="宋体" w:hAnsi="宋体" w:cs="宋体"/>
          <w:color w:val="auto"/>
          <w:kern w:val="0"/>
          <w:highlight w:val="none"/>
        </w:rPr>
        <w:t>针对同一采购程序环节的质疑应在政府采购法及实施条例的时限内一次性提出，对一个项目的不同采购包提出质疑的，应当将各采购包质疑事项集中在一份质疑函中提出，并同时符合下列条件：</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（1）对招标文件提出质疑的，质疑人应为潜在投标人，且两者的身份、名称等均应保持一致。对采购过程、结果提出质疑的，质疑人应为投标人，且两者的身份、名称等均应保持一致。</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（2）质疑人应按照招标文件第二章规定方式提交质疑函。</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（3）质疑函应包括下列主要内容：</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①质疑人的基本信息，至少包括：全称、地址、邮政编码等；</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②所质疑项目的基本信息，至少包括：项目编号、项目名称等；</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③所质疑的具体事项（以下简称：“质疑事项”）；</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④针对质疑事项提出的明确请求，前述明确请求指质疑人提出质疑的目的以及希望建融建设管理集团有限责任公司 对其质疑作出的处理结果，如：暂停招标投标活动、修改招标文件、停止或纠正违法违规行为、中标结果无效、废标、重新招标等；</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⑤针对质疑事项导致质疑人自身权益受到损害的必要证明材料，至少包括：</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a.质疑人代表的身份证明材料：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a2若本项目接受自然人投标且质疑人为自然人的，提供本人的身份证复印件。</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b.其他证明材料（即事实依据和必要的法律依据）包括但不限于下列材料：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b1所质疑的具体事项是与自已有利害关系的证明材料；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b2质疑函所述事实存在的证明材料，如：采购文件、采购过程或中标结果违法违规或不符合采购文件要求等证明材料；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b3依法应终止采购程序的证明材料；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b4应重新采购的证明材料；</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b5采购文件、采购过程或中标、成交结果损害自已合法权益的证明材料等；</w:t>
      </w:r>
    </w:p>
    <w:p>
      <w:pPr>
        <w:widowControl/>
        <w:spacing w:before="58" w:after="58" w:line="360" w:lineRule="auto"/>
        <w:ind w:firstLine="369"/>
        <w:jc w:val="left"/>
        <w:rPr>
          <w:rFonts w:ascii="宋体" w:hAnsi="宋体" w:cs="宋体"/>
          <w:color w:val="auto"/>
          <w:kern w:val="0"/>
          <w:sz w:val="24"/>
          <w:highlight w:val="none"/>
        </w:rPr>
      </w:pPr>
      <w:r>
        <w:rPr>
          <w:rFonts w:hint="eastAsia" w:ascii="宋体" w:hAnsi="宋体" w:cs="宋体"/>
          <w:color w:val="auto"/>
          <w:kern w:val="0"/>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cs="宋体"/>
          <w:b/>
          <w:bCs/>
          <w:color w:val="auto"/>
          <w:kern w:val="0"/>
          <w:sz w:val="24"/>
          <w:highlight w:val="none"/>
        </w:rPr>
        <w:t>视为无效</w:t>
      </w:r>
      <w:r>
        <w:rPr>
          <w:rFonts w:hint="eastAsia" w:ascii="宋体" w:hAnsi="宋体" w:cs="宋体"/>
          <w:color w:val="auto"/>
          <w:kern w:val="0"/>
          <w:sz w:val="24"/>
          <w:highlight w:val="none"/>
        </w:rPr>
        <w:t>）。</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⑥质疑人代表及其联系方法的信息，至少包括：姓名、手机、电子信箱、邮寄地址等。</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⑦提出质疑的日期。</w:t>
      </w:r>
    </w:p>
    <w:p>
      <w:pPr>
        <w:widowControl/>
        <w:spacing w:before="100" w:beforeAutospacing="1" w:after="100" w:afterAutospacing="1" w:line="360" w:lineRule="auto"/>
        <w:ind w:firstLine="369"/>
        <w:jc w:val="left"/>
        <w:rPr>
          <w:rFonts w:ascii="宋体" w:hAnsi="宋体" w:cs="宋体"/>
          <w:color w:val="auto"/>
          <w:kern w:val="0"/>
          <w:sz w:val="24"/>
          <w:highlight w:val="none"/>
        </w:rPr>
      </w:pPr>
      <w:r>
        <w:rPr>
          <w:rFonts w:hint="eastAsia" w:ascii="宋体" w:hAnsi="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15.2对不符合本章第15.1条规定的质疑，将按照下列规定进行处理：</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（1）不符合其中第（1）、（2）条规定的，书面告知质疑人不予受理及其理由。</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（2）不符合其中第（3）条规定的，书面告知质疑人修改、补充后在规定时限内重新提交质疑函。</w:t>
      </w:r>
    </w:p>
    <w:p>
      <w:pPr>
        <w:widowControl/>
        <w:spacing w:before="75" w:after="75" w:line="360" w:lineRule="auto"/>
        <w:jc w:val="left"/>
        <w:rPr>
          <w:rFonts w:ascii="宋体" w:hAnsi="宋体" w:cs="宋体"/>
          <w:color w:val="auto"/>
          <w:highlight w:val="none"/>
        </w:rPr>
      </w:pPr>
      <w:r>
        <w:rPr>
          <w:rFonts w:hint="eastAsia" w:ascii="宋体" w:hAnsi="宋体" w:cs="宋体"/>
          <w:color w:val="auto"/>
          <w:kern w:val="0"/>
          <w:sz w:val="24"/>
          <w:highlight w:val="none"/>
        </w:rPr>
        <w:t>15.3对符合本章第15.1条规定的质疑，将按照政府采购法及实施条例、政府采购质疑和投诉办法的有关规定进行答复。</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15.4招标文件的质疑：详见招标文件第二章。</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16、投诉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16.2投诉应有明确的请求和必要的证明材料，投诉的事项不得超出已质疑事项的范围。</w:t>
      </w:r>
    </w:p>
    <w:p>
      <w:pPr>
        <w:pStyle w:val="17"/>
        <w:spacing w:before="75" w:after="75" w:line="360" w:lineRule="auto"/>
        <w:rPr>
          <w:rFonts w:ascii="宋体" w:hAnsi="宋体" w:cs="宋体"/>
          <w:color w:val="auto"/>
          <w:highlight w:val="none"/>
        </w:rPr>
      </w:pP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八、政府采购政策</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17、政府采购政策由财政部根据国家的经济和社会发展政策并会同国家有关部委制定，包括但不限于下列具体政策要求：</w:t>
      </w:r>
    </w:p>
    <w:p>
      <w:pPr>
        <w:pStyle w:val="17"/>
        <w:spacing w:before="75" w:after="75" w:line="360" w:lineRule="auto"/>
        <w:rPr>
          <w:rFonts w:ascii="宋体" w:hAnsi="宋体" w:cs="宋体"/>
          <w:color w:val="auto"/>
          <w:highlight w:val="none"/>
        </w:rPr>
      </w:pPr>
      <w:r>
        <w:rPr>
          <w:rFonts w:hint="eastAsia" w:ascii="宋体" w:hAnsi="宋体" w:cs="宋体"/>
          <w:color w:val="auto"/>
          <w:highlight w:val="none"/>
        </w:rPr>
        <w:t>17.1进口产品指通过中国海关报关验放进入中国境内且产自关境外的产品，其中：</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（2）凡在海关特殊监管区域内企业生产或加工（包括从境外进口料件）销往境内其他地区的产品，不作为政府采购项下进口产品。</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（3）对从境外进入海关特殊监管区域，再经办理报关手续后从海关特殊监管区进入境内其他地区的产品，认定为进口产品。</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（4）招标文件列明不允许或未列明允许进口产品参加投标的，均视为拒绝进口产品参加投标。</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（1）中小企业指符合下列条件的中型、小型、微型企业：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②符合中小企业划分标准的个体工商户，在政府采购活动中视同中小企业。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（2）在政府采购活动中，供应商提供的货物、工程或者服务符合下列情形的，享受本办法规定的中小企业扶持政策：</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①在货物采购项目中，货物由中小企业制造，即货物由中小企业生产且使用该中小企业商号或者注册商标；</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②在工程采购项目中，工程由中小企业承建，即工程施工单位为中小企业；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③在服务采购项目中，服务由中小企业承接，即提供服务的人员为中小企业依照《中华人民共和国劳动合同法》 订立劳动合同的从业人员。</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 xml:space="preserve">在货物采购项目中，供应商提供的货物既有中小企业制造货物，也有大型企业制造货物的，不享受本办法规定的中小企业扶持政策。 </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①监狱企业参加采购活动时，应提供由省级以上监狱管理局、戒毒管理局（含新疆生产建设兵团）出具的属于监狱企业的证明文件。</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②监狱企业视同小型、微型企业。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（4）残疾人福利性单位指同时符合下列条件的单位：</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①安置的残疾人占本单位在职职工人数的比例不低于25%（含25%），并且安置的残疾人人数不少于10人（含10人）；</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②依法与安置的每位残疾人签订了一年以上（含一年）的劳动合同或服务协议；</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③为安置的每位残疾人按月足额缴纳了基本养老保险、基本医疗保险、失业保险、工伤保险和生育保险等社会保险费；</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④通过银行等金融机构向安置的每位残疾人，按月支付了不低于单位所在区县适用的经省级人民政府批准的月最低工资标准的工资；</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⑤提供本单位制造的货物、承担的工程或服务，或提供其他残疾人福利性单位制造的货物（不包括使用非残疾人福利性单位注册商标的货物）。</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17.5信用记录指由财政部确定的有关网站提供的相关主体信用信息。信用记录的查询及使用应符合财政部文件（财库[2016]125号）规定。</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17.6为落实政府采购政策需满足的要求：详见招标文件第一章。</w:t>
      </w:r>
    </w:p>
    <w:p>
      <w:pPr>
        <w:widowControl/>
        <w:spacing w:before="75" w:after="75" w:line="360" w:lineRule="auto"/>
        <w:jc w:val="left"/>
        <w:rPr>
          <w:rFonts w:ascii="宋体" w:hAnsi="宋体" w:cs="宋体"/>
          <w:b/>
          <w:color w:val="auto"/>
          <w:sz w:val="24"/>
          <w:highlight w:val="none"/>
        </w:rPr>
      </w:pPr>
      <w:r>
        <w:rPr>
          <w:rFonts w:hint="eastAsia" w:ascii="宋体" w:hAnsi="宋体" w:cs="宋体"/>
          <w:color w:val="auto"/>
          <w:kern w:val="0"/>
          <w:sz w:val="24"/>
          <w:highlight w:val="none"/>
        </w:rPr>
        <w:t> </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九、本项目的有关信息</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18.1指定媒体：详见招标文件第二章。</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18.2本项目的潜在投标人或投标人应随时关注指定媒体，否则产生不利后果由其自行承担。</w:t>
      </w:r>
    </w:p>
    <w:p>
      <w:pPr>
        <w:widowControl/>
        <w:spacing w:after="150"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十、其他事项</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19、其他事项：详见招标文件第二章。</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7"/>
        <w:spacing w:before="75" w:after="75" w:line="360" w:lineRule="auto"/>
        <w:ind w:firstLine="480"/>
        <w:rPr>
          <w:rFonts w:ascii="宋体" w:hAnsi="宋体" w:cs="宋体"/>
          <w:color w:val="auto"/>
          <w:highlight w:val="none"/>
        </w:rPr>
      </w:pPr>
      <w:r>
        <w:rPr>
          <w:rFonts w:hint="eastAsia" w:ascii="宋体" w:hAnsi="宋体" w:cs="宋体"/>
          <w:color w:val="auto"/>
          <w:kern w:val="0"/>
          <w:highlight w:val="none"/>
        </w:rPr>
        <w:t> 19.2其他：详见招标文件第二章。</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sz w:val="32"/>
          <w:szCs w:val="32"/>
          <w:highlight w:val="none"/>
        </w:rPr>
        <w:t>第四章   资格审查与评标</w:t>
      </w:r>
    </w:p>
    <w:p>
      <w:pPr>
        <w:pStyle w:val="17"/>
        <w:spacing w:before="75" w:after="75" w:line="360" w:lineRule="auto"/>
        <w:jc w:val="center"/>
        <w:rPr>
          <w:rFonts w:ascii="宋体" w:hAnsi="宋体" w:cs="宋体"/>
          <w:color w:val="auto"/>
          <w:highlight w:val="none"/>
        </w:rPr>
      </w:pPr>
      <w:r>
        <w:rPr>
          <w:rStyle w:val="25"/>
          <w:rFonts w:hint="eastAsia" w:ascii="宋体" w:hAnsi="宋体" w:cs="宋体"/>
          <w:color w:val="auto"/>
          <w:highlight w:val="none"/>
        </w:rPr>
        <w:t>一、资格审查</w:t>
      </w:r>
    </w:p>
    <w:p>
      <w:pPr>
        <w:pStyle w:val="17"/>
        <w:widowControl/>
        <w:spacing w:before="75" w:after="75"/>
        <w:rPr>
          <w:color w:val="auto"/>
          <w:highlight w:val="none"/>
        </w:rPr>
      </w:pPr>
      <w:r>
        <w:rPr>
          <w:rFonts w:hint="eastAsia" w:ascii="宋体" w:hAnsi="宋体" w:cs="宋体"/>
          <w:color w:val="auto"/>
          <w:highlight w:val="none"/>
        </w:rPr>
        <w:t>1、开标结束后，由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负责资格审查小组的组建及资格审查工作的组织。</w:t>
      </w:r>
    </w:p>
    <w:p>
      <w:pPr>
        <w:pStyle w:val="17"/>
        <w:widowControl/>
        <w:spacing w:before="75" w:after="75"/>
        <w:rPr>
          <w:rFonts w:ascii="宋体" w:hAnsi="宋体" w:cs="宋体"/>
          <w:color w:val="auto"/>
          <w:highlight w:val="none"/>
        </w:rPr>
      </w:pPr>
      <w:r>
        <w:rPr>
          <w:rFonts w:hint="eastAsia" w:ascii="宋体" w:hAnsi="宋体" w:cs="宋体"/>
          <w:color w:val="auto"/>
          <w:highlight w:val="none"/>
        </w:rPr>
        <w:t>1.1资格审查小组由</w:t>
      </w:r>
      <w:r>
        <w:rPr>
          <w:rFonts w:ascii="Calibri" w:hAnsi="Calibri" w:cs="Calibri"/>
          <w:color w:val="auto"/>
          <w:highlight w:val="none"/>
        </w:rPr>
        <w:t>3</w:t>
      </w:r>
      <w:r>
        <w:rPr>
          <w:rFonts w:hint="eastAsia" w:ascii="宋体" w:hAnsi="宋体" w:cs="宋体"/>
          <w:color w:val="auto"/>
          <w:highlight w:val="none"/>
        </w:rPr>
        <w:t>人组成，并负责具体审查事务，其中：由采购人派出的采购人代表至少</w:t>
      </w:r>
      <w:r>
        <w:rPr>
          <w:rFonts w:hint="eastAsia" w:ascii="宋体" w:hAnsi="宋体" w:cs="宋体"/>
          <w:color w:val="auto"/>
          <w:highlight w:val="none"/>
          <w:u w:val="single"/>
        </w:rPr>
        <w:t>1</w:t>
      </w:r>
      <w:r>
        <w:rPr>
          <w:rFonts w:hint="eastAsia" w:ascii="宋体" w:hAnsi="宋体" w:cs="宋体"/>
          <w:color w:val="auto"/>
          <w:highlight w:val="none"/>
        </w:rPr>
        <w:t>人，由</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派出的工作人员至少</w:t>
      </w:r>
      <w:r>
        <w:rPr>
          <w:rFonts w:hint="eastAsia" w:ascii="宋体" w:hAnsi="宋体" w:cs="宋体"/>
          <w:color w:val="auto"/>
          <w:highlight w:val="none"/>
          <w:u w:val="single"/>
        </w:rPr>
        <w:t>1</w:t>
      </w:r>
      <w:r>
        <w:rPr>
          <w:rFonts w:hint="eastAsia" w:ascii="宋体" w:hAnsi="宋体" w:cs="宋体"/>
          <w:color w:val="auto"/>
          <w:highlight w:val="none"/>
        </w:rPr>
        <w:t>人，其余</w:t>
      </w:r>
      <w:r>
        <w:rPr>
          <w:rFonts w:hint="eastAsia" w:ascii="宋体" w:hAnsi="宋体" w:cs="宋体"/>
          <w:color w:val="auto"/>
          <w:highlight w:val="none"/>
          <w:u w:val="single"/>
        </w:rPr>
        <w:t>1</w:t>
      </w:r>
      <w:r>
        <w:rPr>
          <w:rFonts w:hint="eastAsia" w:ascii="宋体" w:hAnsi="宋体" w:cs="宋体"/>
          <w:color w:val="auto"/>
          <w:highlight w:val="none"/>
        </w:rPr>
        <w:t>人可为采购人代表或</w:t>
      </w:r>
      <w:r>
        <w:rPr>
          <w:rFonts w:hint="eastAsia" w:ascii="宋体" w:hAnsi="宋体" w:cs="宋体"/>
          <w:color w:val="auto"/>
          <w:highlight w:val="none"/>
          <w:u w:val="single"/>
        </w:rPr>
        <w:t>建融建设管理集团有限责任公司</w:t>
      </w:r>
      <w:r>
        <w:rPr>
          <w:rFonts w:hint="eastAsia" w:ascii="宋体" w:hAnsi="宋体" w:cs="宋体"/>
          <w:color w:val="auto"/>
          <w:highlight w:val="none"/>
        </w:rPr>
        <w:t>的工作人员。</w:t>
      </w:r>
    </w:p>
    <w:p>
      <w:pPr>
        <w:pStyle w:val="17"/>
        <w:spacing w:line="360" w:lineRule="auto"/>
        <w:rPr>
          <w:rFonts w:ascii="宋体" w:hAnsi="宋体" w:cs="宋体"/>
          <w:color w:val="auto"/>
          <w:highlight w:val="none"/>
        </w:rPr>
      </w:pPr>
      <w:r>
        <w:rPr>
          <w:rFonts w:hint="eastAsia" w:ascii="宋体" w:hAnsi="宋体" w:cs="宋体"/>
          <w:color w:val="auto"/>
          <w:highlight w:val="none"/>
        </w:rPr>
        <w:t>1.2资格审查的依据是招标文件和投标文件。</w:t>
      </w:r>
    </w:p>
    <w:p>
      <w:pPr>
        <w:pStyle w:val="17"/>
        <w:spacing w:line="360" w:lineRule="auto"/>
        <w:rPr>
          <w:rFonts w:ascii="宋体" w:hAnsi="宋体" w:cs="宋体"/>
          <w:color w:val="auto"/>
          <w:highlight w:val="none"/>
        </w:rPr>
      </w:pPr>
      <w:r>
        <w:rPr>
          <w:rFonts w:hint="eastAsia" w:ascii="宋体" w:hAnsi="宋体" w:cs="宋体"/>
          <w:color w:val="auto"/>
          <w:highlight w:val="none"/>
        </w:rPr>
        <w:t>1.3资格审查的范围及内容：投标文件（资格及资信证明部分），具体如下：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numPr>
          <w:ilvl w:val="0"/>
          <w:numId w:val="2"/>
        </w:numPr>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一般资格证明文件：</w:t>
      </w:r>
    </w:p>
    <w:tbl>
      <w:tblPr>
        <w:tblStyle w:val="21"/>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9"/>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199" w:type="dxa"/>
            <w:shd w:val="clear" w:color="auto" w:fill="auto"/>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c>
          <w:tcPr>
            <w:tcW w:w="6137" w:type="dxa"/>
            <w:shd w:val="clear" w:color="auto" w:fill="auto"/>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（1）单位授权书</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②投标人为自然人的，可不填写本授权书。③</w:t>
            </w:r>
            <w:r>
              <w:rPr>
                <w:rFonts w:hint="eastAsia" w:ascii="宋体" w:hAnsi="宋体" w:cs="宋体"/>
                <w:b/>
                <w:bCs/>
                <w:color w:val="auto"/>
                <w:kern w:val="0"/>
                <w:sz w:val="24"/>
                <w:highlight w:val="none"/>
                <w:u w:val="single"/>
              </w:rPr>
              <w:t>纸质投标文件正本中的本授权书（若有）应为原件。</w:t>
            </w:r>
            <w:r>
              <w:rPr>
                <w:rFonts w:hint="eastAsia" w:ascii="宋体" w:hAnsi="宋体" w:cs="宋体"/>
                <w:color w:val="auto"/>
                <w:kern w:val="0"/>
                <w:sz w:val="24"/>
                <w:highlight w:val="none"/>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（2）营业执照等证明文件</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（3）提供财务状况报告（财务报告、或资信证明、或投标担保函）</w:t>
            </w:r>
          </w:p>
        </w:tc>
        <w:tc>
          <w:tcPr>
            <w:tcW w:w="6137" w:type="dxa"/>
            <w:shd w:val="clear" w:color="auto" w:fill="auto"/>
            <w:vAlign w:val="center"/>
          </w:tcPr>
          <w:p>
            <w:pPr>
              <w:spacing w:line="360" w:lineRule="auto"/>
              <w:rPr>
                <w:rFonts w:ascii="宋体" w:hAnsi="宋体" w:cs="宋体"/>
                <w:color w:val="auto"/>
                <w:highlight w:val="none"/>
              </w:rPr>
            </w:pPr>
            <w:r>
              <w:rPr>
                <w:rFonts w:hint="eastAsia" w:ascii="宋体" w:hAnsi="宋体" w:cs="宋体"/>
                <w:color w:val="auto"/>
                <w:kern w:val="0"/>
                <w:sz w:val="24"/>
                <w:highlight w:val="none"/>
              </w:rPr>
              <w:t>①</w:t>
            </w:r>
            <w:r>
              <w:rPr>
                <w:rFonts w:hint="eastAsia" w:ascii="宋体" w:hAnsi="宋体" w:cs="宋体"/>
                <w:color w:val="auto"/>
                <w:sz w:val="24"/>
                <w:highlight w:val="none"/>
              </w:rPr>
              <w:t>投标人提供的财务报告复印件（成立年限按照投标截止时间推算）应符合下列规定：</w:t>
            </w:r>
            <w:r>
              <w:rPr>
                <w:rFonts w:hint="eastAsia" w:ascii="宋体" w:hAnsi="宋体" w:cs="宋体"/>
                <w:color w:val="auto"/>
                <w:kern w:val="0"/>
                <w:sz w:val="24"/>
                <w:highlight w:val="none"/>
              </w:rPr>
              <w:t>a.</w:t>
            </w:r>
            <w:r>
              <w:rPr>
                <w:rFonts w:hint="eastAsia" w:ascii="宋体" w:hAnsi="宋体" w:cs="宋体"/>
                <w:color w:val="auto"/>
                <w:sz w:val="24"/>
                <w:highlight w:val="none"/>
              </w:rPr>
              <w:t>成立年限满1年及以上的投标人，</w:t>
            </w:r>
            <w:r>
              <w:rPr>
                <w:rFonts w:hint="eastAsia" w:ascii="宋体" w:hAnsi="宋体" w:cs="宋体"/>
                <w:b/>
                <w:bCs/>
                <w:color w:val="auto"/>
                <w:sz w:val="24"/>
                <w:highlight w:val="none"/>
                <w:u w:val="single"/>
              </w:rPr>
              <w:t>提供经审计的上一年度的年度财务报告。</w:t>
            </w:r>
            <w:r>
              <w:rPr>
                <w:rFonts w:hint="eastAsia" w:ascii="宋体" w:hAnsi="宋体" w:cs="宋体"/>
                <w:color w:val="auto"/>
                <w:kern w:val="0"/>
                <w:sz w:val="24"/>
                <w:highlight w:val="none"/>
              </w:rPr>
              <w:t>b.</w:t>
            </w:r>
            <w:r>
              <w:rPr>
                <w:rFonts w:hint="eastAsia" w:ascii="宋体" w:hAnsi="宋体" w:cs="宋体"/>
                <w:color w:val="auto"/>
                <w:sz w:val="24"/>
                <w:highlight w:val="none"/>
              </w:rPr>
              <w:t>成立年限满半年但不足1年的投标人，提供该半年度中任一季度的季度财务报告或该半年度的半年度财务报告。※</w:t>
            </w:r>
            <w:r>
              <w:rPr>
                <w:rFonts w:hint="eastAsia" w:ascii="宋体" w:hAnsi="宋体" w:cs="宋体"/>
                <w:color w:val="auto"/>
                <w:kern w:val="0"/>
                <w:sz w:val="24"/>
                <w:highlight w:val="none"/>
              </w:rPr>
              <w:t>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cs="宋体"/>
                <w:b/>
                <w:bCs/>
                <w:color w:val="auto"/>
                <w:sz w:val="24"/>
                <w:highlight w:val="none"/>
                <w:u w:val="single"/>
              </w:rPr>
              <w:t>提供的资信证明应由其基本存款账户银行开具，且内容应完整、清晰、整洁，内容包括但不限于（资金结算方面记录、执行结算纪律情况等）</w:t>
            </w:r>
            <w:r>
              <w:rPr>
                <w:rFonts w:hint="eastAsia" w:ascii="宋体" w:hAnsi="宋体" w:cs="宋体"/>
                <w:color w:val="auto"/>
                <w:sz w:val="24"/>
                <w:highlight w:val="none"/>
              </w:rPr>
              <w:t>。投标人只提供存款余额状况的，认定资信证明不完整，为无效投标。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（4）具备履行合同所必需设备和专业技术能力的声明函</w:t>
            </w:r>
          </w:p>
        </w:tc>
        <w:tc>
          <w:tcPr>
            <w:tcW w:w="6137" w:type="dxa"/>
            <w:shd w:val="clear" w:color="auto" w:fill="auto"/>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（5）参加采购活动前三年内在经营活动中没有重大违法记录的声明</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（6）信用记录查询结果</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（7）中小企业声明函（以资格条件落实中小企业扶持政策时适用 ）</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199"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（8）联合体协议（若有）</w:t>
            </w:r>
          </w:p>
        </w:tc>
        <w:tc>
          <w:tcPr>
            <w:tcW w:w="6137" w:type="dxa"/>
            <w:shd w:val="clear" w:color="auto" w:fill="auto"/>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2"/>
        <w:spacing w:line="360" w:lineRule="auto"/>
        <w:ind w:firstLine="0"/>
        <w:rPr>
          <w:rFonts w:ascii="宋体" w:hAnsi="宋体" w:cs="宋体"/>
          <w:color w:val="auto"/>
          <w:highlight w:val="none"/>
        </w:rPr>
      </w:pPr>
    </w:p>
    <w:p>
      <w:pPr>
        <w:widowControl/>
        <w:spacing w:afterLines="50"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②其他资格证明文件：</w:t>
      </w:r>
    </w:p>
    <w:tbl>
      <w:tblPr>
        <w:tblStyle w:val="21"/>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88"/>
        <w:gridCol w:w="4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250" w:type="pct"/>
            <w:shd w:val="clear" w:color="auto" w:fill="auto"/>
            <w:vAlign w:val="center"/>
          </w:tcPr>
          <w:p>
            <w:pPr>
              <w:widowControl/>
              <w:jc w:val="center"/>
              <w:rPr>
                <w:b/>
                <w:bCs/>
                <w:color w:val="auto"/>
                <w:highlight w:val="none"/>
              </w:rPr>
            </w:pPr>
            <w:r>
              <w:rPr>
                <w:rFonts w:ascii="宋体" w:hAnsi="宋体" w:cs="宋体"/>
                <w:b/>
                <w:bCs/>
                <w:color w:val="auto"/>
                <w:kern w:val="0"/>
                <w:sz w:val="24"/>
                <w:highlight w:val="none"/>
              </w:rPr>
              <w:t>明细</w:t>
            </w:r>
          </w:p>
        </w:tc>
        <w:tc>
          <w:tcPr>
            <w:tcW w:w="2750" w:type="pct"/>
            <w:shd w:val="clear" w:color="auto" w:fill="auto"/>
            <w:vAlign w:val="center"/>
          </w:tcPr>
          <w:p>
            <w:pPr>
              <w:widowControl/>
              <w:jc w:val="center"/>
              <w:rPr>
                <w:b/>
                <w:bCs/>
                <w:color w:val="auto"/>
                <w:highlight w:val="none"/>
              </w:rPr>
            </w:pPr>
            <w:r>
              <w:rPr>
                <w:rFonts w:ascii="宋体" w:hAnsi="宋体" w:cs="宋体"/>
                <w:b/>
                <w:bCs/>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auto"/>
                <w:highlight w:val="none"/>
              </w:rPr>
            </w:pPr>
            <w:r>
              <w:rPr>
                <w:rFonts w:ascii="宋体" w:hAnsi="宋体" w:cs="宋体"/>
                <w:color w:val="auto"/>
                <w:kern w:val="0"/>
                <w:sz w:val="24"/>
                <w:highlight w:val="none"/>
              </w:rPr>
              <w:t>具备履行合同所必需设备和专业技术能力专项证明材料</w:t>
            </w:r>
          </w:p>
        </w:tc>
        <w:tc>
          <w:tcPr>
            <w:tcW w:w="0" w:type="auto"/>
            <w:shd w:val="clear" w:color="auto" w:fill="auto"/>
            <w:vAlign w:val="center"/>
          </w:tcPr>
          <w:p>
            <w:pPr>
              <w:widowControl/>
              <w:jc w:val="left"/>
              <w:rPr>
                <w:color w:val="auto"/>
                <w:highlight w:val="none"/>
              </w:rPr>
            </w:pPr>
            <w:r>
              <w:rPr>
                <w:rFonts w:ascii="宋体" w:hAnsi="宋体" w:cs="宋体"/>
                <w:color w:val="auto"/>
                <w:kern w:val="0"/>
                <w:sz w:val="24"/>
                <w:highlight w:val="none"/>
              </w:rPr>
              <w:t>投标人须提供具备履行合同所必需设备和专业技术能力的声明函。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auto"/>
                <w:highlight w:val="none"/>
              </w:rPr>
            </w:pPr>
            <w:r>
              <w:rPr>
                <w:rFonts w:ascii="宋体" w:hAnsi="宋体" w:cs="宋体"/>
                <w:color w:val="auto"/>
                <w:kern w:val="0"/>
                <w:sz w:val="24"/>
                <w:highlight w:val="none"/>
              </w:rPr>
              <w:t>落实政府采购政策的证明材料（专门面向中小企业采购）</w:t>
            </w:r>
          </w:p>
        </w:tc>
        <w:tc>
          <w:tcPr>
            <w:tcW w:w="0" w:type="auto"/>
            <w:shd w:val="clear" w:color="auto" w:fill="auto"/>
            <w:vAlign w:val="center"/>
          </w:tcPr>
          <w:p>
            <w:pPr>
              <w:widowControl/>
              <w:jc w:val="left"/>
              <w:rPr>
                <w:color w:val="auto"/>
                <w:highlight w:val="none"/>
              </w:rPr>
            </w:pPr>
            <w:r>
              <w:rPr>
                <w:rFonts w:ascii="宋体" w:hAnsi="宋体" w:cs="宋体"/>
                <w:color w:val="auto"/>
                <w:kern w:val="0"/>
                <w:sz w:val="24"/>
                <w:highlight w:val="none"/>
              </w:rPr>
              <w:t>1、供应商提供的服务应符合《政府采购促进中小企业发展管理办法》(财库〔2020〕46号) 第四条规定的情形，且应当提供《政府采购促进中小企业发展管理办法》(财库〔2020〕46号)规定的《中小企业声明函》，格式见第五章《响应文件格式》附件。 2、供 应商为监狱企业的视同小型和微型企业，可不提供以上第1材料，但应当提供由省级以上监狱管理局、戒毒管理局(含新疆生产建设兵团)出具的属于监狱企业的证明文件。 3、供 应商为残疾人福利性单位的视同小型和微型企业，可不提供以上第1点材料，但应当提供《残疾人福利性单位声明函》，格式见第五章《响应文件格式》附件。4、本采购项目所属行业为其他未列明行业。</w:t>
            </w:r>
          </w:p>
        </w:tc>
      </w:tr>
    </w:tbl>
    <w:p>
      <w:pPr>
        <w:pStyle w:val="12"/>
        <w:ind w:firstLine="480"/>
        <w:rPr>
          <w:rFonts w:ascii="宋体" w:hAnsi="宋体" w:cs="宋体"/>
          <w:color w:val="auto"/>
          <w:highlight w:val="none"/>
        </w:rPr>
      </w:pPr>
    </w:p>
    <w:p>
      <w:pPr>
        <w:widowControl/>
        <w:spacing w:beforeLines="50" w:line="360" w:lineRule="auto"/>
        <w:ind w:firstLine="482"/>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1.4有下列情形之一的，</w:t>
      </w:r>
      <w:r>
        <w:rPr>
          <w:rFonts w:hint="eastAsia" w:ascii="宋体" w:hAnsi="宋体" w:cs="宋体"/>
          <w:b/>
          <w:bCs/>
          <w:color w:val="auto"/>
          <w:kern w:val="0"/>
          <w:sz w:val="24"/>
          <w:highlight w:val="none"/>
        </w:rPr>
        <w:t>资格审查不合格：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1"/>
        <w:tblW w:w="8573" w:type="dxa"/>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9"/>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7789"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7789"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7789"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7789" w:type="dxa"/>
            <w:tcMar>
              <w:top w:w="0" w:type="dxa"/>
              <w:left w:w="105" w:type="dxa"/>
              <w:bottom w:w="0" w:type="dxa"/>
              <w:right w:w="105" w:type="dxa"/>
            </w:tcMa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未按照招标文件规定提交投标保证金。</w:t>
            </w:r>
          </w:p>
        </w:tc>
      </w:tr>
    </w:tbl>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2、资格审查情况不得私自外泄，有关信息由建融建设管理集团有限责任公司 统一对外发布。</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3、资格审查合格的投标人不足三家的，不进行评标。同时，本次采购活动结束，建融建设管理集团有限责任公司 将依法组织后续采购活动（包括但不限于：重新招标、采用其他方式采购等）。</w:t>
      </w:r>
    </w:p>
    <w:p>
      <w:pPr>
        <w:widowControl/>
        <w:spacing w:before="75" w:after="75" w:line="360" w:lineRule="auto"/>
        <w:jc w:val="center"/>
        <w:rPr>
          <w:rFonts w:ascii="宋体" w:hAnsi="宋体" w:cs="宋体"/>
          <w:b/>
          <w:bCs/>
          <w:color w:val="auto"/>
          <w:kern w:val="0"/>
          <w:sz w:val="24"/>
          <w:highlight w:val="none"/>
        </w:rPr>
      </w:pPr>
      <w:r>
        <w:rPr>
          <w:rFonts w:hint="eastAsia" w:ascii="宋体" w:hAnsi="宋体" w:cs="宋体"/>
          <w:color w:val="auto"/>
          <w:kern w:val="0"/>
          <w:sz w:val="24"/>
          <w:highlight w:val="none"/>
        </w:rPr>
        <w:t> </w:t>
      </w:r>
      <w:r>
        <w:rPr>
          <w:rFonts w:hint="eastAsia" w:ascii="宋体" w:hAnsi="宋体" w:cs="宋体"/>
          <w:b/>
          <w:bCs/>
          <w:color w:val="auto"/>
          <w:kern w:val="0"/>
          <w:sz w:val="24"/>
          <w:highlight w:val="none"/>
        </w:rPr>
        <w:t>二、评标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4、建融建设管理集团有限责任公司 负责评标委员会的组建及评标工作的组织。</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w:t>
      </w:r>
    </w:p>
    <w:p>
      <w:pPr>
        <w:pStyle w:val="17"/>
        <w:widowControl/>
        <w:spacing w:before="75" w:after="75" w:line="360" w:lineRule="auto"/>
        <w:rPr>
          <w:rFonts w:ascii="宋体" w:hAnsi="宋体" w:cs="宋体"/>
          <w:color w:val="auto"/>
          <w:kern w:val="0"/>
          <w:highlight w:val="none"/>
        </w:rPr>
      </w:pPr>
      <w:r>
        <w:rPr>
          <w:rFonts w:hint="eastAsia" w:ascii="宋体" w:hAnsi="宋体" w:cs="宋体"/>
          <w:color w:val="auto"/>
          <w:highlight w:val="none"/>
        </w:rPr>
        <w:t>5.1评标委员会由采购人代表和评标专家两部分共5人（以下简称“评委”）组成，其中：由采购人派出的采购人代表1人，由福建省政府采购评审专家库产生的评标专家4人。</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5.2评标委员会负责具体评标事务，并按照下列原则依法独立履行有关职责：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（1）评标应保护国家利益、社会公共利益和各方当事人合法权益，提高采购效益，保证项目质量。</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（2）评标应遵循公平、公正、科学、严谨和择优原则。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（3）评标的依据是招标文件和投标文件。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（4）应按照招标文件规定推荐中标候选人或确定中标人。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（5）评标应遵守下列评标纪律：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①评标情况不得私自外泄，有关信息由建融建设管理集团有限责任公司 统一对外发布。</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②对建融建设管理集团有限责任公司 或投标人提供的要求保密的资料，不得摘记翻印和外传。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④全体评委应按照招标文件规定进行评标，一切认定事项应查有实据且不得弄虚作假。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⑤评标中应充分发扬民主，推荐中标候选人或确定中标人后要服从评标报告。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※对违反评标纪律的评委，将取消其评委资格，对评标工作造成严重损失者将予以通报批评乃至追究法律责任。</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6、评标程序</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6.1评标前的准备工作</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（1）全体评委应认真审阅招标文件，了解评委应履行或遵守的职责、义务和评标纪律。</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6.2符合性审查</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（2）满足招标文件的实质性要求指投标文件对招标文件实质性要求的响应不存在重大偏差或保留。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（5）评标委员会对所有投标人都执行相同的程序和标准。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（6）有下列情形之一的，</w:t>
      </w:r>
      <w:r>
        <w:rPr>
          <w:rFonts w:hint="eastAsia" w:ascii="宋体" w:hAnsi="宋体" w:cs="宋体"/>
          <w:b/>
          <w:bCs/>
          <w:color w:val="auto"/>
          <w:kern w:val="0"/>
          <w:sz w:val="24"/>
          <w:highlight w:val="none"/>
        </w:rPr>
        <w:t>符合性审查不合格：</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①一般情形：</w:t>
      </w:r>
    </w:p>
    <w:tbl>
      <w:tblPr>
        <w:tblStyle w:val="21"/>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768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a1</w:t>
            </w:r>
          </w:p>
        </w:tc>
        <w:tc>
          <w:tcPr>
            <w:tcW w:w="7688"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违反招标文件中载明“</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a2</w:t>
            </w:r>
          </w:p>
        </w:tc>
        <w:tc>
          <w:tcPr>
            <w:tcW w:w="7688"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属于招标文件第三章第10.12条规定的</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a3</w:t>
            </w:r>
          </w:p>
        </w:tc>
        <w:tc>
          <w:tcPr>
            <w:tcW w:w="7688" w:type="dxa"/>
            <w:tcMar>
              <w:top w:w="0" w:type="dxa"/>
              <w:left w:w="105" w:type="dxa"/>
              <w:bottom w:w="0" w:type="dxa"/>
              <w:right w:w="105" w:type="dxa"/>
            </w:tcMar>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投标文件对招标文件实质性要求的响应存在重大偏离或保留。</w:t>
            </w:r>
          </w:p>
        </w:tc>
      </w:tr>
    </w:tbl>
    <w:p>
      <w:pPr>
        <w:pStyle w:val="17"/>
        <w:widowControl/>
        <w:spacing w:before="75" w:after="75" w:line="360" w:lineRule="auto"/>
        <w:ind w:firstLine="480"/>
        <w:rPr>
          <w:rFonts w:ascii="宋体" w:hAnsi="宋体" w:cs="宋体"/>
          <w:color w:val="auto"/>
          <w:highlight w:val="none"/>
        </w:rPr>
      </w:pPr>
      <w:r>
        <w:rPr>
          <w:rFonts w:hint="eastAsia" w:ascii="宋体" w:hAnsi="宋体" w:cs="宋体"/>
          <w:color w:val="auto"/>
          <w:highlight w:val="none"/>
        </w:rPr>
        <w:t>②本项目规定的其他情形：</w:t>
      </w:r>
      <w:r>
        <w:rPr>
          <w:rFonts w:hint="eastAsia" w:ascii="宋体" w:hAnsi="宋体" w:cs="宋体"/>
          <w:color w:val="auto"/>
          <w:highlight w:val="none"/>
        </w:rPr>
        <w:br w:type="textWrapping"/>
      </w:r>
      <w:r>
        <w:rPr>
          <w:rFonts w:hint="eastAsia" w:ascii="宋体" w:hAnsi="宋体" w:cs="宋体"/>
          <w:color w:val="auto"/>
          <w:highlight w:val="none"/>
        </w:rPr>
        <w:t xml:space="preserve">包：1 </w:t>
      </w: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r>
        <w:rPr>
          <w:rFonts w:hint="eastAsia" w:ascii="宋体" w:hAnsi="宋体" w:cs="宋体"/>
          <w:color w:val="auto"/>
          <w:highlight w:val="none"/>
        </w:rPr>
        <w:br w:type="textWrapping"/>
      </w:r>
      <w:r>
        <w:rPr>
          <w:rStyle w:val="25"/>
          <w:rFonts w:hint="eastAsia" w:ascii="宋体" w:hAnsi="宋体" w:cs="宋体"/>
          <w:color w:val="auto"/>
          <w:highlight w:val="none"/>
        </w:rPr>
        <w:t>         无</w:t>
      </w:r>
    </w:p>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 xml:space="preserve">技术符合性 </w:t>
      </w:r>
    </w:p>
    <w:tbl>
      <w:tblPr>
        <w:tblStyle w:val="21"/>
        <w:tblW w:w="853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Header/>
          <w:tblCellSpacing w:w="0" w:type="dxa"/>
        </w:trPr>
        <w:tc>
          <w:tcPr>
            <w:tcW w:w="8530"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30" w:type="dxa"/>
            <w:vAlign w:val="center"/>
          </w:tcPr>
          <w:p>
            <w:pPr>
              <w:widowControl/>
              <w:numPr>
                <w:ilvl w:val="0"/>
                <w:numId w:val="3"/>
              </w:numPr>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投标人投标文件技术商务部分中出现报价部分的全部或部分的投标报价信息（或组成资料）的，按无效投标处理。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30"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2）技术和服务要求中对招标文件第五章以“★”标示的内容出现负偏离的，按无效投标处理。</w:t>
            </w:r>
          </w:p>
        </w:tc>
      </w:tr>
    </w:tbl>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商务符合性 </w:t>
      </w:r>
    </w:p>
    <w:tbl>
      <w:tblPr>
        <w:tblStyle w:val="21"/>
        <w:tblW w:w="855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blCellSpacing w:w="0" w:type="dxa"/>
        </w:trPr>
        <w:tc>
          <w:tcPr>
            <w:tcW w:w="8555" w:type="dxa"/>
            <w:vAlign w:val="center"/>
          </w:tcPr>
          <w:p>
            <w:pPr>
              <w:widowControl/>
              <w:spacing w:line="360" w:lineRule="auto"/>
              <w:jc w:val="center"/>
              <w:rPr>
                <w:rFonts w:ascii="宋体" w:hAnsi="宋体" w:cs="宋体"/>
                <w:b/>
                <w:color w:val="auto"/>
                <w:highlight w:val="none"/>
              </w:rPr>
            </w:pPr>
            <w:r>
              <w:rPr>
                <w:rFonts w:hint="eastAsia" w:ascii="宋体" w:hAnsi="宋体" w:cs="宋体"/>
                <w:b/>
                <w:color w:val="auto"/>
                <w:kern w:val="0"/>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55" w:type="dxa"/>
            <w:vAlign w:val="center"/>
          </w:tcPr>
          <w:p>
            <w:pPr>
              <w:widowControl/>
              <w:spacing w:line="360" w:lineRule="auto"/>
              <w:jc w:val="left"/>
              <w:rPr>
                <w:rFonts w:ascii="宋体" w:hAnsi="宋体" w:cs="宋体"/>
                <w:b/>
                <w:color w:val="auto"/>
                <w:kern w:val="0"/>
                <w:sz w:val="24"/>
                <w:highlight w:val="none"/>
              </w:rPr>
            </w:pPr>
            <w:r>
              <w:rPr>
                <w:rFonts w:hint="eastAsia" w:ascii="宋体" w:hAnsi="宋体" w:cs="宋体"/>
                <w:color w:val="auto"/>
                <w:kern w:val="0"/>
                <w:sz w:val="24"/>
                <w:highlight w:val="none"/>
              </w:rPr>
              <w:t xml:space="preserve">1）投标人投标文件商务部分中出现报价部分的全部或部分的投标报价信息（或组成资料）的，按无效投标处理。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8555" w:type="dxa"/>
            <w:vAlign w:val="center"/>
          </w:tcPr>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2）投标人的商务条件响应表中对招标文件规定的商务条件出现负偏离的，按无效投标处理。</w:t>
            </w:r>
          </w:p>
        </w:tc>
      </w:tr>
    </w:tbl>
    <w:p>
      <w:pPr>
        <w:widowControl/>
        <w:spacing w:line="360" w:lineRule="auto"/>
        <w:jc w:val="left"/>
        <w:rPr>
          <w:rFonts w:ascii="宋体" w:hAnsi="宋体" w:cs="宋体"/>
          <w:color w:val="auto"/>
          <w:highlight w:val="none"/>
        </w:rPr>
      </w:pPr>
      <w:r>
        <w:rPr>
          <w:rFonts w:hint="eastAsia" w:ascii="宋体" w:hAnsi="宋体" w:cs="宋体"/>
          <w:color w:val="auto"/>
          <w:kern w:val="0"/>
          <w:sz w:val="24"/>
          <w:highlight w:val="none"/>
        </w:rPr>
        <w:t>附加符合性</w:t>
      </w:r>
      <w:r>
        <w:rPr>
          <w:rFonts w:hint="eastAsia" w:ascii="宋体" w:hAnsi="宋体" w:cs="宋体"/>
          <w:color w:val="auto"/>
          <w:kern w:val="0"/>
          <w:sz w:val="24"/>
          <w:highlight w:val="none"/>
        </w:rPr>
        <w:br w:type="textWrapping"/>
      </w:r>
      <w:r>
        <w:rPr>
          <w:rStyle w:val="25"/>
          <w:rFonts w:hint="eastAsia" w:ascii="宋体" w:hAnsi="宋体" w:cs="宋体"/>
          <w:color w:val="auto"/>
          <w:kern w:val="0"/>
          <w:sz w:val="24"/>
          <w:highlight w:val="none"/>
        </w:rPr>
        <w:t>         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 xml:space="preserve">价格符合性 </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6.3澄清有关问题</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（3）投标文件报价出现前后不一致的，除招标文件另有规定外，按照下列规定修正：</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①开标一览表内容与投标文件中相应内容不一致的，以开标一览表为准；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②大写金额和小写金额不一致的，以大写金额为准；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③单价金额小数点或百分比有明显错位的，以开标一览表的总价为准，并修改单价；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④总价金额与按照单价汇总金额不一致的，以单价金额计算结果为准。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（4）关于细微偏差</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（5）关于投标描述（即投标文件中描述的内容）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①投标描述前后不一致且不涉及证明材料的：按照本章第6.3条第（1）、（2）款规定执行。</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②投标描述与证明材料不一致或多份证明材料之间不一致的：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a.评标委员会将要求投标人进行书面澄清，并按照不利于投标人的内容进行评标。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6.4比较与评价</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（1）按照本章第7条载明的评标方法和标准，对符合性审查合格的投标文件进行比较与评价。</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u w:val="single"/>
        </w:rPr>
        <w:t>（2）关于相同品牌产品</w:t>
      </w:r>
      <w:r>
        <w:rPr>
          <w:rFonts w:hint="eastAsia" w:ascii="宋体" w:hAnsi="宋体" w:cs="宋体"/>
          <w:b/>
          <w:bCs/>
          <w:color w:val="auto"/>
          <w:kern w:val="0"/>
          <w:sz w:val="24"/>
          <w:highlight w:val="none"/>
        </w:rPr>
        <w:t>（政府采购服务类项目不适用本条款规定）</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w:t>
      </w:r>
      <w:r>
        <w:rPr>
          <w:rFonts w:hint="eastAsia" w:ascii="宋体" w:hAnsi="宋体" w:cs="宋体"/>
          <w:b/>
          <w:bCs/>
          <w:color w:val="auto"/>
          <w:kern w:val="0"/>
          <w:sz w:val="24"/>
          <w:highlight w:val="none"/>
        </w:rPr>
        <w:t>投标无效。</w:t>
      </w:r>
    </w:p>
    <w:p>
      <w:pPr>
        <w:widowControl/>
        <w:spacing w:line="360" w:lineRule="auto"/>
        <w:ind w:firstLine="480"/>
        <w:jc w:val="left"/>
        <w:rPr>
          <w:rFonts w:ascii="宋体" w:hAnsi="宋体" w:cs="宋体"/>
          <w:color w:val="auto"/>
          <w:kern w:val="0"/>
          <w:sz w:val="24"/>
          <w:highlight w:val="none"/>
          <w:u w:val="single"/>
        </w:rPr>
      </w:pPr>
      <w:r>
        <w:rPr>
          <w:rFonts w:hint="eastAsia" w:ascii="宋体" w:hAnsi="宋体" w:cs="宋体"/>
          <w:color w:val="auto"/>
          <w:kern w:val="0"/>
          <w:sz w:val="24"/>
          <w:highlight w:val="none"/>
          <w:u w:val="singl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a.招标文件规定的方式：</w:t>
      </w:r>
      <w:r>
        <w:rPr>
          <w:rFonts w:hint="eastAsia" w:ascii="宋体" w:hAnsi="宋体" w:cs="宋体"/>
          <w:color w:val="auto"/>
          <w:kern w:val="0"/>
          <w:sz w:val="24"/>
          <w:highlight w:val="none"/>
          <w:u w:val="single"/>
        </w:rPr>
        <w:t>无</w:t>
      </w:r>
      <w:r>
        <w:rPr>
          <w:rFonts w:hint="eastAsia" w:ascii="宋体" w:hAnsi="宋体" w:cs="宋体"/>
          <w:color w:val="auto"/>
          <w:kern w:val="0"/>
          <w:sz w:val="24"/>
          <w:highlight w:val="none"/>
        </w:rPr>
        <w:t>。</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b.招标文件未规定的，采取随机抽取方式确定，其他同品牌投标人不作为中标候选人。</w:t>
      </w:r>
    </w:p>
    <w:p>
      <w:pPr>
        <w:widowControl/>
        <w:spacing w:line="360" w:lineRule="auto"/>
        <w:ind w:firstLine="480"/>
        <w:jc w:val="left"/>
        <w:rPr>
          <w:rFonts w:ascii="宋体" w:hAnsi="宋体" w:cs="宋体"/>
          <w:b/>
          <w:bCs/>
          <w:color w:val="auto"/>
          <w:kern w:val="0"/>
          <w:sz w:val="24"/>
          <w:highlight w:val="none"/>
          <w:u w:val="single"/>
        </w:rPr>
      </w:pPr>
      <w:r>
        <w:rPr>
          <w:rFonts w:hint="eastAsia" w:ascii="宋体" w:hAnsi="宋体" w:cs="宋体"/>
          <w:b/>
          <w:bCs/>
          <w:color w:val="auto"/>
          <w:kern w:val="0"/>
          <w:sz w:val="24"/>
          <w:highlight w:val="none"/>
        </w:rPr>
        <w:t>③</w:t>
      </w:r>
      <w:r>
        <w:rPr>
          <w:rFonts w:hint="eastAsia" w:ascii="宋体" w:hAnsi="宋体" w:cs="宋体"/>
          <w:b/>
          <w:bCs/>
          <w:color w:val="auto"/>
          <w:kern w:val="0"/>
          <w:sz w:val="24"/>
          <w:highlight w:val="none"/>
          <w:u w:val="single"/>
        </w:rPr>
        <w:t>非单一产品采购项目，多家投标人提供的核心产品品牌相同的，按照本章第6.4条第（2）款第①、②规定处理。</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（3）漏（缺）项</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①招标文件中要求列入报价的费用（含配置、功能），漏（缺）项的报价视为已经包括在投标总价中。</w:t>
      </w:r>
    </w:p>
    <w:p>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②对多报项及赠送项的价格评标时不予核减，全部进入评标价评议。</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6.5推荐中标候选人：详见本章第7.2条规定。</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6.6编写评标报告</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（1）评标报告由评标委员会负责编写。</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（2）评标报告应包括下列内容：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①招标公告刊登的网站名称、开标日期和地点；</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②投标人名单和评标委员会成员名单；</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③评标方法和标准；</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④开标记录和评标情况及说明，包括无效投标人名单及原因；</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⑤评标结果，包括中标候选人名单或确定的中标人；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⑥其他需要说明的情况，包括但不限于：评标过程中投标人的澄清、说明或补正，评委更换等。</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处理。</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6.8评委对需要共同认定的事项存在争议的，应按照少数服从多数的原则进行认定。</w:t>
      </w:r>
      <w:r>
        <w:rPr>
          <w:rFonts w:hint="eastAsia" w:ascii="宋体" w:hAnsi="宋体" w:cs="宋体"/>
          <w:b/>
          <w:bCs/>
          <w:color w:val="auto"/>
          <w:kern w:val="0"/>
          <w:sz w:val="24"/>
          <w:highlight w:val="none"/>
        </w:rPr>
        <w:t>持不同意见的评委应在评标报告上签署不同意见及理由，否则视为同意评标报告。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6.9在评标过程中发现投标人有下列情形之一的，评标委员会应认定其</w:t>
      </w:r>
      <w:r>
        <w:rPr>
          <w:rFonts w:hint="eastAsia" w:ascii="宋体" w:hAnsi="宋体" w:cs="宋体"/>
          <w:b/>
          <w:bCs/>
          <w:color w:val="auto"/>
          <w:kern w:val="0"/>
          <w:sz w:val="24"/>
          <w:highlight w:val="none"/>
        </w:rPr>
        <w:t>投标无效</w:t>
      </w:r>
      <w:r>
        <w:rPr>
          <w:rFonts w:hint="eastAsia" w:ascii="宋体" w:hAnsi="宋体" w:cs="宋体"/>
          <w:color w:val="auto"/>
          <w:kern w:val="0"/>
          <w:sz w:val="24"/>
          <w:highlight w:val="none"/>
        </w:rPr>
        <w:t>，并书面报告本项目监督管理部门：</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（1）恶意串通（包括但不限于招标文件第三章第9.7条规定情形）；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（2）妨碍其他投标人的竞争行为；</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（3）损害采购人或其他投标人的合法权益。</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6.10评标过程中，有下列情形之一的，应予废标：</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（1）符合性审查合格的投标人不足三家的；</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（2）有关法律、法规和规章规定废标的情形。</w:t>
      </w:r>
    </w:p>
    <w:p>
      <w:pPr>
        <w:widowControl/>
        <w:spacing w:before="75" w:after="75"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※若废标，则本次采购活动结束，</w:t>
      </w:r>
      <w:r>
        <w:rPr>
          <w:rFonts w:hint="eastAsia" w:ascii="宋体" w:hAnsi="宋体" w:cs="宋体"/>
          <w:color w:val="auto"/>
          <w:kern w:val="0"/>
          <w:sz w:val="24"/>
          <w:highlight w:val="none"/>
        </w:rPr>
        <w:t xml:space="preserve">建融建设管理集团有限责任公司 </w:t>
      </w:r>
      <w:r>
        <w:rPr>
          <w:rFonts w:hint="eastAsia" w:ascii="宋体" w:hAnsi="宋体" w:cs="宋体"/>
          <w:b/>
          <w:bCs/>
          <w:color w:val="auto"/>
          <w:kern w:val="0"/>
          <w:sz w:val="24"/>
          <w:highlight w:val="none"/>
        </w:rPr>
        <w:t>将依法组织后续采购活动（包括但不限于：重新招标、采用其他方式采购等）。</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7、评标方法和标准</w:t>
      </w:r>
    </w:p>
    <w:p>
      <w:pPr>
        <w:pStyle w:val="17"/>
        <w:widowControl/>
        <w:spacing w:before="75" w:after="75"/>
        <w:rPr>
          <w:color w:val="auto"/>
          <w:highlight w:val="none"/>
        </w:rPr>
      </w:pPr>
      <w:r>
        <w:rPr>
          <w:rFonts w:hint="eastAsia" w:ascii="宋体" w:hAnsi="宋体" w:cs="宋体"/>
          <w:color w:val="auto"/>
          <w:highlight w:val="none"/>
        </w:rPr>
        <w:t>7.1评标方法：</w:t>
      </w:r>
      <w:r>
        <w:rPr>
          <w:color w:val="auto"/>
          <w:highlight w:val="none"/>
        </w:rPr>
        <w:t xml:space="preserve"> 项目包1采用综合评分法。</w:t>
      </w:r>
    </w:p>
    <w:p>
      <w:pPr>
        <w:pStyle w:val="17"/>
        <w:widowControl/>
        <w:spacing w:before="75" w:after="75"/>
        <w:rPr>
          <w:color w:val="auto"/>
          <w:highlight w:val="none"/>
        </w:rPr>
      </w:pPr>
      <w:r>
        <w:rPr>
          <w:rFonts w:hint="eastAsia" w:ascii="宋体" w:hAnsi="宋体" w:cs="宋体"/>
          <w:color w:val="auto"/>
          <w:highlight w:val="none"/>
        </w:rPr>
        <w:t>7.2评标标准 </w:t>
      </w:r>
    </w:p>
    <w:p>
      <w:pPr>
        <w:pStyle w:val="17"/>
        <w:widowControl/>
        <w:shd w:val="clear" w:color="auto" w:fill="FFFFFF"/>
        <w:spacing w:after="150"/>
        <w:rPr>
          <w:rFonts w:ascii="微软雅黑" w:hAnsi="微软雅黑" w:eastAsia="微软雅黑" w:cs="微软雅黑"/>
          <w:color w:val="auto"/>
          <w:sz w:val="19"/>
          <w:szCs w:val="19"/>
          <w:highlight w:val="none"/>
        </w:rPr>
      </w:pPr>
      <w:r>
        <w:rPr>
          <w:rStyle w:val="25"/>
          <w:rFonts w:hint="eastAsia" w:ascii="宋体" w:hAnsi="宋体" w:cs="宋体"/>
          <w:color w:val="auto"/>
          <w:highlight w:val="none"/>
          <w:shd w:val="clear" w:color="auto" w:fill="FFFFFF"/>
        </w:rPr>
        <w:t>采购包1采用综合评分法</w:t>
      </w:r>
      <w:r>
        <w:rPr>
          <w:rFonts w:hint="eastAsia" w:ascii="宋体" w:hAnsi="宋体" w:cs="宋体"/>
          <w:color w:val="auto"/>
          <w:highlight w:val="none"/>
          <w:shd w:val="clear" w:color="auto" w:fill="FFFFFF"/>
        </w:rPr>
        <w:t>：</w:t>
      </w:r>
    </w:p>
    <w:p>
      <w:pPr>
        <w:pStyle w:val="17"/>
        <w:widowControl/>
        <w:ind w:firstLine="480"/>
        <w:rPr>
          <w:color w:val="auto"/>
          <w:highlight w:val="none"/>
        </w:rPr>
      </w:pPr>
      <w:r>
        <w:rPr>
          <w:rFonts w:hint="eastAsia" w:ascii="宋体" w:hAnsi="宋体" w:cs="宋体"/>
          <w:color w:val="auto"/>
          <w:highlight w:val="none"/>
        </w:rPr>
        <w:t>（1）投标文件满足招标文件全部实质性要求，且按照评审因素的量化指标评审得分（即评标总得分）最高的投标人为中标候选人。</w:t>
      </w:r>
    </w:p>
    <w:p>
      <w:pPr>
        <w:pStyle w:val="17"/>
        <w:widowControl/>
        <w:ind w:firstLine="480"/>
        <w:rPr>
          <w:color w:val="auto"/>
          <w:highlight w:val="none"/>
        </w:rPr>
      </w:pPr>
      <w:r>
        <w:rPr>
          <w:rFonts w:hint="eastAsia" w:ascii="宋体" w:hAnsi="宋体" w:cs="宋体"/>
          <w:color w:val="auto"/>
          <w:highlight w:val="none"/>
        </w:rPr>
        <w:t>（2）每个投标人的评标总得分</w:t>
      </w:r>
      <w:r>
        <w:rPr>
          <w:rFonts w:ascii="Calibri" w:hAnsi="Calibri" w:cs="Calibri"/>
          <w:color w:val="auto"/>
          <w:highlight w:val="none"/>
        </w:rPr>
        <w:t>FA</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w:t>
      </w:r>
      <w:r>
        <w:rPr>
          <w:rFonts w:hint="eastAsia" w:ascii="宋体" w:hAnsi="宋体" w:cs="宋体"/>
          <w:color w:val="auto"/>
          <w:highlight w:val="none"/>
        </w:rPr>
        <w:t>＋</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（若有），其中：</w:t>
      </w:r>
      <w:r>
        <w:rPr>
          <w:rFonts w:ascii="Calibri" w:hAnsi="Calibri" w:cs="Calibri"/>
          <w:color w:val="auto"/>
          <w:highlight w:val="none"/>
        </w:rPr>
        <w:t>F1</w:t>
      </w:r>
      <w:r>
        <w:rPr>
          <w:rFonts w:hint="eastAsia" w:ascii="宋体" w:hAnsi="宋体" w:cs="宋体"/>
          <w:color w:val="auto"/>
          <w:highlight w:val="none"/>
        </w:rPr>
        <w:t>指价格项评审因素得分、</w:t>
      </w:r>
      <w:r>
        <w:rPr>
          <w:rFonts w:ascii="Calibri" w:hAnsi="Calibri" w:cs="Calibri"/>
          <w:color w:val="auto"/>
          <w:highlight w:val="none"/>
        </w:rPr>
        <w:t>F2</w:t>
      </w:r>
      <w:r>
        <w:rPr>
          <w:rFonts w:hint="eastAsia" w:ascii="宋体" w:hAnsi="宋体" w:cs="宋体"/>
          <w:color w:val="auto"/>
          <w:highlight w:val="none"/>
        </w:rPr>
        <w:t>指技术项评审因素得分、</w:t>
      </w:r>
      <w:r>
        <w:rPr>
          <w:rFonts w:ascii="Calibri" w:hAnsi="Calibri" w:cs="Calibri"/>
          <w:color w:val="auto"/>
          <w:highlight w:val="none"/>
        </w:rPr>
        <w:t>F3</w:t>
      </w:r>
      <w:r>
        <w:rPr>
          <w:rFonts w:hint="eastAsia" w:ascii="宋体" w:hAnsi="宋体" w:cs="宋体"/>
          <w:color w:val="auto"/>
          <w:highlight w:val="none"/>
        </w:rPr>
        <w:t>指商务项评审因素得分，</w:t>
      </w:r>
      <w:r>
        <w:rPr>
          <w:rFonts w:ascii="Calibri" w:hAnsi="Calibri" w:cs="Calibri"/>
          <w:color w:val="auto"/>
          <w:highlight w:val="none"/>
        </w:rPr>
        <w:t>A1</w:t>
      </w:r>
      <w:r>
        <w:rPr>
          <w:rFonts w:hint="eastAsia" w:ascii="宋体" w:hAnsi="宋体" w:cs="宋体"/>
          <w:color w:val="auto"/>
          <w:highlight w:val="none"/>
        </w:rPr>
        <w:t>指价格项评审因素所占的权重、</w:t>
      </w:r>
      <w:r>
        <w:rPr>
          <w:rFonts w:ascii="Calibri" w:hAnsi="Calibri" w:cs="Calibri"/>
          <w:color w:val="auto"/>
          <w:highlight w:val="none"/>
        </w:rPr>
        <w:t>A2</w:t>
      </w:r>
      <w:r>
        <w:rPr>
          <w:rFonts w:hint="eastAsia" w:ascii="宋体" w:hAnsi="宋体" w:cs="宋体"/>
          <w:color w:val="auto"/>
          <w:highlight w:val="none"/>
        </w:rPr>
        <w:t>指技术项评审因素所占的权重、</w:t>
      </w:r>
      <w:r>
        <w:rPr>
          <w:rFonts w:ascii="Calibri" w:hAnsi="Calibri" w:cs="Calibri"/>
          <w:color w:val="auto"/>
          <w:highlight w:val="none"/>
        </w:rPr>
        <w:t>A3</w:t>
      </w:r>
      <w:r>
        <w:rPr>
          <w:rFonts w:hint="eastAsia" w:ascii="宋体" w:hAnsi="宋体" w:cs="宋体"/>
          <w:color w:val="auto"/>
          <w:highlight w:val="none"/>
        </w:rPr>
        <w:t>指商务项评审因素所占的权重，</w:t>
      </w:r>
      <w:r>
        <w:rPr>
          <w:rFonts w:ascii="Calibri" w:hAnsi="Calibri" w:cs="Calibri"/>
          <w:color w:val="auto"/>
          <w:highlight w:val="none"/>
        </w:rPr>
        <w:t>A1+A2+A3=1</w:t>
      </w:r>
      <w:r>
        <w:rPr>
          <w:rFonts w:hint="eastAsia" w:ascii="宋体" w:hAnsi="宋体" w:cs="宋体"/>
          <w:color w:val="auto"/>
          <w:highlight w:val="none"/>
        </w:rPr>
        <w:t>、</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w:t>
      </w:r>
      <w:r>
        <w:rPr>
          <w:rFonts w:ascii="Calibri" w:hAnsi="Calibri" w:cs="Calibri"/>
          <w:color w:val="auto"/>
          <w:highlight w:val="none"/>
        </w:rPr>
        <w:t>F3</w:t>
      </w:r>
      <w:r>
        <w:rPr>
          <w:rFonts w:hint="eastAsia" w:ascii="宋体" w:hAnsi="宋体" w:cs="宋体"/>
          <w:color w:val="auto"/>
          <w:highlight w:val="none"/>
        </w:rPr>
        <w:t>×</w:t>
      </w:r>
      <w:r>
        <w:rPr>
          <w:rFonts w:ascii="Calibri" w:hAnsi="Calibri" w:cs="Calibri"/>
          <w:color w:val="auto"/>
          <w:highlight w:val="none"/>
        </w:rPr>
        <w:t>A3=100</w:t>
      </w:r>
      <w:r>
        <w:rPr>
          <w:rFonts w:hint="eastAsia" w:ascii="宋体" w:hAnsi="宋体" w:cs="宋体"/>
          <w:color w:val="auto"/>
          <w:highlight w:val="none"/>
        </w:rPr>
        <w:t>分（满分时），</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为加分项（即优先类节能产品、环境标志产品在采购活动中可享有的加分优惠）。</w:t>
      </w:r>
    </w:p>
    <w:p>
      <w:pPr>
        <w:pStyle w:val="17"/>
        <w:widowControl/>
        <w:ind w:firstLine="480"/>
        <w:rPr>
          <w:color w:val="auto"/>
          <w:highlight w:val="none"/>
        </w:rPr>
      </w:pPr>
      <w:r>
        <w:rPr>
          <w:rFonts w:hint="eastAsia" w:ascii="宋体" w:hAnsi="宋体" w:cs="宋体"/>
          <w:color w:val="auto"/>
          <w:highlight w:val="none"/>
        </w:rPr>
        <w:t>（3）各项评审因素的设置如下：</w:t>
      </w:r>
    </w:p>
    <w:p>
      <w:pPr>
        <w:pStyle w:val="17"/>
        <w:widowControl/>
        <w:ind w:firstLine="480"/>
        <w:rPr>
          <w:color w:val="auto"/>
          <w:highlight w:val="none"/>
        </w:rPr>
      </w:pPr>
      <w:r>
        <w:rPr>
          <w:rFonts w:hint="eastAsia" w:ascii="宋体" w:hAnsi="宋体" w:cs="宋体"/>
          <w:color w:val="auto"/>
          <w:highlight w:val="none"/>
        </w:rPr>
        <w:t>①价格项（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）满分为</w:t>
      </w:r>
      <w:r>
        <w:rPr>
          <w:rFonts w:hint="eastAsia" w:ascii="宋体" w:hAnsi="宋体" w:cs="宋体"/>
          <w:color w:val="auto"/>
          <w:highlight w:val="none"/>
          <w:u w:val="single"/>
        </w:rPr>
        <w:t>1</w:t>
      </w:r>
      <w:r>
        <w:rPr>
          <w:rFonts w:hint="eastAsia" w:ascii="宋体" w:hAnsi="宋体" w:cs="宋体"/>
          <w:color w:val="auto"/>
          <w:highlight w:val="none"/>
          <w:u w:val="single"/>
          <w:lang w:val="en-US" w:eastAsia="zh-CN"/>
        </w:rPr>
        <w:t>0</w:t>
      </w:r>
      <w:r>
        <w:rPr>
          <w:rFonts w:hint="eastAsia" w:ascii="宋体" w:hAnsi="宋体" w:cs="宋体"/>
          <w:color w:val="auto"/>
          <w:highlight w:val="none"/>
        </w:rPr>
        <w:t>分。</w:t>
      </w:r>
    </w:p>
    <w:p>
      <w:pPr>
        <w:pStyle w:val="17"/>
        <w:widowControl/>
        <w:ind w:firstLine="480"/>
        <w:rPr>
          <w:color w:val="auto"/>
          <w:highlight w:val="none"/>
        </w:rPr>
      </w:pPr>
      <w:r>
        <w:rPr>
          <w:rFonts w:hint="eastAsia" w:ascii="宋体" w:hAnsi="宋体" w:cs="宋体"/>
          <w:color w:val="auto"/>
          <w:highlight w:val="none"/>
        </w:rPr>
        <w:t>a.价格分采用低价优先法计算，即满足招标文件要求且投标价格最低的投标报价为评标基准价，其价格分为满分。其他投标人的价格分统一按照下列公式计算：投标报价得分</w:t>
      </w:r>
      <w:r>
        <w:rPr>
          <w:rFonts w:ascii="Calibri" w:hAnsi="Calibri" w:cs="Calibri"/>
          <w:color w:val="auto"/>
          <w:highlight w:val="none"/>
        </w:rPr>
        <w:t>=</w:t>
      </w:r>
      <w:r>
        <w:rPr>
          <w:rFonts w:hint="eastAsia" w:ascii="宋体" w:hAnsi="宋体" w:cs="宋体"/>
          <w:color w:val="auto"/>
          <w:highlight w:val="none"/>
        </w:rPr>
        <w:t>（评标基准价／投标报价）×</w:t>
      </w:r>
      <w:r>
        <w:rPr>
          <w:rFonts w:ascii="Calibri" w:hAnsi="Calibri" w:cs="Calibri"/>
          <w:color w:val="auto"/>
          <w:highlight w:val="none"/>
        </w:rPr>
        <w:t>100</w:t>
      </w:r>
      <w:r>
        <w:rPr>
          <w:rFonts w:hint="eastAsia" w:ascii="宋体" w:hAnsi="宋体" w:cs="宋体"/>
          <w:color w:val="auto"/>
          <w:highlight w:val="none"/>
        </w:rPr>
        <w:t>。因落实政府采购政策需进行价格扣除的，以扣除后的价格计算评标基准价和投标报价。</w:t>
      </w:r>
    </w:p>
    <w:p>
      <w:pPr>
        <w:pStyle w:val="17"/>
        <w:widowControl/>
        <w:ind w:firstLine="480"/>
        <w:rPr>
          <w:rFonts w:ascii="宋体" w:hAnsi="宋体" w:cs="宋体"/>
          <w:color w:val="auto"/>
          <w:highlight w:val="none"/>
        </w:rPr>
      </w:pPr>
      <w:r>
        <w:rPr>
          <w:rFonts w:ascii="Calibri" w:hAnsi="Calibri" w:cs="Calibri"/>
          <w:color w:val="auto"/>
          <w:highlight w:val="none"/>
        </w:rPr>
        <w:t>b.</w:t>
      </w:r>
      <w:r>
        <w:rPr>
          <w:rFonts w:hint="eastAsia" w:ascii="宋体" w:hAnsi="宋体" w:cs="宋体"/>
          <w:color w:val="auto"/>
          <w:highlight w:val="none"/>
        </w:rPr>
        <w:t>价格扣除的规则如下：</w:t>
      </w:r>
    </w:p>
    <w:p>
      <w:pPr>
        <w:rPr>
          <w:rFonts w:ascii="宋体" w:hAnsi="宋体" w:cs="宋体"/>
          <w:color w:val="auto"/>
          <w:sz w:val="24"/>
          <w:highlight w:val="none"/>
        </w:rPr>
      </w:pPr>
    </w:p>
    <w:p>
      <w:pPr>
        <w:pStyle w:val="2"/>
        <w:rPr>
          <w:color w:val="auto"/>
          <w:highlight w:val="none"/>
        </w:rPr>
      </w:pPr>
      <w:r>
        <w:rPr>
          <w:rStyle w:val="25"/>
          <w:rFonts w:ascii="宋体" w:hAnsi="宋体" w:cs="宋体"/>
          <w:color w:val="auto"/>
          <w:sz w:val="24"/>
          <w:highlight w:val="none"/>
        </w:rPr>
        <w:t>    无</w:t>
      </w:r>
    </w:p>
    <w:p>
      <w:pPr>
        <w:pStyle w:val="17"/>
        <w:widowControl/>
        <w:spacing w:line="360" w:lineRule="auto"/>
        <w:ind w:firstLine="480"/>
        <w:rPr>
          <w:rFonts w:asciiTheme="minorEastAsia" w:hAnsiTheme="minorEastAsia" w:cstheme="minorEastAsia"/>
          <w:color w:val="auto"/>
          <w:sz w:val="21"/>
          <w:szCs w:val="21"/>
          <w:highlight w:val="none"/>
        </w:rPr>
      </w:pPr>
      <w:r>
        <w:rPr>
          <w:rFonts w:hint="eastAsia" w:asciiTheme="minorEastAsia" w:hAnsiTheme="minorEastAsia" w:cstheme="minorEastAsia"/>
          <w:color w:val="auto"/>
          <w:sz w:val="21"/>
          <w:szCs w:val="21"/>
          <w:highlight w:val="none"/>
        </w:rPr>
        <w:t>②技术项（F2×A2</w:t>
      </w:r>
      <w:r>
        <w:rPr>
          <w:rFonts w:hint="eastAsia" w:asciiTheme="minorEastAsia" w:hAnsiTheme="minorEastAsia" w:cstheme="minorEastAsia"/>
          <w:color w:val="auto"/>
          <w:sz w:val="21"/>
          <w:szCs w:val="21"/>
          <w:highlight w:val="none"/>
        </w:rPr>
        <w:t>）满分为</w:t>
      </w:r>
      <w:r>
        <w:rPr>
          <w:rFonts w:hint="eastAsia" w:asciiTheme="minorEastAsia" w:hAnsiTheme="minorEastAsia" w:cstheme="minorEastAsia"/>
          <w:color w:val="auto"/>
          <w:sz w:val="21"/>
          <w:szCs w:val="21"/>
          <w:highlight w:val="none"/>
          <w:u w:val="single"/>
        </w:rPr>
        <w:t>7</w:t>
      </w:r>
      <w:r>
        <w:rPr>
          <w:rFonts w:hint="eastAsia" w:asciiTheme="minorEastAsia" w:hAnsiTheme="minorEastAsia" w:cstheme="minorEastAsia"/>
          <w:color w:val="auto"/>
          <w:sz w:val="21"/>
          <w:szCs w:val="21"/>
          <w:highlight w:val="none"/>
          <w:u w:val="single"/>
          <w:lang w:val="en-US" w:eastAsia="zh-CN"/>
        </w:rPr>
        <w:t>8</w:t>
      </w:r>
      <w:r>
        <w:rPr>
          <w:rFonts w:hint="eastAsia" w:asciiTheme="minorEastAsia" w:hAnsiTheme="minorEastAsia" w:cstheme="minorEastAsia"/>
          <w:color w:val="auto"/>
          <w:sz w:val="21"/>
          <w:szCs w:val="21"/>
          <w:highlight w:val="none"/>
        </w:rPr>
        <w:t>分。</w:t>
      </w:r>
    </w:p>
    <w:tbl>
      <w:tblPr>
        <w:tblStyle w:val="21"/>
        <w:tblW w:w="8790"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637"/>
        <w:gridCol w:w="7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66" w:type="dxa"/>
            <w:vAlign w:val="center"/>
          </w:tcPr>
          <w:p>
            <w:pPr>
              <w:widowControl/>
              <w:spacing w:line="360" w:lineRule="auto"/>
              <w:jc w:val="left"/>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评标项目</w:t>
            </w:r>
          </w:p>
        </w:tc>
        <w:tc>
          <w:tcPr>
            <w:tcW w:w="637" w:type="dxa"/>
            <w:vAlign w:val="center"/>
          </w:tcPr>
          <w:p>
            <w:pPr>
              <w:widowControl/>
              <w:spacing w:line="360" w:lineRule="auto"/>
              <w:jc w:val="left"/>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评标分值</w:t>
            </w:r>
          </w:p>
        </w:tc>
        <w:tc>
          <w:tcPr>
            <w:tcW w:w="7487" w:type="dxa"/>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66" w:type="dxa"/>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技术和服务响应情况</w:t>
            </w:r>
          </w:p>
        </w:tc>
        <w:tc>
          <w:tcPr>
            <w:tcW w:w="637" w:type="dxa"/>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72</w:t>
            </w:r>
          </w:p>
        </w:tc>
        <w:tc>
          <w:tcPr>
            <w:tcW w:w="7487" w:type="dxa"/>
            <w:vAlign w:val="center"/>
          </w:tcPr>
          <w:p>
            <w:pPr>
              <w:widowControl/>
              <w:tabs>
                <w:tab w:val="left" w:pos="6930"/>
              </w:tabs>
              <w:spacing w:line="360" w:lineRule="auto"/>
              <w:jc w:val="left"/>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根据各投标人所投设备对“技术和服务要求”中的逐项响应承诺请款由评委进行评议评分(需提供技术和服务要求响应表) :①投标人完全满足招标文件要求的，得72分；②技术参数中以“★”(共3项)标示的内容为不允许负偏离的实质性要求，若负偏离则投标无效；以“▲”的标示的为重点参数，每负偏离一项扣3分(共计</w:t>
            </w:r>
            <w:r>
              <w:rPr>
                <w:rFonts w:hint="eastAsia" w:asciiTheme="minorEastAsia" w:hAnsiTheme="minorEastAsia" w:cstheme="minorEastAsia"/>
                <w:color w:val="auto"/>
                <w:kern w:val="0"/>
                <w:sz w:val="24"/>
                <w:highlight w:val="none"/>
                <w:lang w:val="en-US" w:eastAsia="zh-CN"/>
              </w:rPr>
              <w:t>6</w:t>
            </w:r>
            <w:r>
              <w:rPr>
                <w:rFonts w:hint="eastAsia" w:asciiTheme="minorEastAsia" w:hAnsiTheme="minorEastAsia" w:cstheme="minorEastAsia"/>
                <w:color w:val="auto"/>
                <w:kern w:val="0"/>
                <w:sz w:val="24"/>
                <w:highlight w:val="none"/>
              </w:rPr>
              <w:t>项，共计</w:t>
            </w:r>
            <w:r>
              <w:rPr>
                <w:rFonts w:hint="eastAsia" w:asciiTheme="minorEastAsia" w:hAnsiTheme="minorEastAsia" w:cstheme="minorEastAsia"/>
                <w:color w:val="auto"/>
                <w:kern w:val="0"/>
                <w:sz w:val="24"/>
                <w:highlight w:val="none"/>
                <w:lang w:val="en-US" w:eastAsia="zh-CN"/>
              </w:rPr>
              <w:t>18</w:t>
            </w:r>
            <w:r>
              <w:rPr>
                <w:rFonts w:hint="eastAsia" w:asciiTheme="minorEastAsia" w:hAnsiTheme="minorEastAsia" w:cstheme="minorEastAsia"/>
                <w:color w:val="auto"/>
                <w:kern w:val="0"/>
                <w:sz w:val="24"/>
                <w:highlight w:val="none"/>
              </w:rPr>
              <w:t>分);③未带“▲”标示的技术参数每负偏离一项扣1分</w:t>
            </w:r>
            <w:r>
              <w:rPr>
                <w:rFonts w:hint="eastAsia" w:asciiTheme="minorEastAsia" w:hAnsiTheme="minorEastAsia" w:cstheme="minorEastAsia"/>
                <w:color w:val="auto"/>
                <w:kern w:val="0"/>
                <w:sz w:val="24"/>
                <w:highlight w:val="none"/>
                <w:lang w:eastAsia="zh-CN"/>
              </w:rPr>
              <w:t>（共计</w:t>
            </w:r>
            <w:r>
              <w:rPr>
                <w:rFonts w:hint="eastAsia" w:asciiTheme="minorEastAsia" w:hAnsiTheme="minorEastAsia" w:cstheme="minorEastAsia"/>
                <w:color w:val="auto"/>
                <w:kern w:val="0"/>
                <w:sz w:val="24"/>
                <w:highlight w:val="none"/>
                <w:lang w:val="en-US" w:eastAsia="zh-CN"/>
              </w:rPr>
              <w:t>54项共计54分</w:t>
            </w:r>
            <w:r>
              <w:rPr>
                <w:rFonts w:hint="eastAsia" w:asciiTheme="minorEastAsia" w:hAnsiTheme="minorEastAsia" w:cstheme="minorEastAsia"/>
                <w:color w:val="auto"/>
                <w:kern w:val="0"/>
                <w:sz w:val="24"/>
                <w:highlight w:val="none"/>
                <w:lang w:eastAsia="zh-CN"/>
              </w:rPr>
              <w:t>）</w:t>
            </w:r>
            <w:r>
              <w:rPr>
                <w:rFonts w:hint="eastAsia" w:asciiTheme="minorEastAsia" w:hAnsiTheme="minorEastAsia" w:cstheme="minorEastAsia"/>
                <w:color w:val="auto"/>
                <w:kern w:val="0"/>
                <w:sz w:val="24"/>
                <w:highlight w:val="none"/>
              </w:rPr>
              <w:t>正偏离不加分(第③评分项内容均不包含以“★”、“▲”标示及技术项中已单列为技术评标项目的内容)。【注:①招标文件技术相关要求中若有要求投标人提供官网全屏截图或网址链接或相应产品证书或检测报告等相关佐证材料的条款，投标人未提供或者投标人的响应承诺与其佐证材料不一致的，评标委员会将以不利于投标人的内容为准进行评审(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66" w:type="dxa"/>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实施方案</w:t>
            </w:r>
          </w:p>
        </w:tc>
        <w:tc>
          <w:tcPr>
            <w:tcW w:w="637" w:type="dxa"/>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7487" w:type="dxa"/>
            <w:vAlign w:val="center"/>
          </w:tcPr>
          <w:p>
            <w:pPr>
              <w:widowControl/>
              <w:spacing w:line="360" w:lineRule="auto"/>
              <w:jc w:val="left"/>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tblCellSpacing w:w="0" w:type="dxa"/>
        </w:trPr>
        <w:tc>
          <w:tcPr>
            <w:tcW w:w="666" w:type="dxa"/>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技术培训</w:t>
            </w:r>
          </w:p>
        </w:tc>
        <w:tc>
          <w:tcPr>
            <w:tcW w:w="637" w:type="dxa"/>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7487" w:type="dxa"/>
            <w:vAlign w:val="center"/>
          </w:tcPr>
          <w:p>
            <w:pPr>
              <w:widowControl/>
              <w:spacing w:line="360" w:lineRule="auto"/>
              <w:jc w:val="left"/>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根据投标人提供的技术培训方案就培训形式、培训时间、培训内容、实用性等方面情况，由评委进行评分：培训形式多样、培训时间长、培训内容丰富且实用、便于师生灵活运用本次采购内容的得3分；培训形式多样、培训时间短、培训内容较丰富实用，基本满足师生运用本次采购内容的得2分；培训形式单一、培训时间短、培训内容较少的得1分；未提供本项得0分。</w:t>
            </w:r>
          </w:p>
        </w:tc>
      </w:tr>
    </w:tbl>
    <w:p>
      <w:pPr>
        <w:pStyle w:val="17"/>
        <w:widowControl/>
        <w:numPr>
          <w:ilvl w:val="0"/>
          <w:numId w:val="1"/>
        </w:numPr>
        <w:spacing w:line="360" w:lineRule="auto"/>
        <w:rPr>
          <w:rFonts w:asciiTheme="minorEastAsia" w:hAnsiTheme="minorEastAsia" w:cstheme="minorEastAsia"/>
          <w:color w:val="auto"/>
          <w:highlight w:val="none"/>
        </w:rPr>
      </w:pPr>
      <w:r>
        <w:rPr>
          <w:rFonts w:hint="eastAsia" w:asciiTheme="minorEastAsia" w:hAnsiTheme="minorEastAsia" w:cstheme="minorEastAsia"/>
          <w:color w:val="auto"/>
          <w:highlight w:val="none"/>
        </w:rPr>
        <w:t>务项（F3×A3）满分为</w:t>
      </w:r>
      <w:r>
        <w:rPr>
          <w:rFonts w:hint="eastAsia" w:asciiTheme="minorEastAsia" w:hAnsiTheme="minorEastAsia" w:cstheme="minorEastAsia"/>
          <w:color w:val="auto"/>
          <w:highlight w:val="none"/>
          <w:u w:val="single"/>
        </w:rPr>
        <w:t>12</w:t>
      </w:r>
      <w:r>
        <w:rPr>
          <w:rFonts w:hint="eastAsia" w:asciiTheme="minorEastAsia" w:hAnsiTheme="minorEastAsia" w:cstheme="minorEastAsia"/>
          <w:color w:val="auto"/>
          <w:highlight w:val="none"/>
        </w:rPr>
        <w:t>分。</w:t>
      </w:r>
    </w:p>
    <w:tbl>
      <w:tblPr>
        <w:tblStyle w:val="21"/>
        <w:tblW w:w="8840" w:type="dxa"/>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5"/>
        <w:gridCol w:w="628"/>
        <w:gridCol w:w="7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695"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评标项目</w:t>
            </w:r>
          </w:p>
        </w:tc>
        <w:tc>
          <w:tcPr>
            <w:tcW w:w="628"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评标分值</w:t>
            </w:r>
          </w:p>
        </w:tc>
        <w:tc>
          <w:tcPr>
            <w:tcW w:w="7517"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dxa"/>
            <w:tcBorders>
              <w:tl2br w:val="nil"/>
              <w:tr2bl w:val="nil"/>
            </w:tcBorders>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综合实力1</w:t>
            </w:r>
          </w:p>
        </w:tc>
        <w:tc>
          <w:tcPr>
            <w:tcW w:w="628" w:type="dxa"/>
            <w:tcBorders>
              <w:tl2br w:val="nil"/>
              <w:tr2bl w:val="nil"/>
            </w:tcBorders>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7517" w:type="dxa"/>
            <w:tcBorders>
              <w:tl2br w:val="nil"/>
              <w:tr2bl w:val="nil"/>
            </w:tcBorders>
            <w:vAlign w:val="center"/>
          </w:tcPr>
          <w:p>
            <w:pPr>
              <w:widowControl/>
              <w:spacing w:line="360" w:lineRule="auto"/>
              <w:jc w:val="left"/>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投标人具有认证范围在教育课件开发技术服务的ISO9001:2015标准质量管理体系认证证书、ISO14001:2015标准环境管理体系认证证书、ISO45001:2018标准职业健康安全管理体系认证证书。每提供1份得1分，须提供有效的认证证书复印件，还须提供该证书在平台（http://cx.cnca.cn）上证书状态为“有效”的查询结果网页或截图打印件，否则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dxa"/>
            <w:tcBorders>
              <w:tl2br w:val="nil"/>
              <w:tr2bl w:val="nil"/>
            </w:tcBorders>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综合实力5</w:t>
            </w:r>
          </w:p>
        </w:tc>
        <w:tc>
          <w:tcPr>
            <w:tcW w:w="628" w:type="dxa"/>
            <w:tcBorders>
              <w:tl2br w:val="nil"/>
              <w:tr2bl w:val="nil"/>
            </w:tcBorders>
            <w:vAlign w:val="center"/>
          </w:tcPr>
          <w:p>
            <w:pPr>
              <w:widowControl/>
              <w:spacing w:line="360" w:lineRule="auto"/>
              <w:jc w:val="center"/>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3</w:t>
            </w:r>
          </w:p>
        </w:tc>
        <w:tc>
          <w:tcPr>
            <w:tcW w:w="7517" w:type="dxa"/>
            <w:tcBorders>
              <w:tl2br w:val="nil"/>
              <w:tr2bl w:val="nil"/>
            </w:tcBorders>
            <w:vAlign w:val="center"/>
          </w:tcPr>
          <w:p>
            <w:pPr>
              <w:widowControl/>
              <w:spacing w:line="360" w:lineRule="auto"/>
              <w:jc w:val="left"/>
              <w:rPr>
                <w:rFonts w:asciiTheme="minorEastAsia" w:hAnsiTheme="minorEastAsia" w:cstheme="minorEastAsia"/>
                <w:color w:val="auto"/>
                <w:kern w:val="0"/>
                <w:sz w:val="24"/>
                <w:highlight w:val="none"/>
              </w:rPr>
            </w:pPr>
            <w:r>
              <w:rPr>
                <w:rFonts w:hint="eastAsia" w:asciiTheme="minorEastAsia" w:hAnsiTheme="minorEastAsia" w:cstheme="minorEastAsia"/>
                <w:color w:val="auto"/>
                <w:kern w:val="0"/>
                <w:sz w:val="24"/>
                <w:highlight w:val="none"/>
              </w:rPr>
              <w:t>根据投标人提供精品课程、教学资源库开发产品彩页，彩页内容包含了课程申报、课程内容、课程设计与制作、资源建设过程及资源库案例等方面，由评委进行评议，彩页内容丰富、详细、说明合理的得3分，彩页内容一般，说明合理性一般的得1分，其他情况或未提供相关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业绩1</w:t>
            </w:r>
          </w:p>
        </w:tc>
        <w:tc>
          <w:tcPr>
            <w:tcW w:w="628"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7517" w:type="dxa"/>
            <w:tcBorders>
              <w:tl2br w:val="nil"/>
              <w:tr2bl w:val="nil"/>
            </w:tcBorders>
            <w:vAlign w:val="center"/>
          </w:tcPr>
          <w:p>
            <w:pPr>
              <w:widowControl/>
              <w:spacing w:line="360" w:lineRule="auto"/>
              <w:jc w:val="left"/>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投标人提供具有同类专业资源库建设项目案例，每提供一份得1.0分，满分得3.0分。需同时提供业绩的中标（成交）公告（相关网站中标（成交）公告的下载网页及其网址）、中标（成交）通知书复印件、采购合同文本复印件、验收报告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95"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售后服务</w:t>
            </w:r>
          </w:p>
        </w:tc>
        <w:tc>
          <w:tcPr>
            <w:tcW w:w="628" w:type="dxa"/>
            <w:tcBorders>
              <w:tl2br w:val="nil"/>
              <w:tr2bl w:val="nil"/>
            </w:tcBorders>
            <w:vAlign w:val="center"/>
          </w:tcPr>
          <w:p>
            <w:pPr>
              <w:widowControl/>
              <w:spacing w:line="360" w:lineRule="auto"/>
              <w:jc w:val="center"/>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3</w:t>
            </w:r>
          </w:p>
        </w:tc>
        <w:tc>
          <w:tcPr>
            <w:tcW w:w="7517" w:type="dxa"/>
            <w:tcBorders>
              <w:tl2br w:val="nil"/>
              <w:tr2bl w:val="nil"/>
            </w:tcBorders>
            <w:vAlign w:val="center"/>
          </w:tcPr>
          <w:p>
            <w:pPr>
              <w:widowControl/>
              <w:spacing w:line="360" w:lineRule="auto"/>
              <w:jc w:val="left"/>
              <w:rPr>
                <w:rFonts w:asciiTheme="minorEastAsia" w:hAnsiTheme="minorEastAsia" w:cstheme="minorEastAsia"/>
                <w:color w:val="auto"/>
                <w:sz w:val="24"/>
                <w:highlight w:val="none"/>
              </w:rPr>
            </w:pPr>
            <w:r>
              <w:rPr>
                <w:rFonts w:hint="eastAsia" w:asciiTheme="minorEastAsia" w:hAnsiTheme="minorEastAsia" w:cstheme="minorEastAsia"/>
                <w:color w:val="auto"/>
                <w:kern w:val="0"/>
                <w:sz w:val="24"/>
                <w:highlight w:val="none"/>
              </w:rPr>
              <w:t>根据各投标人提供的售后技术维护服务体系、专业技术和服务人员配备、故障响应时间、响应方式等方面，由评委进行评议，售后服务体系完善、专业技术和服务人员配备齐全的得3分，售后服务体系不够完善、专业技术和服务人员配备较少的得1分，其他情况或未提供相关材料的本项不得分。</w:t>
            </w:r>
          </w:p>
        </w:tc>
      </w:tr>
    </w:tbl>
    <w:p>
      <w:pPr>
        <w:widowControl/>
        <w:spacing w:before="75" w:after="75" w:line="360" w:lineRule="auto"/>
        <w:jc w:val="left"/>
        <w:rPr>
          <w:rFonts w:ascii="宋体" w:hAnsi="宋体" w:cs="宋体"/>
          <w:color w:val="auto"/>
          <w:kern w:val="0"/>
          <w:sz w:val="24"/>
          <w:highlight w:val="none"/>
        </w:rPr>
      </w:pPr>
    </w:p>
    <w:p>
      <w:pPr>
        <w:pStyle w:val="17"/>
        <w:widowControl/>
        <w:ind w:firstLine="480"/>
        <w:rPr>
          <w:color w:val="auto"/>
          <w:highlight w:val="none"/>
        </w:rPr>
      </w:pPr>
      <w:r>
        <w:rPr>
          <w:rFonts w:hint="eastAsia" w:ascii="宋体" w:hAnsi="宋体" w:cs="宋体"/>
          <w:color w:val="auto"/>
          <w:highlight w:val="none"/>
        </w:rPr>
        <w:t>④加分项（</w:t>
      </w:r>
      <w:r>
        <w:rPr>
          <w:rFonts w:ascii="Calibri" w:hAnsi="Calibri" w:cs="Calibri"/>
          <w:color w:val="auto"/>
          <w:highlight w:val="none"/>
        </w:rPr>
        <w:t>F4</w:t>
      </w:r>
      <w:r>
        <w:rPr>
          <w:rFonts w:hint="eastAsia" w:ascii="宋体" w:hAnsi="宋体" w:cs="宋体"/>
          <w:color w:val="auto"/>
          <w:highlight w:val="none"/>
        </w:rPr>
        <w:t>×</w:t>
      </w:r>
      <w:r>
        <w:rPr>
          <w:rFonts w:ascii="Calibri" w:hAnsi="Calibri" w:cs="Calibri"/>
          <w:color w:val="auto"/>
          <w:highlight w:val="none"/>
        </w:rPr>
        <w:t>A4</w:t>
      </w:r>
      <w:r>
        <w:rPr>
          <w:rFonts w:hint="eastAsia" w:ascii="宋体" w:hAnsi="宋体" w:cs="宋体"/>
          <w:color w:val="auto"/>
          <w:highlight w:val="none"/>
        </w:rPr>
        <w:t>）</w:t>
      </w:r>
    </w:p>
    <w:p>
      <w:pPr>
        <w:pStyle w:val="17"/>
        <w:widowControl/>
        <w:ind w:firstLine="480"/>
        <w:rPr>
          <w:color w:val="auto"/>
          <w:highlight w:val="none"/>
        </w:rPr>
      </w:pPr>
      <w:r>
        <w:rPr>
          <w:rFonts w:hint="eastAsia" w:ascii="宋体" w:hAnsi="宋体" w:cs="宋体"/>
          <w:color w:val="auto"/>
          <w:highlight w:val="none"/>
        </w:rPr>
        <w:t>a.优先类节能产品、环境标志产品：</w:t>
      </w:r>
    </w:p>
    <w:p>
      <w:pPr>
        <w:pStyle w:val="17"/>
        <w:widowControl/>
        <w:ind w:firstLine="480"/>
        <w:rPr>
          <w:color w:val="auto"/>
          <w:highlight w:val="none"/>
        </w:rPr>
      </w:pPr>
      <w:r>
        <w:rPr>
          <w:rFonts w:hint="eastAsia" w:ascii="宋体" w:hAnsi="宋体" w:cs="宋体"/>
          <w:color w:val="auto"/>
          <w:highlight w:val="none"/>
        </w:rPr>
        <w:t>a1若同一采购包内节能、环境标志产品报价总金额低于该采购包报价总金额</w:t>
      </w:r>
      <w:r>
        <w:rPr>
          <w:rFonts w:ascii="Calibri" w:hAnsi="Calibri" w:cs="Calibri"/>
          <w:color w:val="auto"/>
          <w:highlight w:val="none"/>
        </w:rPr>
        <w:t>20%</w:t>
      </w:r>
      <w:r>
        <w:rPr>
          <w:rFonts w:hint="eastAsia" w:ascii="宋体" w:hAnsi="宋体" w:cs="宋体"/>
          <w:color w:val="auto"/>
          <w:highlight w:val="none"/>
        </w:rPr>
        <w:t>（含</w:t>
      </w:r>
      <w:r>
        <w:rPr>
          <w:rFonts w:ascii="Calibri" w:hAnsi="Calibri" w:cs="Calibri"/>
          <w:color w:val="auto"/>
          <w:highlight w:val="none"/>
        </w:rPr>
        <w:t>20%</w:t>
      </w:r>
      <w:r>
        <w:rPr>
          <w:rFonts w:hint="eastAsia" w:ascii="宋体" w:hAnsi="宋体" w:cs="宋体"/>
          <w:color w:val="auto"/>
          <w:highlight w:val="none"/>
        </w:rPr>
        <w:t>）以下，将分别给予节能、环境标志产品价格项（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4%</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20%-50%</w:t>
      </w:r>
      <w:r>
        <w:rPr>
          <w:rFonts w:hint="eastAsia" w:ascii="宋体" w:hAnsi="宋体" w:cs="宋体"/>
          <w:color w:val="auto"/>
          <w:highlight w:val="none"/>
        </w:rPr>
        <w:t>（含</w:t>
      </w:r>
      <w:r>
        <w:rPr>
          <w:rFonts w:ascii="Calibri" w:hAnsi="Calibri" w:cs="Calibri"/>
          <w:color w:val="auto"/>
          <w:highlight w:val="none"/>
        </w:rPr>
        <w:t>50%</w:t>
      </w:r>
      <w:r>
        <w:rPr>
          <w:rFonts w:hint="eastAsia" w:ascii="宋体" w:hAnsi="宋体" w:cs="宋体"/>
          <w:color w:val="auto"/>
          <w:highlight w:val="none"/>
        </w:rPr>
        <w:t>），将分别给予节能、环境标志产品价格项（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6%</w:t>
      </w:r>
      <w:r>
        <w:rPr>
          <w:rFonts w:hint="eastAsia" w:ascii="宋体" w:hAnsi="宋体" w:cs="宋体"/>
          <w:color w:val="auto"/>
          <w:highlight w:val="none"/>
        </w:rPr>
        <w:t>的加分；若同一采购包内节能、环境标志产品报价总金额占该采购包报价总金额</w:t>
      </w:r>
      <w:r>
        <w:rPr>
          <w:rFonts w:ascii="Calibri" w:hAnsi="Calibri" w:cs="Calibri"/>
          <w:color w:val="auto"/>
          <w:highlight w:val="none"/>
        </w:rPr>
        <w:t>50%</w:t>
      </w:r>
      <w:r>
        <w:rPr>
          <w:rFonts w:hint="eastAsia" w:ascii="宋体" w:hAnsi="宋体" w:cs="宋体"/>
          <w:color w:val="auto"/>
          <w:highlight w:val="none"/>
        </w:rPr>
        <w:t>以上的，将分别给予节能、环境标志产品价格项（</w:t>
      </w:r>
      <w:r>
        <w:rPr>
          <w:rFonts w:ascii="Calibri" w:hAnsi="Calibri" w:cs="Calibri"/>
          <w:color w:val="auto"/>
          <w:highlight w:val="none"/>
        </w:rPr>
        <w:t>F1</w:t>
      </w:r>
      <w:r>
        <w:rPr>
          <w:rFonts w:hint="eastAsia" w:ascii="宋体" w:hAnsi="宋体" w:cs="宋体"/>
          <w:color w:val="auto"/>
          <w:highlight w:val="none"/>
        </w:rPr>
        <w:t>×</w:t>
      </w:r>
      <w:r>
        <w:rPr>
          <w:rFonts w:ascii="Calibri" w:hAnsi="Calibri" w:cs="Calibri"/>
          <w:color w:val="auto"/>
          <w:highlight w:val="none"/>
        </w:rPr>
        <w:t>A1</w:t>
      </w:r>
      <w:r>
        <w:rPr>
          <w:rFonts w:hint="eastAsia" w:ascii="宋体" w:hAnsi="宋体" w:cs="宋体"/>
          <w:color w:val="auto"/>
          <w:highlight w:val="none"/>
        </w:rPr>
        <w:t>，按照满分计）和技术项（</w:t>
      </w:r>
      <w:r>
        <w:rPr>
          <w:rFonts w:ascii="Calibri" w:hAnsi="Calibri" w:cs="Calibri"/>
          <w:color w:val="auto"/>
          <w:highlight w:val="none"/>
        </w:rPr>
        <w:t>F2</w:t>
      </w:r>
      <w:r>
        <w:rPr>
          <w:rFonts w:hint="eastAsia" w:ascii="宋体" w:hAnsi="宋体" w:cs="宋体"/>
          <w:color w:val="auto"/>
          <w:highlight w:val="none"/>
        </w:rPr>
        <w:t>×</w:t>
      </w:r>
      <w:r>
        <w:rPr>
          <w:rFonts w:ascii="Calibri" w:hAnsi="Calibri" w:cs="Calibri"/>
          <w:color w:val="auto"/>
          <w:highlight w:val="none"/>
        </w:rPr>
        <w:t>A2</w:t>
      </w:r>
      <w:r>
        <w:rPr>
          <w:rFonts w:hint="eastAsia" w:ascii="宋体" w:hAnsi="宋体" w:cs="宋体"/>
          <w:color w:val="auto"/>
          <w:highlight w:val="none"/>
        </w:rPr>
        <w:t>，按照满分计）</w:t>
      </w:r>
      <w:r>
        <w:rPr>
          <w:rFonts w:ascii="Calibri" w:hAnsi="Calibri" w:cs="Calibri"/>
          <w:color w:val="auto"/>
          <w:highlight w:val="none"/>
        </w:rPr>
        <w:t>8%</w:t>
      </w:r>
      <w:r>
        <w:rPr>
          <w:rFonts w:hint="eastAsia" w:ascii="宋体" w:hAnsi="宋体" w:cs="宋体"/>
          <w:color w:val="auto"/>
          <w:highlight w:val="none"/>
        </w:rPr>
        <w:t>的加分。</w:t>
      </w:r>
    </w:p>
    <w:p>
      <w:pPr>
        <w:pStyle w:val="17"/>
        <w:widowControl/>
        <w:ind w:firstLine="480"/>
        <w:rPr>
          <w:color w:val="auto"/>
          <w:highlight w:val="none"/>
        </w:rPr>
      </w:pPr>
      <w:r>
        <w:rPr>
          <w:rFonts w:hint="eastAsia" w:ascii="宋体" w:hAnsi="宋体" w:cs="宋体"/>
          <w:color w:val="auto"/>
          <w:highlight w:val="none"/>
        </w:rPr>
        <w:t>a2若节能、环境标志产品仅是构成投标产品的部件、组件或零件，则该投标产品不享受鼓励优惠政策。同一品目中各认证证书不重复计算加分。强制类节能产品不享受加分。</w:t>
      </w:r>
    </w:p>
    <w:tbl>
      <w:tblPr>
        <w:tblStyle w:val="21"/>
        <w:tblW w:w="879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6"/>
        <w:gridCol w:w="795"/>
        <w:gridCol w:w="6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786" w:type="dxa"/>
            <w:noWrap/>
            <w:vAlign w:val="center"/>
          </w:tcPr>
          <w:p>
            <w:pPr>
              <w:widowControl/>
              <w:jc w:val="left"/>
              <w:rPr>
                <w:color w:val="auto"/>
                <w:highlight w:val="none"/>
              </w:rPr>
            </w:pPr>
            <w:r>
              <w:rPr>
                <w:rFonts w:ascii="宋体" w:hAnsi="宋体" w:cs="宋体"/>
                <w:color w:val="auto"/>
                <w:kern w:val="0"/>
                <w:sz w:val="24"/>
                <w:highlight w:val="none"/>
              </w:rPr>
              <w:t>评标项目</w:t>
            </w:r>
          </w:p>
        </w:tc>
        <w:tc>
          <w:tcPr>
            <w:tcW w:w="795" w:type="dxa"/>
            <w:noWrap/>
            <w:vAlign w:val="center"/>
          </w:tcPr>
          <w:p>
            <w:pPr>
              <w:widowControl/>
              <w:jc w:val="left"/>
              <w:rPr>
                <w:color w:val="auto"/>
                <w:highlight w:val="none"/>
              </w:rPr>
            </w:pPr>
            <w:r>
              <w:rPr>
                <w:rFonts w:ascii="宋体" w:hAnsi="宋体" w:cs="宋体"/>
                <w:color w:val="auto"/>
                <w:kern w:val="0"/>
                <w:sz w:val="24"/>
                <w:highlight w:val="none"/>
              </w:rPr>
              <w:t>评标分值</w:t>
            </w:r>
          </w:p>
        </w:tc>
        <w:tc>
          <w:tcPr>
            <w:tcW w:w="6210" w:type="dxa"/>
            <w:noWrap/>
            <w:vAlign w:val="center"/>
          </w:tcPr>
          <w:p>
            <w:pPr>
              <w:widowControl/>
              <w:jc w:val="left"/>
              <w:rPr>
                <w:color w:val="auto"/>
                <w:highlight w:val="none"/>
              </w:rPr>
            </w:pPr>
            <w:r>
              <w:rPr>
                <w:rFonts w:ascii="宋体" w:hAnsi="宋体" w:cs="宋体"/>
                <w:color w:val="auto"/>
                <w:kern w:val="0"/>
                <w:sz w:val="24"/>
                <w:highlight w:val="none"/>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786" w:type="dxa"/>
            <w:noWrap/>
            <w:vAlign w:val="center"/>
          </w:tcPr>
          <w:p>
            <w:pPr>
              <w:widowControl/>
              <w:jc w:val="left"/>
              <w:rPr>
                <w:color w:val="auto"/>
                <w:highlight w:val="none"/>
              </w:rPr>
            </w:pPr>
            <w:r>
              <w:rPr>
                <w:rFonts w:ascii="宋体" w:hAnsi="宋体" w:cs="宋体"/>
                <w:color w:val="auto"/>
                <w:kern w:val="0"/>
                <w:sz w:val="24"/>
                <w:highlight w:val="none"/>
              </w:rPr>
              <w:t>节能、减排、环境标志产品加分明细项</w:t>
            </w:r>
          </w:p>
        </w:tc>
        <w:tc>
          <w:tcPr>
            <w:tcW w:w="795" w:type="dxa"/>
            <w:noWrap/>
            <w:vAlign w:val="center"/>
          </w:tcPr>
          <w:p>
            <w:pPr>
              <w:widowControl/>
              <w:jc w:val="left"/>
              <w:rPr>
                <w:rFonts w:hint="default" w:eastAsia="宋体"/>
                <w:color w:val="auto"/>
                <w:highlight w:val="none"/>
                <w:lang w:val="en-US" w:eastAsia="zh-CN"/>
              </w:rPr>
            </w:pPr>
            <w:r>
              <w:rPr>
                <w:rFonts w:hint="eastAsia"/>
                <w:color w:val="auto"/>
                <w:highlight w:val="none"/>
                <w:lang w:val="en-US" w:eastAsia="zh-CN"/>
              </w:rPr>
              <w:t>7.04</w:t>
            </w:r>
          </w:p>
        </w:tc>
        <w:tc>
          <w:tcPr>
            <w:tcW w:w="6210" w:type="dxa"/>
            <w:noWrap/>
            <w:vAlign w:val="center"/>
          </w:tcPr>
          <w:p>
            <w:pPr>
              <w:widowControl/>
              <w:jc w:val="left"/>
              <w:rPr>
                <w:color w:val="auto"/>
                <w:highlight w:val="none"/>
              </w:rPr>
            </w:pPr>
            <w:r>
              <w:rPr>
                <w:rFonts w:ascii="宋体" w:hAnsi="宋体" w:cs="宋体"/>
                <w:color w:val="auto"/>
                <w:kern w:val="0"/>
                <w:sz w:val="24"/>
                <w:highlight w:val="none"/>
              </w:rPr>
              <w:t>同一合同包内的节能、减排、环境标志产品报价总金额占合同包报价总金额20%(含20%)以下的，将分别给予价格评标项和技术评标项标准总分值4%的加分；同一合同包内的节能、减排、环境标志产品报价总金额占合同包报价总金额20%-50%(含50%)的， 将分别给予价格评标项和技术评标项标准总分值6%的加分； 同一合同包内的节能、减排、环境标志产品报价总金额占合同包报价总金额50%以上的， 将分别给予价格评标项和技术评标项标准总分值8%的加分。</w:t>
            </w:r>
          </w:p>
        </w:tc>
      </w:tr>
    </w:tbl>
    <w:p>
      <w:pPr>
        <w:pStyle w:val="17"/>
        <w:widowControl/>
        <w:ind w:firstLine="480"/>
        <w:rPr>
          <w:color w:val="auto"/>
          <w:highlight w:val="none"/>
        </w:rPr>
      </w:pPr>
      <w:r>
        <w:rPr>
          <w:rFonts w:hint="eastAsia" w:ascii="宋体" w:hAnsi="宋体" w:cs="宋体"/>
          <w:color w:val="auto"/>
          <w:highlight w:val="none"/>
        </w:rPr>
        <w:t>（4）中标候选人排列规则顺序如下：</w:t>
      </w:r>
    </w:p>
    <w:p>
      <w:pPr>
        <w:pStyle w:val="17"/>
        <w:widowControl/>
        <w:ind w:firstLine="480"/>
        <w:rPr>
          <w:color w:val="auto"/>
          <w:highlight w:val="none"/>
        </w:rPr>
      </w:pPr>
      <w:r>
        <w:rPr>
          <w:rFonts w:hint="eastAsia" w:ascii="宋体" w:hAnsi="宋体" w:cs="宋体"/>
          <w:color w:val="auto"/>
          <w:highlight w:val="none"/>
        </w:rPr>
        <w:t>a.按照评标总得分（</w:t>
      </w:r>
      <w:r>
        <w:rPr>
          <w:rFonts w:ascii="Calibri" w:hAnsi="Calibri" w:cs="Calibri"/>
          <w:color w:val="auto"/>
          <w:highlight w:val="none"/>
        </w:rPr>
        <w:t>FA</w:t>
      </w:r>
      <w:r>
        <w:rPr>
          <w:rFonts w:hint="eastAsia" w:ascii="宋体" w:hAnsi="宋体" w:cs="宋体"/>
          <w:color w:val="auto"/>
          <w:highlight w:val="none"/>
        </w:rPr>
        <w:t>）由高到低顺序排列。</w:t>
      </w:r>
    </w:p>
    <w:p>
      <w:pPr>
        <w:pStyle w:val="17"/>
        <w:widowControl/>
        <w:ind w:firstLine="480"/>
        <w:rPr>
          <w:color w:val="auto"/>
          <w:highlight w:val="none"/>
        </w:rPr>
      </w:pPr>
      <w:r>
        <w:rPr>
          <w:rFonts w:hint="eastAsia" w:ascii="宋体" w:hAnsi="宋体" w:cs="宋体"/>
          <w:color w:val="auto"/>
          <w:highlight w:val="none"/>
        </w:rPr>
        <w:t>b.评标总得分（</w:t>
      </w:r>
      <w:r>
        <w:rPr>
          <w:rFonts w:ascii="Calibri" w:hAnsi="Calibri" w:cs="Calibri"/>
          <w:color w:val="auto"/>
          <w:highlight w:val="none"/>
        </w:rPr>
        <w:t>FA</w:t>
      </w:r>
      <w:r>
        <w:rPr>
          <w:rFonts w:hint="eastAsia" w:ascii="宋体" w:hAnsi="宋体" w:cs="宋体"/>
          <w:color w:val="auto"/>
          <w:highlight w:val="none"/>
        </w:rPr>
        <w:t>）相同的，按照评标价（即价格扣除后的投标报价）由低到高顺序排列。</w:t>
      </w:r>
    </w:p>
    <w:p>
      <w:pPr>
        <w:pStyle w:val="17"/>
        <w:widowControl/>
        <w:ind w:firstLine="480"/>
        <w:rPr>
          <w:color w:val="auto"/>
          <w:highlight w:val="none"/>
        </w:rPr>
      </w:pPr>
      <w:r>
        <w:rPr>
          <w:rFonts w:hint="eastAsia" w:ascii="宋体" w:hAnsi="宋体" w:cs="宋体"/>
          <w:color w:val="auto"/>
          <w:highlight w:val="none"/>
        </w:rPr>
        <w:t>c.评标总得分（</w:t>
      </w:r>
      <w:r>
        <w:rPr>
          <w:rFonts w:ascii="Calibri" w:hAnsi="Calibri" w:cs="Calibri"/>
          <w:color w:val="auto"/>
          <w:highlight w:val="none"/>
        </w:rPr>
        <w:t>FA</w:t>
      </w:r>
      <w:r>
        <w:rPr>
          <w:rFonts w:hint="eastAsia" w:ascii="宋体" w:hAnsi="宋体" w:cs="宋体"/>
          <w:color w:val="auto"/>
          <w:highlight w:val="none"/>
        </w:rPr>
        <w:t>）且评标价（即价格扣除后的投标报价）相同的并列。</w:t>
      </w:r>
    </w:p>
    <w:p>
      <w:pPr>
        <w:pStyle w:val="17"/>
        <w:widowControl/>
        <w:spacing w:before="75" w:after="75"/>
        <w:rPr>
          <w:color w:val="auto"/>
          <w:highlight w:val="none"/>
        </w:rPr>
      </w:pPr>
      <w:r>
        <w:rPr>
          <w:rFonts w:hint="eastAsia" w:ascii="宋体" w:hAnsi="宋体" w:cs="宋体"/>
          <w:color w:val="auto"/>
          <w:highlight w:val="none"/>
        </w:rPr>
        <w:t>8、其他规定</w:t>
      </w:r>
    </w:p>
    <w:p>
      <w:pPr>
        <w:pStyle w:val="17"/>
        <w:widowControl/>
        <w:spacing w:before="75" w:after="75"/>
        <w:rPr>
          <w:color w:val="auto"/>
          <w:highlight w:val="none"/>
        </w:rPr>
      </w:pPr>
      <w:r>
        <w:rPr>
          <w:rFonts w:hint="eastAsia" w:ascii="宋体" w:hAnsi="宋体" w:cs="宋体"/>
          <w:color w:val="auto"/>
          <w:highlight w:val="none"/>
        </w:rPr>
        <w:t>8.1评标应全程保密且不得透露给任一投标人或与评标工作无关的人员。</w:t>
      </w:r>
    </w:p>
    <w:p>
      <w:pPr>
        <w:pStyle w:val="17"/>
        <w:widowControl/>
        <w:spacing w:before="75" w:after="75"/>
        <w:rPr>
          <w:color w:val="auto"/>
          <w:highlight w:val="none"/>
        </w:rPr>
      </w:pPr>
      <w:r>
        <w:rPr>
          <w:rFonts w:hint="eastAsia" w:ascii="宋体" w:hAnsi="宋体" w:cs="宋体"/>
          <w:color w:val="auto"/>
          <w:highlight w:val="none"/>
        </w:rPr>
        <w:t>8.2评标将进行全程实时录音录像，录音录像资料随采购文件一并存档。</w:t>
      </w:r>
    </w:p>
    <w:p>
      <w:pPr>
        <w:pStyle w:val="17"/>
        <w:widowControl/>
        <w:spacing w:before="75" w:after="75"/>
        <w:rPr>
          <w:color w:val="auto"/>
          <w:highlight w:val="none"/>
        </w:rPr>
      </w:pPr>
      <w:r>
        <w:rPr>
          <w:rFonts w:hint="eastAsia" w:ascii="宋体" w:hAnsi="宋体" w:cs="宋体"/>
          <w:color w:val="auto"/>
          <w:highlight w:val="none"/>
        </w:rPr>
        <w:t>8.3若投标人有任何试图干扰具体评标事务，影响评标委员会独立履行职责的行为，其投标无效且不予退还投标保证金。情节严重的，由财政部门列入不良行为记录。</w:t>
      </w:r>
    </w:p>
    <w:p>
      <w:pPr>
        <w:pStyle w:val="17"/>
        <w:widowControl/>
        <w:spacing w:before="75" w:after="75"/>
        <w:rPr>
          <w:color w:val="auto"/>
          <w:highlight w:val="none"/>
        </w:rPr>
      </w:pPr>
      <w:r>
        <w:rPr>
          <w:rFonts w:hint="eastAsia" w:ascii="宋体" w:hAnsi="宋体" w:cs="宋体"/>
          <w:color w:val="auto"/>
          <w:highlight w:val="none"/>
        </w:rPr>
        <w:t>8.4其他：</w:t>
      </w:r>
      <w:r>
        <w:rPr>
          <w:color w:val="auto"/>
          <w:highlight w:val="none"/>
        </w:rPr>
        <w:t>无。</w:t>
      </w: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widowControl/>
        <w:spacing w:before="75" w:after="75" w:line="360" w:lineRule="auto"/>
        <w:jc w:val="left"/>
        <w:rPr>
          <w:rFonts w:ascii="宋体" w:hAnsi="宋体" w:cs="宋体"/>
          <w:color w:val="auto"/>
          <w:kern w:val="0"/>
          <w:sz w:val="24"/>
          <w:highlight w:val="none"/>
        </w:rPr>
      </w:pPr>
    </w:p>
    <w:p>
      <w:pPr>
        <w:rPr>
          <w:rFonts w:ascii="宋体" w:hAnsi="宋体" w:cs="宋体"/>
          <w:color w:val="auto"/>
          <w:kern w:val="0"/>
          <w:sz w:val="24"/>
          <w:highlight w:val="none"/>
        </w:rPr>
      </w:pPr>
      <w:r>
        <w:rPr>
          <w:rFonts w:hint="eastAsia" w:ascii="宋体" w:hAnsi="宋体" w:cs="宋体"/>
          <w:color w:val="auto"/>
          <w:kern w:val="0"/>
          <w:sz w:val="24"/>
          <w:highlight w:val="none"/>
        </w:rPr>
        <w:br w:type="page"/>
      </w:r>
    </w:p>
    <w:p>
      <w:pPr>
        <w:pStyle w:val="2"/>
        <w:rPr>
          <w:color w:val="auto"/>
          <w:highlight w:val="none"/>
        </w:rPr>
      </w:pPr>
    </w:p>
    <w:p>
      <w:pPr>
        <w:tabs>
          <w:tab w:val="left" w:pos="3240"/>
          <w:tab w:val="left" w:pos="3600"/>
          <w:tab w:val="left" w:pos="4057"/>
          <w:tab w:val="right" w:pos="9070"/>
        </w:tabs>
        <w:spacing w:afterLines="50" w:line="264"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第五章  招标内容及要求</w:t>
      </w:r>
    </w:p>
    <w:bookmarkEnd w:id="0"/>
    <w:p>
      <w:pPr>
        <w:pStyle w:val="17"/>
        <w:widowControl/>
        <w:spacing w:before="75" w:after="75" w:line="360" w:lineRule="auto"/>
        <w:rPr>
          <w:rFonts w:ascii="宋体" w:hAnsi="宋体" w:cs="宋体"/>
          <w:b/>
          <w:bCs/>
          <w:color w:val="auto"/>
          <w:highlight w:val="none"/>
        </w:rPr>
      </w:pPr>
      <w:r>
        <w:rPr>
          <w:rFonts w:hint="eastAsia" w:ascii="宋体" w:hAnsi="宋体" w:cs="宋体"/>
          <w:b/>
          <w:bCs/>
          <w:color w:val="auto"/>
          <w:highlight w:val="none"/>
        </w:rPr>
        <w:t>一、项目概况（采购标的）</w:t>
      </w:r>
    </w:p>
    <w:p>
      <w:pPr>
        <w:pStyle w:val="17"/>
        <w:widowControl/>
        <w:spacing w:line="400" w:lineRule="exact"/>
        <w:rPr>
          <w:rFonts w:ascii="宋体" w:hAnsi="宋体" w:cs="宋体"/>
          <w:color w:val="auto"/>
          <w:highlight w:val="none"/>
        </w:rPr>
      </w:pPr>
      <w:r>
        <w:rPr>
          <w:rStyle w:val="25"/>
          <w:rFonts w:hint="eastAsia" w:ascii="宋体" w:hAnsi="宋体" w:cs="宋体"/>
          <w:color w:val="auto"/>
          <w:highlight w:val="none"/>
        </w:rPr>
        <w:t>1、总体要求</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专业资源要离开了资源必须上传到“智慧职教”平台或学校指定网络学习平台上，在平台上建课并正常运行。</w:t>
      </w:r>
    </w:p>
    <w:p>
      <w:pPr>
        <w:pStyle w:val="17"/>
        <w:widowControl/>
        <w:spacing w:line="400" w:lineRule="exact"/>
        <w:rPr>
          <w:rFonts w:ascii="宋体" w:hAnsi="宋体" w:cs="宋体"/>
          <w:b/>
          <w:bCs/>
          <w:color w:val="auto"/>
          <w:highlight w:val="none"/>
        </w:rPr>
      </w:pPr>
      <w:r>
        <w:rPr>
          <w:rStyle w:val="25"/>
          <w:rFonts w:hint="eastAsia" w:ascii="宋体" w:hAnsi="宋体" w:cs="宋体"/>
          <w:color w:val="auto"/>
          <w:highlight w:val="none"/>
        </w:rPr>
        <w:t>2.课程资源明细</w:t>
      </w:r>
    </w:p>
    <w:tbl>
      <w:tblPr>
        <w:tblStyle w:val="21"/>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4" w:type="dxa"/>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6441" w:type="dxa"/>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资源数量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restart"/>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《机构创新设计与仿真》</w:t>
            </w: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1.文本类：50份，包含课程介绍、课程标准、教学设  计，授课计划、学习指南，试题库，企业案例文档库及相关专业标准库、专业文献库、实训资源库、专业素材库、1+X等文本资源。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2.多媒体教学PPT：30个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3.微课：50个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4.图形图像：35张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5.企业案例：5个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6.音频类：30个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7.视频：35个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8.动画类：20个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2204" w:type="dxa"/>
            <w:vMerge w:val="restart"/>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《工业互联网实施与运维》</w:t>
            </w: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1.文本类：50份，包含课程介绍、课程标准、教学设  计，授课计划、学习指南，试题库，企业案例文档库及相关专业标准库、专业文献库、实训资源库、专业素材库、1+X等文本资源。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2.多媒体教学PPT：40个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3.微课：45个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4.图形图像：55张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5.企业案例：5个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6.音频类：30个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7.视频：30个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8.动画类：20个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restart"/>
            <w:noWrap/>
            <w:vAlign w:val="center"/>
          </w:tcPr>
          <w:p>
            <w:pPr>
              <w:widowControl/>
              <w:spacing w:line="400" w:lineRule="exact"/>
              <w:jc w:val="center"/>
              <w:rPr>
                <w:rFonts w:ascii="宋体" w:hAnsi="宋体" w:cs="宋体"/>
                <w:color w:val="auto"/>
                <w:sz w:val="24"/>
                <w:highlight w:val="none"/>
              </w:rPr>
            </w:pPr>
            <w:r>
              <w:rPr>
                <w:rFonts w:hint="eastAsia" w:ascii="宋体" w:hAnsi="宋体" w:cs="宋体"/>
                <w:color w:val="auto"/>
                <w:sz w:val="24"/>
                <w:highlight w:val="none"/>
              </w:rPr>
              <w:t>《自动化生产线的安装与调试》</w:t>
            </w: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1.文本类：50份，包含课程介绍、课程标准、教学设  计，授课计划、学习指南，试题库，企业案例文档库及相关专业标准库、专业文献库、实训资源库、专业素材库、1+X等文本资源。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2.多媒体教学PPT：30个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3.微课：35个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4.图形图像：35张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5.企业案例：5个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6.音频类：20个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7.视频：30个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04" w:type="dxa"/>
            <w:vMerge w:val="continue"/>
            <w:noWrap/>
            <w:vAlign w:val="center"/>
          </w:tcPr>
          <w:p>
            <w:pPr>
              <w:widowControl/>
              <w:spacing w:line="400" w:lineRule="exact"/>
              <w:jc w:val="center"/>
              <w:rPr>
                <w:rFonts w:ascii="宋体" w:hAnsi="宋体" w:cs="宋体"/>
                <w:color w:val="auto"/>
                <w:sz w:val="24"/>
                <w:highlight w:val="none"/>
              </w:rPr>
            </w:pPr>
          </w:p>
        </w:tc>
        <w:tc>
          <w:tcPr>
            <w:tcW w:w="6441" w:type="dxa"/>
            <w:noWrap/>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8.动画类：10个</w:t>
            </w:r>
          </w:p>
        </w:tc>
      </w:tr>
    </w:tbl>
    <w:p>
      <w:pPr>
        <w:pStyle w:val="17"/>
        <w:widowControl/>
        <w:spacing w:line="400" w:lineRule="exact"/>
        <w:rPr>
          <w:rFonts w:ascii="宋体" w:hAnsi="宋体" w:cs="宋体"/>
          <w:color w:val="auto"/>
          <w:highlight w:val="none"/>
        </w:rPr>
      </w:pPr>
      <w:r>
        <w:rPr>
          <w:rStyle w:val="25"/>
          <w:rFonts w:hint="eastAsia" w:ascii="宋体" w:hAnsi="宋体" w:cs="宋体"/>
          <w:color w:val="auto"/>
          <w:highlight w:val="none"/>
        </w:rPr>
        <w:t>3.总体规范</w:t>
      </w:r>
    </w:p>
    <w:tbl>
      <w:tblPr>
        <w:tblStyle w:val="22"/>
        <w:tblW w:w="48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466"/>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Style w:val="25"/>
                <w:rFonts w:hint="eastAsia" w:ascii="宋体" w:hAnsi="宋体" w:cs="宋体"/>
                <w:color w:val="auto"/>
                <w:highlight w:val="none"/>
              </w:rPr>
              <w:t>序号</w:t>
            </w:r>
          </w:p>
        </w:tc>
        <w:tc>
          <w:tcPr>
            <w:tcW w:w="859" w:type="pct"/>
            <w:vAlign w:val="center"/>
          </w:tcPr>
          <w:p>
            <w:pPr>
              <w:pStyle w:val="17"/>
              <w:widowControl/>
              <w:spacing w:line="400" w:lineRule="exact"/>
              <w:jc w:val="center"/>
              <w:rPr>
                <w:rFonts w:ascii="宋体" w:hAnsi="宋体" w:cs="宋体"/>
                <w:color w:val="auto"/>
                <w:highlight w:val="none"/>
              </w:rPr>
            </w:pPr>
            <w:r>
              <w:rPr>
                <w:rStyle w:val="25"/>
                <w:rFonts w:hint="eastAsia" w:ascii="宋体" w:hAnsi="宋体" w:cs="宋体"/>
                <w:color w:val="auto"/>
                <w:highlight w:val="none"/>
              </w:rPr>
              <w:t>资源</w:t>
            </w:r>
          </w:p>
        </w:tc>
        <w:tc>
          <w:tcPr>
            <w:tcW w:w="3792" w:type="pct"/>
            <w:vAlign w:val="center"/>
          </w:tcPr>
          <w:p>
            <w:pPr>
              <w:pStyle w:val="17"/>
              <w:widowControl/>
              <w:spacing w:line="400" w:lineRule="exact"/>
              <w:jc w:val="center"/>
              <w:rPr>
                <w:rFonts w:ascii="宋体" w:hAnsi="宋体" w:cs="宋体"/>
                <w:color w:val="auto"/>
                <w:highlight w:val="none"/>
              </w:rPr>
            </w:pPr>
            <w:r>
              <w:rPr>
                <w:rStyle w:val="25"/>
                <w:rFonts w:hint="eastAsia" w:ascii="宋体" w:hAnsi="宋体" w:cs="宋体"/>
                <w:color w:val="auto"/>
                <w:highlight w:val="none"/>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1</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文本类</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文本排版美化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2</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多媒体教学PPT</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PPT课件模板设计、排版、美化、图形化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3</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微课</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1.根据知识点为单元来拍摄或制作，5-10分钟左右为宜。</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2.每个微课关联一个知识点，且该知识点没有下属的子知识点。</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rPr>
              <w:t>资源类型选择多样化，视频、PPT、图片集等均可构成一个微课的主体资源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4</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图形图像</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按像素及大小要求美化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5</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企业案例</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多来自行业或企业的应用案例，制作5-10分钟左右的案例视频。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6</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音频类</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根据技能点提供音频素材。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7</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视频</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1.教学任务和教学目标，搭建内容设计框架。</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2.根据知识点或技能点进行制作视频，视频包含片头片尾，MP4格式5-10分钟/个；</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3.拍摄方式可选用实训操作或棚拍扣像、实拍外景、课堂教学等等方式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pPr>
              <w:pStyle w:val="17"/>
              <w:widowControl/>
              <w:spacing w:line="400" w:lineRule="exact"/>
              <w:jc w:val="center"/>
              <w:rPr>
                <w:rFonts w:ascii="宋体" w:hAnsi="宋体" w:cs="宋体"/>
                <w:color w:val="auto"/>
                <w:highlight w:val="none"/>
              </w:rPr>
            </w:pPr>
            <w:r>
              <w:rPr>
                <w:rFonts w:hint="eastAsia" w:ascii="宋体" w:hAnsi="宋体" w:cs="宋体"/>
                <w:color w:val="auto"/>
                <w:highlight w:val="none"/>
              </w:rPr>
              <w:t>8</w:t>
            </w:r>
          </w:p>
        </w:tc>
        <w:tc>
          <w:tcPr>
            <w:tcW w:w="85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动画类</w:t>
            </w:r>
          </w:p>
        </w:tc>
        <w:tc>
          <w:tcPr>
            <w:tcW w:w="379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资源采用二维动画建设软件（如FLASH\HTML5\MG等）开发完成的教学资源。以人物对话的形式，展现一个案例、事例、故事、示范,也可以是对知识的讲解进行展开，以MP4格式存储（时长一般不超过3分钟）讲解型的动画，或者以图文形式展现一个概念原理、发展流程、推演变化、组织结构、分类特征等抽象的知识具象化；以MP4格式或SWF格式存储（时长一般不超过15秒）的原理型动画。</w:t>
            </w:r>
          </w:p>
        </w:tc>
      </w:tr>
    </w:tbl>
    <w:p>
      <w:pPr>
        <w:rPr>
          <w:color w:val="auto"/>
          <w:highlight w:val="none"/>
        </w:rPr>
      </w:pPr>
    </w:p>
    <w:p>
      <w:pPr>
        <w:numPr>
          <w:ilvl w:val="0"/>
          <w:numId w:val="4"/>
        </w:numPr>
        <w:autoSpaceDE w:val="0"/>
        <w:autoSpaceDN w:val="0"/>
        <w:adjustRightInd w:val="0"/>
        <w:snapToGrid w:val="0"/>
        <w:spacing w:beforeLines="150" w:afterLines="100" w:line="400" w:lineRule="exact"/>
        <w:jc w:val="left"/>
        <w:rPr>
          <w:rFonts w:ascii="宋体" w:hAnsi="宋体" w:cs="宋体"/>
          <w:color w:val="auto"/>
          <w:szCs w:val="21"/>
          <w:highlight w:val="none"/>
        </w:rPr>
      </w:pPr>
      <w:r>
        <w:rPr>
          <w:rFonts w:hint="eastAsia" w:ascii="宋体" w:hAnsi="宋体" w:cs="宋体"/>
          <w:b/>
          <w:bCs/>
          <w:color w:val="auto"/>
          <w:sz w:val="24"/>
          <w:szCs w:val="32"/>
          <w:highlight w:val="none"/>
        </w:rPr>
        <w:t>技术和服务要求</w:t>
      </w:r>
      <w:r>
        <w:rPr>
          <w:rStyle w:val="25"/>
          <w:rFonts w:hint="eastAsia" w:ascii="宋体" w:hAnsi="宋体" w:cs="宋体"/>
          <w:bCs/>
          <w:color w:val="auto"/>
          <w:sz w:val="24"/>
          <w:highlight w:val="none"/>
          <w:u w:val="single"/>
        </w:rPr>
        <w:t>（</w:t>
      </w:r>
      <w:r>
        <w:rPr>
          <w:rStyle w:val="25"/>
          <w:rFonts w:hint="eastAsia" w:ascii="宋体" w:hAnsi="宋体" w:cs="宋体"/>
          <w:color w:val="auto"/>
          <w:sz w:val="24"/>
          <w:highlight w:val="none"/>
          <w:u w:val="single"/>
        </w:rPr>
        <w:t>以“★”标示的内容为不允许负偏离的实质性要求）</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（一）视频技术规范</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（1）专业资源库资源的制作及运行</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拍摄制作的资源库课程资源，必须依据《福建省教育厅关于组织开展职业教育精品在线开放课程及专业教学资源库建设工作的通知》（闽教职成〔2016〕32号）与《福建省职业教育专业教学资源库建设指南（试行）》等文件要求、精神进行总体规划和实施，并且投标人所拍摄制作课程在技术参数、资源配置等方面达到省 级以上职业教育专业教学资源库认定标准，在资源库课程质量、教学内容、共享范围、应用效果和示范性方面达到较高的水准。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（2）人员配置及设备要求</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①具备三年以上经验的课程顾问团队课程编导与老师深度沟通（3名），多对一的提供课程咨询服务，收集材料，协助老师进行资源库课程梳理，形成课程概要，帮助老师进行知识点碎片化，形成课程教学大纲等，协助教师起草课程脚本、拟定分组镜头大纲。从资源库启动到资源库交付，必须全程跟进。</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②具备资深专业摄像师、摄像助理、化妆师、灯光师、场记员等专业摄像团队拍摄现场服务，包括拍摄前及拍摄过程摄像机、机位位置、音频设备、灯管调试管理，化妆，拍摄进度、时间、内容、景别等内容的记录。</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③每门课程的视频拍摄人员3名，有2年以上工作经验且至少拍摄过2门课程。</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④视频后期制作人员2名，负责课程样片、课程视频的制作与完善等。完成视频调色渲染、特效包装、二维动画制作、flash交互式动画制作、字幕制作、视频转换等进行视频后期处理。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⑤拍摄设备：专业高清摄像机（2机位），拍摄设备要同型同款，保证录制效果一致，辅助记忆设备（提词器）1套；专业无线麦模式的音频设备、专业影视摄影镝灯，LED面光灯等。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⑥投标人不仅要擅长视频拍摄制作，还要有教育行业服务经验，了解教学规律、理解专业教学资源库内涵、熟悉互联网教学应用等，配备高水平的制作人才。制作人员要懂教学，具备丰富的课程编排经验以及教学安排能力，能够辅助教师进行课程教学编排重构，专业教学资源库资源整体编排。</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⑦投标人需邀请具有省级及以上专业教学资源库建设指导经验的专家为本次专业教学资源库项目提供两次关于专业教学资源库设计方面的相关指导。</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⑧投标人需提供专业的摄像设备、音频设备、灯光设备和后期编辑设备。</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⑨投标人需提供以下专业人员服务：形象设计师、片头制作师、视频精剪师、特效包装师、二维动画师、字幕制作师、视频格式转换以及平台运营师等。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（3）录制场地及拍摄方式要求</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①投标人如在学校拍摄，投标人需提供所需所有设备并搭建拍摄场景，提供驻场服务。</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②摄像师应提前了解场地条件，根据场地要求制定拍摄方案。负责拍摄场地的整理（如黑板、讲台）和现场学生的疏导，保证拍摄效果整洁，现场人员合理。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③演播室使用的背景采用彩色喷绘或电脑虚拟、实景等背景。背景的颜色、图案不易过多，应保持静态，画面应简洁、明快，有利于营造课堂气氛。屏幕图像的构图合理，画面主体突出。人像及肢体动作以及配合讲授选用的板书、画板、教具实物、模型和实验设备等均不能超出镜头所及范围。摄像镜头应保持与主讲教师目光平视的角度。主讲教师不应较长时间仰视或俯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（4）课程制作要求</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1）为满足实际课程拍摄的需要，投标人提供以下7种拍摄模式供课程负责老师选择：</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①触屏手写模式：在摄影棚内拍摄，全程PPT演示可展示教学素材，老师站在PPT课件1/3位置，学生既能看到PPT上的知识点，也能看到老师的讲课风采，现场没有学生互动，1-2机位拍摄；</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②访谈对话模式：在摄影棚内摆拍根据访谈人数，设定机位数一般2-3机位，教学过程由多位老师针对于某个知识点或问题交流讨论完成。环境轻松，教师可以放松心情，谈话过程中可以相互启发影响，有利于促进问题的深入，有利于引导学生深入思考探究问题，同时有利于学生发散性思维，适合启发性的、思维拓展和发散的学科课程；</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③实验实操模式：适用于实际操作的课程，教师不出镜，在摄影棚内或指定场地多机位多角度拍摄，通过专人实际操作演示、老师讲解，完成教学过程，为抓住某个细节动作，可能需要就某一动作进行重复拍摄；</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④课堂实录模式：在教室现场拍摄，有学生，师生可以互动，2-3机位拍摄，记录老师讲课现场风采；</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⑤虚拟抠像模式：在摄影棚内拍摄，视频背景可根据课程设计更换，可置入动态或静态背景，灵活性强，知识点随老师的讲解一一出现，画面清晰美观；现场没有学生互动，拍摄过程安静，专业灯光光线充足，课程拍摄运用较为广泛的一种模式，1-2机位拍摄；</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⑥二维动画模式：按照脚本设计运用动画制作软件制作二维动画，动画可以根据老师讲课风格特点增加课程趣味性。根据课程实际情况，投标人结合老师提供的基本素材协助制作脚本；二维动画资源可独立成资源库课程资源或插入已拍摄的视频，作为视频中的素材。</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⑦完全动画模式：老师根据讲稿在摄影棚内完成高音质录音或提供动画脚本，后期用动画模式展现课程，可根据课程特点加入诙谐幽默等风格的配音动画等。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⑧企业外拍模式：为深入推进职业院校产教融人才培养方式，实现“专业与产业对接、学校与企业对接、课程内容与职业标准对接、教学过程与生产过程对接”的目标。投标人应支持课程教师在福建省内的企业的外景拍摄，提供高品质音效、画面同步录制。需根据“1、服务内容”中各课程要求的企业外拍个数完成拍摄，由此产生的相关交通差旅费用需由投标人承担。教学过程由一位老师讲解或多位老师和企业人员互动、交流讨论完成，适合启发性的、思维拓展和发散的校企课程。</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2）知识单元化，课程制作按照知识单元进行，每个知识单元是一个独立的课程单元，视频时长在5～10分钟左右为宜，具体根据课程知识点而定,包含这一个知识单元的授课视频、动画、参考资料及其它相关资源等。知识单元考核：每个知识单元可设置考核点，包括作业、讨论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3）协助教师完成适用于课程的分镜头脚本撰写，并协商达至一致意见后开始制作；</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4）制作的教学视频符合专业教学资源库课程教学的特点：以知识点为单元的短视频、一对一面授氛围、教师仪态自然放松、教师着装得体、知识点表达准确、画面美观并符合教学规律、画质音质清晰等；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5）投标人负责将教师提供的授课文档按照需要制作成授课用的PPT课件，或者对教师提供的PPT课件进行适应专业教学资源库课程教学的调整，包括但不限于重新排版、美化、字体字号调整、统一风格等。</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6.投标人在后期剪辑授课视频中，应配合教师对教学效果的要求，积极合理地运用插图、特效、动画等多种手段。</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7）当老师指向PPT时，应在3秒内切换成含PPT在内的全景、PPT特写或插入PPT。插入的PPT应与授课内容吻合，且插入时长控制在5-8秒。</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8）教师视频过程中，需始终保持和教师的良性沟通，认真听取教师意见，积极提出合理化建议。</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9）学习流程管理：专业教学资源库课程资源在资源库运行平台上可课程组课、视频播放、讨论答疑、作业、考试、评估等功能。</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（5）视频制作要求</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①前期采用高清16:9拍摄，设定为 1280×720或1920×1080。视频压缩采用H.264/AVC （MPEG-4 Part10）编码、使用二次编码、不包含字幕的MP4格式。动态码流的最低码率不得低于1024Kb。视频帧率为25帧/秒，扫描方式采用逐行扫描。</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信噪比：图像信噪比不低于55dB，无明显杂波。色调：白平衡正确，无明显偏色，多机拍摄的镜头衔接处无明显色差。视频电平：视频电平：视频全讯号幅度为1Ⅴp-p，最大不超过1.1Ⅴ p-p。其中，消隐电平为0V时，白电平幅度0.7Ⅴp-p，同步信号-0.3V，色同步信号幅度0.3V p-p （以消隐线上下对称），全片一致。</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②录音设备要求使用若干个专业级话筒，保证录音质量。</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③音频压缩采用AAC（MPEG4Part3）格式。采样率48KHz。音频码流率256kbps（恒定），音频信噪比不低于48db。双声道，须做混音处理。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④选用影视作品或自拍素材，应注明素材来源。影视作品或自拍素材中涉及人物访谈内容时，除应加注人物介绍外，还应采用滚动式同声字幕。选用的资料、图片等素材画面应清楚，对于历史资料、图片应进行再加工。选用的资料、图片等素材应注明素材来源及原始信息（如字画的作品、生卒年月，影视片断的作品名 称、创作年代等信息）。</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⑤动画的设计与使用，要与课程内容相贴切，能够发挥良好的教学效果。动画的实现须流畅、合理、图像清晰，具有较强的可视性。动画制作，要求提供可嵌入视频的动画，嵌入时与视频融合恰当。</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⑥字幕制作，字幕要使用符合国家标准的规范字，不出现繁体字、异体字（国家规定的除外）、错别字；字幕的字体、大小、色彩搭配、摆放位置、停留时间、出入屏方式力求与其他要素（画面、解说词、音乐）配合适当，不能破坏原有画面。</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独立的SRT格式的字幕文件，每屏只有一行字幕，每行一般不超过14个字。</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能够按照课程需要制作英文字幕（英文字幕内容由课程教师提供），幕中的数学公式、化学分子式、物理量和单位，尽量以文本文字呈现；不宜用文本文字呈现的且在视频画面中已经通过PPT、板书等方式显示清楚的，可以不加该行字幕。</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文件封装：编辑结束之后，MP4格式封装，或者根据采购人要求FLV格式封装。</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⑦片头片尾，片头一般不超过10秒，应包括：学校LOGO、课程名  称、讲次、主讲教师信息。片尾包括版权单位、录制时间等信息，这些信息也要在媒体文件属性里存在。学校Logo角标放置于视频适当的位置。</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⑧脚本制作标准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微课脚本应满足150字～180字/分钟；脚本的设  计需根据老师的课程设  计编排趣味性强、重点难点疑点突出、主题鲜明、深入简出的教学任务，吸引学生学习兴趣、启发独立思考。</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⑨编辑点处不同机位的镜头切换应使用叠画，画面衔接处应无明显色差。</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⑩镜头无抖动、无穿帮，远近切时应缓推，速度均匀，不能忽快忽慢。</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唇音同步，音质清晰、饱满、圆润，无失真、忽大忽小、忽远忽近现象。无交流声、噪声或其它杂音。</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后期课程剪辑标准</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根据讲课老师的特定要求剪去不需要的时间段。（例：XX分 XX秒～XX分XX秒部分内容剪去，注意剪辑后需要保证前后讲话内容的完整性，衔接流畅）。</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讲课老师重复的语句，长时间的停顿，与课程内容无关的动作（如课前准备电脑，摆弄幻灯片，长时间翻阅资料），以及授课过程中被某些原因打断授课的都可视情况剪去。</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课程剪辑的转场出现在剪辑点，机位切换和PPT展示处。转场效果若不是特殊要求，使用硬切换或者淡入淡出。</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必须使用专业级话筒及音频处理设备，保证录音质量。音频信号源，声道：</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中文内容音频信号记录于第1声道，音乐、音效、同期声记录于第2声道，若有其他文字解说记录于第3声道（如录音设备无第3声道，则录于第2声道）。电平指标：-2db～-8db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根据课程设计，按照课程框架，分单元完成知识点内容的拍摄和制作，录像环境光线充足、安静，中标人须提供形象指导，如指导教师衣着得体，拍摄前需简单化妆，保持最佳精神状态。</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采用二机位或以上的拍摄方式，机位设置能够完整记录全部教学活动的要求。（根据资源用途，另有文件规定的除外）</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6）专业教学资源库上线运行服务要求</w:t>
      </w:r>
    </w:p>
    <w:tbl>
      <w:tblPr>
        <w:tblStyle w:val="22"/>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70"/>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gridSpan w:val="3"/>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专业教学资源库建设内容要求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专业教学资源库建设标准</w:t>
            </w: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1、基本资源</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应以专业教学内容与课程体系改革为前提系统设计，以碎片化的资源建设为基础，以结构化的课程建设为骨架，充分发挥多媒体技术展示资源的优势，开发建设以学习者为中心的必要数字资源。基本资源须覆盖专业所有基本知识点和岗位基本技能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2、拓展资源</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根据产业发展要求和不同用户的个性化需求，有针对性地开发建设拓展资源，增强资源建设的普适性。拓展资源应体现行业发展的前沿技术和最新成果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3、资源冗余</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库内资源应力求丰富多样，在数量和类型上大大超出库内提供课程所调用的资源范围，实现资源冗余，以方便其他教师灵活搭建课程和学生自主拓展学习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4、分层建设</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库内资源应包括素材、积件、模块和课程等不同层次。课程应包含完整的教学内容和教学活动，包括教学设计、教学实施、教学过程记录、教学评价等环节，支持线上教学或线上线下混合教学。资源库提供的课程体系应涵盖所属专业的全部专业主干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5、学习流程管理</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专业教学资源库课程资源在资源库运行平台上可课程组课、视频播放、讨论答疑、作业、考试、评估等功能。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专业教学资源库建设流程</w:t>
            </w:r>
          </w:p>
        </w:tc>
        <w:tc>
          <w:tcPr>
            <w:tcW w:w="1170" w:type="dxa"/>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6、前期课程沟通</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（1）课程顾问与课程教师团队、学校深度沟通，确定教学大纲、教学任务，进行课程知识点深化。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Merge w:val="continue"/>
            <w:vAlign w:val="center"/>
          </w:tcPr>
          <w:p>
            <w:pPr>
              <w:spacing w:line="400" w:lineRule="exact"/>
              <w:rPr>
                <w:rFonts w:ascii="宋体" w:hAnsi="宋体" w:cs="宋体"/>
                <w:color w:val="auto"/>
                <w:sz w:val="24"/>
                <w:highlight w:val="none"/>
              </w:rPr>
            </w:pP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（2）收集教学素材，根据课程量身定做创意方案、优化脚本、解说词以及相应的素材。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Merge w:val="continue"/>
            <w:vAlign w:val="center"/>
          </w:tcPr>
          <w:p>
            <w:pPr>
              <w:spacing w:line="400" w:lineRule="exact"/>
              <w:rPr>
                <w:rFonts w:ascii="宋体" w:hAnsi="宋体" w:cs="宋体"/>
                <w:color w:val="auto"/>
                <w:sz w:val="24"/>
                <w:highlight w:val="none"/>
              </w:rPr>
            </w:pP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（3）辅导老师对镜头的适应、引导老师拍出更自然的课程，辅助老师进行着装的选择。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7、中期拍摄制作</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根据课程特点完成知识点的拍摄和制作，整合各类教学素材，进行课程内容的富媒体编辑，在前期课程设计完成后，中期拍摄制作时需充分与教师进行沟通，具体细节按各课程特点沟通确定后开展。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8、后期持续完善</w:t>
            </w: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1）完成资源库课程制作，中标人应对资源库运行的平台支持和相关数据服务，提供不少于3年的免费协助运行服务，包括根据资源库在网络教学平台使用过程中反馈的意见和建议，配合学校及时进行适量视频内容的修改与更新，对资源库运行的平台支持和相关数据服务，包括资源上线的相关资料上传、题库建设、课程信息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Merge w:val="continue"/>
            <w:vAlign w:val="center"/>
          </w:tcPr>
          <w:p>
            <w:pPr>
              <w:spacing w:line="400" w:lineRule="exact"/>
              <w:rPr>
                <w:rFonts w:ascii="宋体" w:hAnsi="宋体" w:cs="宋体"/>
                <w:color w:val="auto"/>
                <w:sz w:val="24"/>
                <w:highlight w:val="none"/>
              </w:rPr>
            </w:pPr>
          </w:p>
        </w:tc>
        <w:tc>
          <w:tcPr>
            <w:tcW w:w="1170" w:type="dxa"/>
            <w:vMerge w:val="continue"/>
            <w:vAlign w:val="center"/>
          </w:tcPr>
          <w:p>
            <w:pPr>
              <w:spacing w:line="400" w:lineRule="exact"/>
              <w:rPr>
                <w:rFonts w:ascii="宋体" w:hAnsi="宋体" w:cs="宋体"/>
                <w:color w:val="auto"/>
                <w:sz w:val="24"/>
                <w:highlight w:val="none"/>
              </w:rPr>
            </w:pPr>
          </w:p>
        </w:tc>
        <w:tc>
          <w:tcPr>
            <w:tcW w:w="6667" w:type="dxa"/>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（2）修改与更新服务：结合 资源库资源在网络教学平台使用过程中反馈的意见和建议，配合学校及时进行内容的修改与更新。根据老师要求对视频、知识点、特效进行修改。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gridSpan w:val="3"/>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资源库资源平台运行服务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1" w:type="dxa"/>
            <w:gridSpan w:val="3"/>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专业教学资源库资源必须上传到“智慧职教”平台或学校指定网络学习平台上，在平台上建课并正常运行。保障资源库的稳定运行，资源库的运行状况进行监测，收集资源库项目建设与应用数据，综合运用数据分析、挖掘方法，对资源库的使用效果、资源更新、用户行为等进行分析，推动建成资源库优化功能、更新资源、扩大应用。</w:t>
            </w:r>
          </w:p>
        </w:tc>
      </w:tr>
    </w:tbl>
    <w:p>
      <w:pPr>
        <w:pStyle w:val="17"/>
        <w:widowControl/>
        <w:spacing w:line="400" w:lineRule="exact"/>
        <w:ind w:firstLine="420"/>
        <w:rPr>
          <w:rFonts w:ascii="宋体" w:hAnsi="宋体" w:cs="宋体"/>
          <w:color w:val="auto"/>
          <w:highlight w:val="none"/>
        </w:rPr>
      </w:pPr>
      <w:r>
        <w:rPr>
          <w:rStyle w:val="25"/>
          <w:rFonts w:hint="eastAsia" w:ascii="宋体" w:hAnsi="宋体" w:cs="宋体"/>
          <w:color w:val="auto"/>
          <w:highlight w:val="none"/>
        </w:rPr>
        <w:t>（二）演示文稿（PPT）制作规范</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1.制作原则</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1.1演示文稿（PPT）要求集文字、图形、图像、声音以及视频等多种媒体元素于一体，一般不使用纯文字的演示文稿（PPT）。</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1.2页面设置要求符合高清格式比例，幻灯片大小为“全屏显示16：9”。</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1.3整体效果应风格统一、色彩协调、美观大方。</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2.字体与字号</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字体与字号参照下表：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427"/>
        <w:gridCol w:w="1119"/>
        <w:gridCol w:w="1785"/>
        <w:gridCol w:w="172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类型</w:t>
            </w:r>
          </w:p>
        </w:tc>
        <w:tc>
          <w:tcPr>
            <w:tcW w:w="137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大标题</w:t>
            </w:r>
          </w:p>
        </w:tc>
        <w:tc>
          <w:tcPr>
            <w:tcW w:w="63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主讲信息</w:t>
            </w:r>
          </w:p>
        </w:tc>
        <w:tc>
          <w:tcPr>
            <w:tcW w:w="1010"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一级标题</w:t>
            </w:r>
          </w:p>
        </w:tc>
        <w:tc>
          <w:tcPr>
            <w:tcW w:w="97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正    文</w:t>
            </w:r>
          </w:p>
        </w:tc>
        <w:tc>
          <w:tcPr>
            <w:tcW w:w="597"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字体</w:t>
            </w:r>
          </w:p>
        </w:tc>
        <w:tc>
          <w:tcPr>
            <w:tcW w:w="137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大黑、时尚中黑、大隶书</w:t>
            </w:r>
          </w:p>
        </w:tc>
        <w:tc>
          <w:tcPr>
            <w:tcW w:w="63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黑体</w:t>
            </w:r>
          </w:p>
        </w:tc>
        <w:tc>
          <w:tcPr>
            <w:tcW w:w="1010"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黑体、魏碑、大宋</w:t>
            </w:r>
          </w:p>
        </w:tc>
        <w:tc>
          <w:tcPr>
            <w:tcW w:w="97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雅黑、中宋</w:t>
            </w:r>
          </w:p>
        </w:tc>
        <w:tc>
          <w:tcPr>
            <w:tcW w:w="597"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雅黑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字号</w:t>
            </w:r>
          </w:p>
        </w:tc>
        <w:tc>
          <w:tcPr>
            <w:tcW w:w="137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50～70磅</w:t>
            </w:r>
          </w:p>
        </w:tc>
        <w:tc>
          <w:tcPr>
            <w:tcW w:w="63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36～40磅</w:t>
            </w:r>
          </w:p>
        </w:tc>
        <w:tc>
          <w:tcPr>
            <w:tcW w:w="1010"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36～40磅</w:t>
            </w:r>
          </w:p>
        </w:tc>
        <w:tc>
          <w:tcPr>
            <w:tcW w:w="97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24～32磅</w:t>
            </w:r>
          </w:p>
        </w:tc>
        <w:tc>
          <w:tcPr>
            <w:tcW w:w="597"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32磅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应用</w:t>
            </w:r>
          </w:p>
        </w:tc>
        <w:tc>
          <w:tcPr>
            <w:tcW w:w="137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上下左右居中</w:t>
            </w:r>
          </w:p>
        </w:tc>
        <w:tc>
          <w:tcPr>
            <w:tcW w:w="63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左右居中</w:t>
            </w:r>
          </w:p>
        </w:tc>
        <w:tc>
          <w:tcPr>
            <w:tcW w:w="1010"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左右居中</w:t>
            </w:r>
          </w:p>
        </w:tc>
        <w:tc>
          <w:tcPr>
            <w:tcW w:w="97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左对齐或居中</w:t>
            </w:r>
          </w:p>
        </w:tc>
        <w:tc>
          <w:tcPr>
            <w:tcW w:w="597"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左右居中</w:t>
            </w:r>
          </w:p>
        </w:tc>
      </w:tr>
    </w:tbl>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3.版心与版式</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每页四周留出空白，应避免内容顶到页面边缘，边界安全区域分别为左、右130像素内，上、下90像素内。</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4.背景</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4.1背景色以简洁适中饱和度为主（颜色保持在一至两种色系内）；</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4.2背景和场景不宜变化过多；</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4.3文字、图形等内容应与背景对比醒目。</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5.色调</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5.1色彩的选配应与课程科目相吻合；</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5.2每一短视频或一系列短视频在配色上应体现出系统性，可选一种主色调再加上一至两种辅助色进行匹配；</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5.3同一屏里文字不宜超出三种颜色。</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6.字距与行距</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6.1标题：在文字少的情形下，字距放宽一倍体现舒展性；</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6.2正文：行距使用1行或1.5行，便于阅读。</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7. 配图</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7.1图像应清晰并能反映出内容主题思想，分辨率应上72dpi以上；</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7.2保持图像宽高比例，不可变形；</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7.3图形使用应通俗易懂，便于理解。</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8.修饰</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8.1细线条的运用比粗线条更显精致；</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8.2扁平式的装饰更接近时代审美；</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8.3有趣味的装饰通常更能吸引人。</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9. 版权来源</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素材选用注意版权。不得使用未经授权的素材，经授权的素材需加入“版权来源”信息。</w:t>
      </w:r>
    </w:p>
    <w:p>
      <w:pPr>
        <w:pStyle w:val="17"/>
        <w:widowControl/>
        <w:spacing w:line="400" w:lineRule="exact"/>
        <w:ind w:firstLine="420"/>
        <w:rPr>
          <w:rFonts w:ascii="宋体" w:hAnsi="宋体" w:cs="宋体"/>
          <w:color w:val="auto"/>
          <w:highlight w:val="none"/>
        </w:rPr>
      </w:pPr>
      <w:r>
        <w:rPr>
          <w:rStyle w:val="25"/>
          <w:rFonts w:hint="eastAsia" w:ascii="宋体" w:hAnsi="宋体" w:cs="宋体"/>
          <w:color w:val="auto"/>
          <w:highlight w:val="none"/>
        </w:rPr>
        <w:t>（三）文本类制作规范</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1．文件格式</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7"/>
        <w:gridCol w:w="2672"/>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媒体类型</w:t>
            </w:r>
          </w:p>
        </w:tc>
        <w:tc>
          <w:tcPr>
            <w:tcW w:w="151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扩展名</w:t>
            </w:r>
          </w:p>
        </w:tc>
        <w:tc>
          <w:tcPr>
            <w:tcW w:w="1971"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w:t>
            </w:r>
          </w:p>
        </w:tc>
        <w:tc>
          <w:tcPr>
            <w:tcW w:w="1512"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*.doc</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*.docx</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*.pdf</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*.xls</w:t>
            </w:r>
          </w:p>
        </w:tc>
        <w:tc>
          <w:tcPr>
            <w:tcW w:w="1971"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常见文本存储格式均可</w:t>
            </w:r>
          </w:p>
        </w:tc>
      </w:tr>
    </w:tbl>
    <w:p>
      <w:pPr>
        <w:pStyle w:val="17"/>
        <w:widowControl/>
        <w:spacing w:line="400" w:lineRule="exact"/>
        <w:rPr>
          <w:rFonts w:ascii="宋体" w:hAnsi="宋体" w:cs="宋体"/>
          <w:color w:val="auto"/>
          <w:highlight w:val="none"/>
        </w:rPr>
      </w:pPr>
      <w:r>
        <w:rPr>
          <w:rFonts w:hint="eastAsia" w:ascii="宋体" w:hAnsi="宋体" w:cs="宋体"/>
          <w:color w:val="auto"/>
          <w:highlight w:val="none"/>
        </w:rPr>
        <w:t> 2．技术要求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7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软件版本</w:t>
            </w: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文件制作版本不低于当前主流版本，要求上下兼容。（文档编辑工具不低于 OFFICE2003）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品质要求</w:t>
            </w: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文本正文应设定文章标题，文章标题放在正文内第一行居中的位置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各级标题应设置正确，同一级标题使用同样的样式，文本结构清晰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正文字体、字号、颜色、行间距等要美观、统一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文本超过 10 页应插入页码；超过 15 页应插入目录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表格不应超出页面，且要求使用软件的插入表格或绘制表格等功能生成表格，并使用相应功能加工处理，不要用在文本上描绘直线等绘图方式制作表格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正文中的图像、图形应清晰，图形要符合国家相关绘制标准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文档保存时的显示比例为 100%、页面视图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文件名应反映主题内容，尽量与文内标题保持一致，不要使用“1.doc”这类含义不明的标题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文本如有对齐的要求，要用表格来处理，而不要使用空格来实现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文本内容应忠实于原文献，完整有序，符合我国法律法规，尊重各民族风俗习惯，版权不存在争议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文中所用计量符号应符合国家相关标准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Merge w:val="continue"/>
            <w:vAlign w:val="center"/>
          </w:tcPr>
          <w:p>
            <w:pPr>
              <w:spacing w:line="400" w:lineRule="exact"/>
              <w:rPr>
                <w:rFonts w:ascii="宋体" w:hAnsi="宋体" w:cs="宋体"/>
                <w:color w:val="auto"/>
                <w:sz w:val="24"/>
                <w:highlight w:val="none"/>
              </w:rPr>
            </w:pPr>
          </w:p>
        </w:tc>
        <w:tc>
          <w:tcPr>
            <w:tcW w:w="4444"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文档总页数以不超过 60 页为宜</w:t>
            </w:r>
          </w:p>
        </w:tc>
      </w:tr>
    </w:tbl>
    <w:p>
      <w:pPr>
        <w:pStyle w:val="17"/>
        <w:widowControl/>
        <w:spacing w:line="400" w:lineRule="exact"/>
        <w:rPr>
          <w:rFonts w:ascii="宋体" w:hAnsi="宋体" w:cs="宋体"/>
          <w:color w:val="auto"/>
          <w:highlight w:val="none"/>
        </w:rPr>
      </w:pPr>
      <w:r>
        <w:rPr>
          <w:rFonts w:hint="eastAsia" w:ascii="宋体" w:hAnsi="宋体" w:cs="宋体"/>
          <w:color w:val="auto"/>
          <w:highlight w:val="none"/>
        </w:rPr>
        <w:t>3.提交要求</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媒体类型</w:t>
            </w:r>
          </w:p>
        </w:tc>
        <w:tc>
          <w:tcPr>
            <w:tcW w:w="3983"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w:t>
            </w:r>
          </w:p>
        </w:tc>
        <w:tc>
          <w:tcPr>
            <w:tcW w:w="398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文本内容应相对完整，不可加密</w:t>
            </w:r>
          </w:p>
        </w:tc>
      </w:tr>
    </w:tbl>
    <w:p>
      <w:pPr>
        <w:pStyle w:val="17"/>
        <w:widowControl/>
        <w:spacing w:line="400" w:lineRule="exact"/>
        <w:ind w:firstLine="420"/>
        <w:rPr>
          <w:rFonts w:ascii="宋体" w:hAnsi="宋体" w:cs="宋体"/>
          <w:color w:val="auto"/>
          <w:highlight w:val="none"/>
        </w:rPr>
      </w:pPr>
      <w:r>
        <w:rPr>
          <w:rStyle w:val="25"/>
          <w:rFonts w:hint="eastAsia" w:ascii="宋体" w:hAnsi="宋体" w:cs="宋体"/>
          <w:color w:val="auto"/>
          <w:highlight w:val="none"/>
        </w:rPr>
        <w:t>（四）动画类技术规范</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1．文件格式</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2841"/>
        <w:gridCol w:w="3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2"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媒体类型</w:t>
            </w:r>
          </w:p>
        </w:tc>
        <w:tc>
          <w:tcPr>
            <w:tcW w:w="1607"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扩展名</w:t>
            </w:r>
          </w:p>
        </w:tc>
        <w:tc>
          <w:tcPr>
            <w:tcW w:w="1839"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MG 动画</w:t>
            </w:r>
          </w:p>
        </w:tc>
        <w:tc>
          <w:tcPr>
            <w:tcW w:w="1607"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*.MP4</w:t>
            </w:r>
          </w:p>
        </w:tc>
        <w:tc>
          <w:tcPr>
            <w:tcW w:w="1839"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MG 动画文件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2"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Flash 动画</w:t>
            </w:r>
          </w:p>
        </w:tc>
        <w:tc>
          <w:tcPr>
            <w:tcW w:w="1607"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*.swf</w:t>
            </w:r>
          </w:p>
        </w:tc>
        <w:tc>
          <w:tcPr>
            <w:tcW w:w="1839"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Flash 动画文件</w:t>
            </w:r>
          </w:p>
        </w:tc>
      </w:tr>
    </w:tbl>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2．技术要求</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品质要求</w:t>
            </w: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动画的开始要有醒目的标题，标题要能够体现动画所表现的内容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continue"/>
            <w:vAlign w:val="center"/>
          </w:tcPr>
          <w:p>
            <w:pPr>
              <w:spacing w:line="400" w:lineRule="exact"/>
              <w:rPr>
                <w:rFonts w:ascii="宋体" w:hAnsi="宋体" w:cs="宋体"/>
                <w:color w:val="auto"/>
                <w:sz w:val="24"/>
                <w:highlight w:val="none"/>
              </w:rPr>
            </w:pP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动画色彩造型应和谐，画面简洁清晰，界面友好，交互设计合理，操作简单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continue"/>
            <w:vAlign w:val="center"/>
          </w:tcPr>
          <w:p>
            <w:pPr>
              <w:spacing w:line="400" w:lineRule="exact"/>
              <w:rPr>
                <w:rFonts w:ascii="宋体" w:hAnsi="宋体" w:cs="宋体"/>
                <w:color w:val="auto"/>
                <w:sz w:val="24"/>
                <w:highlight w:val="none"/>
              </w:rPr>
            </w:pP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动画连续，节奏合适，帧和帧之间的关联性要强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continue"/>
            <w:vAlign w:val="center"/>
          </w:tcPr>
          <w:p>
            <w:pPr>
              <w:spacing w:line="400" w:lineRule="exact"/>
              <w:rPr>
                <w:rFonts w:ascii="宋体" w:hAnsi="宋体" w:cs="宋体"/>
                <w:color w:val="auto"/>
                <w:sz w:val="24"/>
                <w:highlight w:val="none"/>
              </w:rPr>
            </w:pP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动画演播过程要流畅，静止画面时间不超过 5 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continue"/>
            <w:vAlign w:val="center"/>
          </w:tcPr>
          <w:p>
            <w:pPr>
              <w:spacing w:line="400" w:lineRule="exact"/>
              <w:rPr>
                <w:rFonts w:ascii="宋体" w:hAnsi="宋体" w:cs="宋体"/>
                <w:color w:val="auto"/>
                <w:sz w:val="24"/>
                <w:highlight w:val="none"/>
              </w:rPr>
            </w:pP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一般情况下，应设置暂停与播放控制按钮，当动画时间较长时应设置进度拖动条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内容要求</w:t>
            </w: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动画内容符合我国法律法规，尊重各民族的风俗习惯，版权不存在争议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Merge w:val="continue"/>
            <w:vAlign w:val="center"/>
          </w:tcPr>
          <w:p>
            <w:pPr>
              <w:spacing w:line="400" w:lineRule="exact"/>
              <w:rPr>
                <w:rFonts w:ascii="宋体" w:hAnsi="宋体" w:cs="宋体"/>
                <w:color w:val="auto"/>
                <w:sz w:val="24"/>
                <w:highlight w:val="none"/>
              </w:rPr>
            </w:pP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若其中包含少数民族或外国语言文字信息，应遵循其原内容完整性，使用原语言进行处理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pc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存储格式</w:t>
            </w:r>
          </w:p>
        </w:tc>
        <w:tc>
          <w:tcPr>
            <w:tcW w:w="445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采用 SWF（不低于Flash6.0）或 HTML 存储格式、mp4 存储格式</w:t>
            </w:r>
          </w:p>
        </w:tc>
      </w:tr>
    </w:tbl>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3.提交要求</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7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媒体类型</w:t>
            </w:r>
          </w:p>
        </w:tc>
        <w:tc>
          <w:tcPr>
            <w:tcW w:w="4403"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提交要求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restart"/>
            <w:vAlign w:val="center"/>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动画</w:t>
            </w:r>
          </w:p>
        </w:tc>
        <w:tc>
          <w:tcPr>
            <w:tcW w:w="4403"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保持每个动画素材的独立性，尽量不设置两个或多个动画文件之间的嵌套及链接关系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spacing w:line="400" w:lineRule="exact"/>
              <w:rPr>
                <w:rFonts w:ascii="宋体" w:hAnsi="宋体" w:cs="宋体"/>
                <w:color w:val="auto"/>
                <w:sz w:val="24"/>
                <w:highlight w:val="none"/>
              </w:rPr>
            </w:pPr>
          </w:p>
        </w:tc>
        <w:tc>
          <w:tcPr>
            <w:tcW w:w="4403"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所有动画数据都需要制作成 MP4格式或SWF 格式、MOV格式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Merge w:val="continue"/>
            <w:vAlign w:val="center"/>
          </w:tcPr>
          <w:p>
            <w:pPr>
              <w:spacing w:line="400" w:lineRule="exact"/>
              <w:rPr>
                <w:rFonts w:ascii="宋体" w:hAnsi="宋体" w:cs="宋体"/>
                <w:color w:val="auto"/>
                <w:sz w:val="24"/>
                <w:highlight w:val="none"/>
              </w:rPr>
            </w:pPr>
          </w:p>
        </w:tc>
        <w:tc>
          <w:tcPr>
            <w:tcW w:w="4403" w:type="pct"/>
          </w:tcPr>
          <w:p>
            <w:pPr>
              <w:pStyle w:val="17"/>
              <w:widowControl/>
              <w:spacing w:line="400" w:lineRule="exact"/>
              <w:rPr>
                <w:rFonts w:ascii="宋体" w:hAnsi="宋体" w:cs="宋体"/>
                <w:color w:val="auto"/>
                <w:highlight w:val="none"/>
              </w:rPr>
            </w:pPr>
            <w:r>
              <w:rPr>
                <w:rFonts w:hint="eastAsia" w:ascii="宋体" w:hAnsi="宋体" w:cs="宋体"/>
                <w:color w:val="auto"/>
                <w:highlight w:val="none"/>
              </w:rPr>
              <w:t>要求提交动画源文件、打过 logo 的可执行文件</w:t>
            </w:r>
          </w:p>
        </w:tc>
      </w:tr>
    </w:tbl>
    <w:p>
      <w:pPr>
        <w:spacing w:line="400" w:lineRule="exact"/>
        <w:ind w:firstLine="482" w:firstLineChars="200"/>
        <w:outlineLvl w:val="1"/>
        <w:rPr>
          <w:rStyle w:val="25"/>
          <w:rFonts w:ascii="宋体" w:hAnsi="宋体" w:cs="宋体"/>
          <w:color w:val="auto"/>
          <w:sz w:val="24"/>
          <w:highlight w:val="none"/>
        </w:rPr>
      </w:pPr>
    </w:p>
    <w:p>
      <w:pPr>
        <w:spacing w:line="400" w:lineRule="exact"/>
        <w:ind w:firstLine="482" w:firstLineChars="200"/>
        <w:outlineLvl w:val="1"/>
        <w:rPr>
          <w:rFonts w:ascii="宋体" w:hAnsi="宋体" w:cs="宋体"/>
          <w:b/>
          <w:bCs/>
          <w:color w:val="auto"/>
          <w:sz w:val="24"/>
          <w:highlight w:val="none"/>
        </w:rPr>
      </w:pPr>
      <w:r>
        <w:rPr>
          <w:rStyle w:val="25"/>
          <w:rFonts w:hint="eastAsia" w:ascii="宋体" w:hAnsi="宋体" w:cs="宋体"/>
          <w:color w:val="auto"/>
          <w:sz w:val="24"/>
          <w:highlight w:val="none"/>
        </w:rPr>
        <w:t>（五）课程资源开发管理系统</w:t>
      </w:r>
      <w:r>
        <w:rPr>
          <w:rFonts w:hint="eastAsia" w:ascii="宋体" w:hAnsi="宋体" w:cs="宋体"/>
          <w:b/>
          <w:bCs/>
          <w:color w:val="auto"/>
          <w:sz w:val="24"/>
          <w:highlight w:val="none"/>
        </w:rPr>
        <w:t>（服务期使用），主要用于课程资源制作过程中微视频的制作与管理，要求如下：</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该系统主要应用于课程资源建设全过程管理，有助于管理者对项目建设进度进行实时查看和管理；有助于新建课程者对建设过程所需应用到的资料进行借阅和引用；有助于新建课程者梳理课程资源建设的基本流程和工作安排，是建设者与制作者之间沟通和修改的平台。</w:t>
      </w:r>
    </w:p>
    <w:p>
      <w:pPr>
        <w:pStyle w:val="91"/>
        <w:spacing w:afterLines="0" w:line="400" w:lineRule="exact"/>
        <w:ind w:firstLine="240" w:firstLineChars="100"/>
        <w:rPr>
          <w:rFonts w:ascii="宋体" w:hAnsi="宋体" w:cs="宋体"/>
          <w:b/>
          <w:bCs/>
          <w:color w:val="auto"/>
          <w:highlight w:val="none"/>
        </w:rPr>
      </w:pPr>
      <w:r>
        <w:rPr>
          <w:rFonts w:hint="eastAsia" w:ascii="宋体" w:hAnsi="宋体" w:cs="宋体"/>
          <w:color w:val="auto"/>
          <w:highlight w:val="none"/>
        </w:rPr>
        <w:t>★</w:t>
      </w:r>
      <w:r>
        <w:rPr>
          <w:rFonts w:hint="eastAsia" w:ascii="宋体" w:hAnsi="宋体" w:cs="宋体"/>
          <w:b/>
          <w:color w:val="auto"/>
          <w:highlight w:val="none"/>
        </w:rPr>
        <w:t>5.1、</w:t>
      </w:r>
      <w:r>
        <w:rPr>
          <w:rFonts w:hint="eastAsia" w:ascii="宋体" w:hAnsi="宋体" w:cs="宋体"/>
          <w:b/>
          <w:bCs/>
          <w:color w:val="auto"/>
          <w:highlight w:val="none"/>
        </w:rPr>
        <w:t>以柱状图的形式对在建的所有课程完成情况进行展示；当鼠标移至柱状图上，显示对应课程的完成进度；当鼠标点击柱状图时，以柱状图显示对应课程下的视频、动画、课件、题库、文本材料等资源的完成进度。</w:t>
      </w:r>
      <w:r>
        <w:rPr>
          <w:rStyle w:val="25"/>
          <w:rFonts w:hint="eastAsia" w:ascii="宋体" w:hAnsi="宋体" w:cs="宋体"/>
          <w:bCs/>
          <w:color w:val="auto"/>
          <w:szCs w:val="24"/>
          <w:highlight w:val="none"/>
        </w:rPr>
        <w:t>（须现场演示）</w:t>
      </w:r>
      <w:r>
        <w:rPr>
          <w:rFonts w:hint="eastAsia" w:ascii="宋体" w:hAnsi="宋体" w:cs="宋体"/>
          <w:b/>
          <w:bCs/>
          <w:color w:val="auto"/>
          <w:highlight w:val="none"/>
        </w:rPr>
        <w:t>（须提供国家认可的检测机构出具的有效测试报告复印件）</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5.2、以圆环图的形式对平台内所有课程所属专业大类进行占比统计。</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5.3、平台可展现所有已建课程，可查看已完成的课程全部过程性材料，包含视频脚本、视频修改记录等；支持对课程相关的资料实现在线浏览。</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5.4、系统提供课程制作的流程引导图，初次使用平台的教师用户可根据课程制作的流程引导图的提示来完成课程的在线制作。</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5.5、新建课程时可以选择参与本门课程的教师对新建课程进行协同制作，未参与的教师则无权编辑；</w:t>
      </w:r>
    </w:p>
    <w:p>
      <w:pPr>
        <w:pStyle w:val="91"/>
        <w:spacing w:afterLines="0" w:line="400" w:lineRule="exact"/>
        <w:ind w:firstLine="480" w:firstLineChars="200"/>
        <w:rPr>
          <w:rFonts w:ascii="宋体" w:hAnsi="宋体" w:cs="宋体"/>
          <w:bCs/>
          <w:color w:val="auto"/>
          <w:highlight w:val="none"/>
        </w:rPr>
      </w:pPr>
      <w:r>
        <w:rPr>
          <w:rFonts w:hint="eastAsia" w:ascii="宋体" w:hAnsi="宋体" w:cs="宋体"/>
          <w:bCs/>
          <w:color w:val="auto"/>
          <w:highlight w:val="none"/>
        </w:rPr>
        <w:t>▲5.6、新建课程时，系统对目录结构树提供手动添加和自动导入模式，如选择自动导入模式时，可以将本地已建好的目录文件自动导入系统生成目录结构树；</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5.7、新建课程时，通过流程引导图，建设者建立目录结构树来完成课程建设</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▲5.8、脚本撰写：平台提供脚本撰写模板，教师可在平台中直接撰写视频或动画脚本，也可通过平台导入功能，导入教师编写好的脚本。脚本写好后，企业人员对脚本进行审核。</w:t>
      </w:r>
    </w:p>
    <w:p>
      <w:pPr>
        <w:pStyle w:val="91"/>
        <w:spacing w:afterLines="0" w:line="400" w:lineRule="exact"/>
        <w:ind w:firstLine="480" w:firstLineChars="200"/>
        <w:rPr>
          <w:rFonts w:ascii="宋体" w:hAnsi="宋体" w:cs="宋体"/>
          <w:b/>
          <w:bCs/>
          <w:color w:val="auto"/>
          <w:highlight w:val="none"/>
        </w:rPr>
      </w:pPr>
      <w:r>
        <w:rPr>
          <w:rFonts w:hint="eastAsia" w:ascii="宋体" w:hAnsi="宋体" w:cs="宋体"/>
          <w:color w:val="auto"/>
          <w:highlight w:val="none"/>
        </w:rPr>
        <w:t>★</w:t>
      </w:r>
      <w:r>
        <w:rPr>
          <w:rFonts w:hint="eastAsia" w:ascii="宋体" w:hAnsi="宋体" w:cs="宋体"/>
          <w:b/>
          <w:bCs/>
          <w:color w:val="auto"/>
          <w:highlight w:val="none"/>
        </w:rPr>
        <w:t>5.9、视频剪辑或动画制作完成后，制作人员将视频或动画初稿上传至平台，教师对企业制作好并上传的视频或动画初稿进行</w:t>
      </w:r>
      <w:r>
        <w:rPr>
          <w:rFonts w:hint="eastAsia" w:ascii="宋体" w:hAnsi="宋体" w:cs="宋体"/>
          <w:b/>
          <w:bCs/>
          <w:color w:val="auto"/>
          <w:highlight w:val="none"/>
        </w:rPr>
        <w:t>查看</w:t>
      </w:r>
      <w:r>
        <w:rPr>
          <w:rFonts w:hint="eastAsia" w:ascii="宋体" w:hAnsi="宋体" w:cs="宋体"/>
          <w:b/>
          <w:bCs/>
          <w:color w:val="auto"/>
          <w:highlight w:val="none"/>
        </w:rPr>
        <w:t>，平台支持在线播放视频和动画，并可在播放过程中对视频或动画画面进行批注和文字标识，每修改一处，自动形成标注记录同时在原视频或动画中进行标识，制作人员登录平台后，通过标注记录和播放视频可看到教师修改的批注标识，以此来指导制作人员对视频或动画的修改。</w:t>
      </w:r>
      <w:r>
        <w:rPr>
          <w:rStyle w:val="25"/>
          <w:rFonts w:hint="eastAsia" w:ascii="宋体" w:hAnsi="宋体" w:cs="宋体"/>
          <w:bCs/>
          <w:color w:val="auto"/>
          <w:szCs w:val="24"/>
          <w:highlight w:val="none"/>
        </w:rPr>
        <w:t>（须现场演示）</w:t>
      </w:r>
      <w:r>
        <w:rPr>
          <w:rFonts w:hint="eastAsia" w:ascii="宋体" w:hAnsi="宋体" w:cs="宋体"/>
          <w:b/>
          <w:bCs/>
          <w:color w:val="auto"/>
          <w:highlight w:val="none"/>
        </w:rPr>
        <w:t>（须提供国家认可的检测机构出具的有效测试报告复印件）</w:t>
      </w:r>
    </w:p>
    <w:p>
      <w:pPr>
        <w:pStyle w:val="91"/>
        <w:spacing w:afterLines="0" w:line="400" w:lineRule="exact"/>
        <w:ind w:firstLine="480" w:firstLineChars="200"/>
        <w:rPr>
          <w:rFonts w:ascii="宋体" w:hAnsi="宋体" w:cs="宋体"/>
          <w:b/>
          <w:bCs/>
          <w:color w:val="auto"/>
          <w:highlight w:val="none"/>
        </w:rPr>
      </w:pPr>
      <w:r>
        <w:rPr>
          <w:rFonts w:hint="eastAsia" w:ascii="宋体" w:hAnsi="宋体" w:cs="宋体"/>
          <w:color w:val="auto"/>
          <w:highlight w:val="none"/>
        </w:rPr>
        <w:t>★</w:t>
      </w:r>
      <w:r>
        <w:rPr>
          <w:rFonts w:hint="eastAsia" w:ascii="宋体" w:hAnsi="宋体" w:cs="宋体"/>
          <w:b/>
          <w:bCs/>
          <w:color w:val="auto"/>
          <w:szCs w:val="24"/>
          <w:highlight w:val="none"/>
        </w:rPr>
        <w:t>5.10、对比播放：在视频（动画）制作页面可以选择两个视频同屏播放，老师以此来观察两个视频的修改变化。</w:t>
      </w:r>
      <w:r>
        <w:rPr>
          <w:rStyle w:val="25"/>
          <w:rFonts w:hint="eastAsia" w:ascii="宋体" w:hAnsi="宋体" w:cs="宋体"/>
          <w:bCs/>
          <w:color w:val="auto"/>
          <w:szCs w:val="24"/>
          <w:highlight w:val="none"/>
        </w:rPr>
        <w:t>（须现场演示）</w:t>
      </w:r>
    </w:p>
    <w:p>
      <w:pPr>
        <w:pStyle w:val="17"/>
        <w:widowControl/>
        <w:spacing w:line="400" w:lineRule="exact"/>
        <w:ind w:firstLine="480" w:firstLineChars="200"/>
        <w:rPr>
          <w:rFonts w:ascii="宋体" w:hAnsi="宋体" w:cs="宋体"/>
          <w:color w:val="auto"/>
          <w:highlight w:val="none"/>
        </w:rPr>
      </w:pPr>
      <w:r>
        <w:rPr>
          <w:rFonts w:hint="eastAsia" w:ascii="宋体" w:hAnsi="宋体" w:cs="宋体"/>
          <w:color w:val="auto"/>
          <w:highlight w:val="none"/>
        </w:rPr>
        <w:t>5.11、打包下载：对已建设完成的课程支持一键压缩打包下载至本地</w:t>
      </w:r>
    </w:p>
    <w:p>
      <w:pPr>
        <w:spacing w:line="400" w:lineRule="exact"/>
        <w:rPr>
          <w:rFonts w:ascii="宋体" w:hAnsi="宋体" w:cs="宋体"/>
          <w:b/>
          <w:color w:val="auto"/>
          <w:kern w:val="0"/>
          <w:sz w:val="24"/>
          <w:highlight w:val="none"/>
        </w:rPr>
      </w:pPr>
      <w:r>
        <w:rPr>
          <w:rFonts w:hint="eastAsia" w:ascii="宋体" w:hAnsi="宋体" w:cs="宋体"/>
          <w:b/>
          <w:color w:val="auto"/>
          <w:kern w:val="0"/>
          <w:sz w:val="24"/>
          <w:highlight w:val="none"/>
        </w:rPr>
        <w:t>(六).</w:t>
      </w:r>
      <w:r>
        <w:rPr>
          <w:rFonts w:hint="eastAsia" w:ascii="宋体" w:hAnsi="宋体" w:cs="宋体"/>
          <w:b/>
          <w:color w:val="auto"/>
          <w:sz w:val="24"/>
          <w:highlight w:val="none"/>
        </w:rPr>
        <w:t>提供线上授课系统（仅限服务期内），主要用于课程制作.参数如下：</w:t>
      </w:r>
    </w:p>
    <w:p>
      <w:pPr>
        <w:pStyle w:val="17"/>
        <w:widowControl/>
        <w:spacing w:line="400" w:lineRule="exact"/>
        <w:ind w:firstLine="480" w:firstLineChars="200"/>
        <w:rPr>
          <w:rFonts w:ascii="宋体" w:hAnsi="宋体" w:cs="宋体"/>
          <w:bCs/>
          <w:color w:val="auto"/>
          <w:highlight w:val="none"/>
        </w:rPr>
      </w:pPr>
      <w:r>
        <w:rPr>
          <w:rFonts w:hint="eastAsia" w:ascii="宋体" w:hAnsi="宋体" w:cs="宋体"/>
          <w:bCs/>
          <w:color w:val="auto"/>
          <w:highlight w:val="none"/>
        </w:rPr>
        <w:t>▲1)支持白板功能，可在录制画面直接点击拍照到白板，白板具有语音识别功能，语音识别的文字可直接进行复制应用。支持手机扫码登录、拍摄照片和视频上传到电子白板，图片可直接从本地上传白板识别区域。支持白板笔记，可将白板页面上的图片、文本、书写笔记等内容保存为PPT、PDF格式的文档。</w:t>
      </w:r>
    </w:p>
    <w:p>
      <w:pPr>
        <w:pStyle w:val="17"/>
        <w:widowControl/>
        <w:spacing w:line="400" w:lineRule="exact"/>
        <w:ind w:firstLine="480" w:firstLineChars="200"/>
        <w:rPr>
          <w:rFonts w:ascii="宋体" w:hAnsi="宋体" w:cs="宋体"/>
          <w:bCs/>
          <w:color w:val="auto"/>
          <w:highlight w:val="none"/>
        </w:rPr>
      </w:pPr>
      <w:r>
        <w:rPr>
          <w:rFonts w:hint="eastAsia" w:ascii="宋体" w:hAnsi="宋体" w:cs="宋体"/>
          <w:bCs/>
          <w:color w:val="auto"/>
          <w:highlight w:val="none"/>
        </w:rPr>
        <w:t>▲2)具有屏幕快录、摄像头快录录制功能，支持录制成果人工手动编辑和自动编辑,视频编辑时可插入图片和视频，添加水印，具有自动添加字幕功能，具有语音识别功能。</w:t>
      </w:r>
    </w:p>
    <w:p>
      <w:pPr>
        <w:pStyle w:val="17"/>
        <w:widowControl/>
        <w:spacing w:line="400" w:lineRule="exact"/>
        <w:ind w:firstLine="480" w:firstLineChars="200"/>
        <w:rPr>
          <w:rFonts w:ascii="宋体" w:hAnsi="宋体" w:cs="宋体"/>
          <w:bCs/>
          <w:color w:val="auto"/>
          <w:highlight w:val="none"/>
        </w:rPr>
      </w:pPr>
      <w:r>
        <w:rPr>
          <w:rFonts w:hint="eastAsia" w:ascii="宋体" w:hAnsi="宋体" w:cs="宋体"/>
          <w:bCs/>
          <w:color w:val="auto"/>
          <w:highlight w:val="none"/>
        </w:rPr>
        <w:t>3）</w:t>
      </w:r>
      <w:r>
        <w:rPr>
          <w:rFonts w:hint="eastAsia" w:ascii="宋体" w:hAnsi="宋体" w:cs="宋体"/>
          <w:bCs/>
          <w:color w:val="auto"/>
          <w:highlight w:val="none"/>
        </w:rPr>
        <w:t>支持视频发布时可选择“轻微，中等，重度”降噪；音频可提高5-20分贝。可选择编码码率以及视频成果内存大小；可选择像素和帧频；发布可选择本地和直接发布至课程目录；</w:t>
      </w:r>
    </w:p>
    <w:p>
      <w:pPr>
        <w:pStyle w:val="92"/>
        <w:spacing w:line="400" w:lineRule="exact"/>
        <w:ind w:firstLine="480"/>
        <w:rPr>
          <w:rFonts w:ascii="宋体" w:hAnsi="宋体" w:cs="宋体"/>
          <w:color w:val="auto"/>
          <w:sz w:val="24"/>
          <w:highlight w:val="none"/>
        </w:rPr>
      </w:pPr>
      <w:r>
        <w:rPr>
          <w:rFonts w:hint="eastAsia" w:ascii="宋体" w:hAnsi="宋体" w:cs="宋体"/>
          <w:color w:val="auto"/>
          <w:sz w:val="24"/>
          <w:highlight w:val="none"/>
        </w:rPr>
        <w:t>▲4）支持手机控制PPT翻页，支持视频课程设计和搭建，将视频和保存为PPT、PDF格式的白板课件内容组装成课程并分享。</w:t>
      </w:r>
    </w:p>
    <w:p>
      <w:pPr>
        <w:pStyle w:val="17"/>
        <w:widowControl/>
        <w:spacing w:line="400" w:lineRule="exact"/>
        <w:ind w:firstLine="480" w:firstLineChars="200"/>
        <w:rPr>
          <w:rFonts w:ascii="宋体" w:hAnsi="宋体" w:cs="宋体"/>
          <w:bCs/>
          <w:color w:val="auto"/>
          <w:highlight w:val="none"/>
        </w:rPr>
      </w:pPr>
      <w:r>
        <w:rPr>
          <w:rFonts w:hint="eastAsia" w:ascii="宋体" w:hAnsi="宋体" w:cs="宋体"/>
          <w:bCs/>
          <w:color w:val="auto"/>
          <w:highlight w:val="none"/>
        </w:rPr>
        <w:t>5）支持个人云盘，可将文档、图片、音频、视频分类上传到云盘并支持下载。</w:t>
      </w:r>
    </w:p>
    <w:p>
      <w:pPr>
        <w:pStyle w:val="17"/>
        <w:widowControl/>
        <w:spacing w:line="400" w:lineRule="exact"/>
        <w:rPr>
          <w:rFonts w:ascii="宋体" w:hAnsi="宋体" w:cs="宋体"/>
          <w:color w:val="auto"/>
          <w:highlight w:val="none"/>
        </w:rPr>
      </w:pPr>
      <w:r>
        <w:rPr>
          <w:rStyle w:val="25"/>
          <w:rFonts w:hint="eastAsia" w:ascii="宋体" w:hAnsi="宋体" w:cs="宋体"/>
          <w:color w:val="auto"/>
          <w:highlight w:val="none"/>
        </w:rPr>
        <w:t>（六）、</w:t>
      </w:r>
      <w:r>
        <w:rPr>
          <w:rFonts w:hint="eastAsia" w:ascii="宋体" w:hAnsi="宋体" w:cs="宋体"/>
          <w:color w:val="auto"/>
          <w:highlight w:val="none"/>
        </w:rPr>
        <w:t>其他事项</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（1）版权要求</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制作的专业教学资源库以及在资源的运行使用中，产生的各种教学相关数据，包括但不限于课程资源，师生信息，教学数据等，都归采购人所有，中标人未经授权，不得对外发布或使用。</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对授课案例中的当事人肖像权、隐私等采取适当技术手段处理。所有资料尽量提供出处并在片尾鸣谢。</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（2）交付文件</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1.视频版权归属：所有视频的版权完全归采购人所有，中标人不得外泄所拍资料和所制作的成品。</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2.版权：视频拍摄与制作的成品所用素材资源不能有知识产权的纠纷。如产生法律纠纷，中标人需承担一切与之相关的法律责任。</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3.成品交付：委托任务完成后单次成品各生成2份视频成品，分辨率为1080P，MP4格式封装，拷贝到可靠的媒介（如移动硬盘或者U盘等）交付采购人（标记学校名称、课程名称、讲次及标题、主讲教师、时长等相关元数据信息）。</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4.所有视音频文件和相应的SRT字幕文件以及视频与字幕合成的视音频文件拷贝到可靠的媒介（如移动硬盘或者U盘等）须交付采购人，并随媒介附上纸质内容清单（标记学校名称、课程名称、讲次及标题、主讲教师、时长等相关元数据信息）。</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5.所有数字资源的视音频及相关素材，须向采购人提供完整的项目工程文件和源文件。项目工程文件和源文件的文件属性要有学校名 称、课程名 称、课程类型、讲次及标题、主讲教师、时长、适用对象、课程描述、课程制作者、使用限制等元数据。</w:t>
      </w:r>
    </w:p>
    <w:p>
      <w:pPr>
        <w:pStyle w:val="17"/>
        <w:widowControl/>
        <w:spacing w:line="400" w:lineRule="exact"/>
        <w:rPr>
          <w:rFonts w:ascii="宋体" w:hAnsi="宋体" w:cs="宋体"/>
          <w:color w:val="auto"/>
          <w:highlight w:val="none"/>
        </w:rPr>
      </w:pPr>
      <w:r>
        <w:rPr>
          <w:rFonts w:hint="eastAsia" w:ascii="宋体" w:hAnsi="宋体" w:cs="宋体"/>
          <w:color w:val="auto"/>
          <w:highlight w:val="none"/>
        </w:rPr>
        <w:t>（3）其他要求</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1.中标人在服务期内须按合同响应录制服务，如确有特殊情况，不能继续提供服务的，须提前3个月向校方提出书面申请，经校方认可后中止合同，否则按违约处理。</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2.中标人在服务期间，不得将采购人内部资料或其他采购人认为侵害其权益的信息泄露给其他企业或者个人，中标人必须指派相对固定的人员完成制作服务，一经发现，采购人有权取消其服务资格及追究因其造成的任何损失。</w:t>
      </w:r>
    </w:p>
    <w:p>
      <w:pPr>
        <w:pStyle w:val="17"/>
        <w:widowControl/>
        <w:spacing w:line="400" w:lineRule="exact"/>
        <w:ind w:firstLine="420"/>
        <w:rPr>
          <w:rFonts w:ascii="宋体" w:hAnsi="宋体" w:cs="宋体"/>
          <w:color w:val="auto"/>
          <w:highlight w:val="none"/>
        </w:rPr>
      </w:pPr>
      <w:r>
        <w:rPr>
          <w:rFonts w:hint="eastAsia" w:ascii="宋体" w:hAnsi="宋体" w:cs="宋体"/>
          <w:color w:val="auto"/>
          <w:highlight w:val="none"/>
        </w:rPr>
        <w:t>3.人员只能按其工作内容在指 定活动区域进行素材采集等工作，其他区域一律不得随意走动，一切听从采购人安排。</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4.中标人应在确保没有触犯版权问题的前提下，且征得采购人同意后，方可在片中使用第三方影像素材、音乐素材和其它素材。</w:t>
      </w:r>
    </w:p>
    <w:p>
      <w:pPr>
        <w:rPr>
          <w:rStyle w:val="25"/>
          <w:rFonts w:ascii="宋体" w:hAnsi="宋体" w:cs="宋体"/>
          <w:color w:val="auto"/>
          <w:sz w:val="24"/>
          <w:highlight w:val="none"/>
          <w:u w:val="single"/>
        </w:rPr>
      </w:pPr>
    </w:p>
    <w:p>
      <w:pPr>
        <w:rPr>
          <w:rFonts w:ascii="宋体" w:hAnsi="宋体" w:cs="宋体"/>
          <w:color w:val="auto"/>
          <w:highlight w:val="none"/>
        </w:rPr>
      </w:pPr>
    </w:p>
    <w:p>
      <w:pPr>
        <w:rPr>
          <w:rFonts w:ascii="宋体" w:hAnsi="宋体" w:cs="宋体"/>
          <w:color w:val="auto"/>
          <w:sz w:val="24"/>
          <w:highlight w:val="none"/>
        </w:rPr>
      </w:pPr>
    </w:p>
    <w:p>
      <w:pPr>
        <w:pStyle w:val="17"/>
        <w:widowControl/>
        <w:spacing w:before="75" w:after="75" w:line="360" w:lineRule="auto"/>
        <w:rPr>
          <w:rFonts w:ascii="宋体" w:hAnsi="宋体" w:cs="宋体"/>
          <w:color w:val="auto"/>
          <w:highlight w:val="none"/>
        </w:rPr>
      </w:pPr>
      <w:r>
        <w:rPr>
          <w:rFonts w:hint="eastAsia" w:ascii="宋体" w:hAnsi="宋体" w:cs="宋体"/>
          <w:color w:val="auto"/>
          <w:highlight w:val="none"/>
        </w:rPr>
        <w:t>三、商务条件</w:t>
      </w:r>
      <w:r>
        <w:rPr>
          <w:rStyle w:val="25"/>
          <w:rFonts w:hint="eastAsia" w:ascii="宋体" w:hAnsi="宋体" w:cs="宋体"/>
          <w:color w:val="auto"/>
          <w:highlight w:val="none"/>
        </w:rPr>
        <w:t>（以“★”标示的内容为不允许负偏离的实质性要求）</w:t>
      </w:r>
    </w:p>
    <w:p>
      <w:pPr>
        <w:pStyle w:val="10"/>
        <w:snapToGrid w:val="0"/>
        <w:spacing w:line="420" w:lineRule="exact"/>
        <w:ind w:right="-313" w:rightChars="-149"/>
        <w:rPr>
          <w:rFonts w:hAnsi="宋体" w:cs="宋体"/>
          <w:color w:val="auto"/>
          <w:sz w:val="24"/>
          <w:szCs w:val="24"/>
          <w:highlight w:val="none"/>
        </w:rPr>
      </w:pPr>
      <w:r>
        <w:rPr>
          <w:rStyle w:val="25"/>
          <w:rFonts w:hint="eastAsia" w:hAnsi="宋体" w:cs="宋体"/>
          <w:color w:val="auto"/>
          <w:sz w:val="24"/>
          <w:szCs w:val="24"/>
          <w:highlight w:val="none"/>
        </w:rPr>
        <w:t>包：1</w:t>
      </w:r>
      <w:r>
        <w:rPr>
          <w:rStyle w:val="25"/>
          <w:rFonts w:hint="eastAsia" w:hAnsi="宋体" w:cs="宋体"/>
          <w:color w:val="auto"/>
          <w:sz w:val="24"/>
          <w:szCs w:val="24"/>
          <w:highlight w:val="none"/>
        </w:rPr>
        <w:br w:type="textWrapping"/>
      </w:r>
      <w:r>
        <w:rPr>
          <w:rStyle w:val="25"/>
          <w:rFonts w:hint="eastAsia" w:hAnsi="宋体" w:cs="宋体"/>
          <w:color w:val="auto"/>
          <w:sz w:val="24"/>
          <w:szCs w:val="24"/>
          <w:highlight w:val="none"/>
        </w:rPr>
        <w:t xml:space="preserve">1、交付地点：莆田市涵江区梧塘镇荔涵东大道1001号 </w:t>
      </w:r>
      <w:r>
        <w:rPr>
          <w:rStyle w:val="25"/>
          <w:rFonts w:hint="eastAsia" w:hAnsi="宋体" w:cs="宋体"/>
          <w:color w:val="auto"/>
          <w:sz w:val="24"/>
          <w:szCs w:val="24"/>
          <w:highlight w:val="none"/>
        </w:rPr>
        <w:br w:type="textWrapping"/>
      </w:r>
      <w:r>
        <w:rPr>
          <w:rStyle w:val="25"/>
          <w:rFonts w:hint="eastAsia" w:hAnsi="宋体" w:cs="宋体"/>
          <w:color w:val="auto"/>
          <w:sz w:val="24"/>
          <w:szCs w:val="24"/>
          <w:highlight w:val="none"/>
        </w:rPr>
        <w:t>2、交付时间：合同签订后 (120) 天内交货</w:t>
      </w:r>
    </w:p>
    <w:p>
      <w:pPr>
        <w:pStyle w:val="17"/>
        <w:widowControl/>
        <w:numPr>
          <w:ilvl w:val="0"/>
          <w:numId w:val="5"/>
        </w:numPr>
        <w:spacing w:line="440" w:lineRule="exact"/>
        <w:rPr>
          <w:rStyle w:val="25"/>
          <w:rFonts w:ascii="宋体" w:hAnsi="宋体" w:cs="宋体"/>
          <w:color w:val="auto"/>
          <w:highlight w:val="none"/>
        </w:rPr>
      </w:pPr>
      <w:r>
        <w:rPr>
          <w:rStyle w:val="25"/>
          <w:rFonts w:hint="eastAsia" w:ascii="宋体" w:hAnsi="宋体" w:cs="宋体"/>
          <w:color w:val="auto"/>
          <w:highlight w:val="none"/>
        </w:rPr>
        <w:t>交付条件：验收合格</w:t>
      </w:r>
      <w:r>
        <w:rPr>
          <w:rStyle w:val="25"/>
          <w:rFonts w:hint="eastAsia" w:ascii="宋体" w:hAnsi="宋体" w:cs="宋体"/>
          <w:color w:val="auto"/>
          <w:highlight w:val="none"/>
        </w:rPr>
        <w:br w:type="textWrapping"/>
      </w:r>
      <w:r>
        <w:rPr>
          <w:rStyle w:val="25"/>
          <w:rFonts w:hint="eastAsia" w:ascii="宋体" w:hAnsi="宋体" w:cs="宋体"/>
          <w:color w:val="auto"/>
          <w:highlight w:val="none"/>
        </w:rPr>
        <w:t>4、是否收取履约保证金： 否。</w:t>
      </w:r>
    </w:p>
    <w:p>
      <w:pPr>
        <w:pStyle w:val="17"/>
        <w:widowControl/>
        <w:spacing w:line="440" w:lineRule="exact"/>
        <w:rPr>
          <w:rFonts w:ascii="宋体" w:hAnsi="宋体" w:cs="宋体"/>
          <w:color w:val="auto"/>
          <w:highlight w:val="none"/>
        </w:rPr>
      </w:pPr>
      <w:r>
        <w:rPr>
          <w:rStyle w:val="25"/>
          <w:rFonts w:hint="eastAsia" w:ascii="宋体" w:hAnsi="宋体" w:cs="宋体"/>
          <w:color w:val="auto"/>
          <w:highlight w:val="none"/>
        </w:rPr>
        <w:t>5、是否邀请投标人参与验收：否</w:t>
      </w:r>
      <w:r>
        <w:rPr>
          <w:rStyle w:val="25"/>
          <w:rFonts w:hint="eastAsia" w:ascii="宋体" w:hAnsi="宋体" w:cs="宋体"/>
          <w:color w:val="auto"/>
          <w:highlight w:val="none"/>
        </w:rPr>
        <w:br w:type="textWrapping"/>
      </w:r>
      <w:r>
        <w:rPr>
          <w:rStyle w:val="25"/>
          <w:rFonts w:hint="eastAsia" w:ascii="宋体" w:hAnsi="宋体" w:cs="宋体"/>
          <w:color w:val="auto"/>
          <w:highlight w:val="none"/>
        </w:rPr>
        <w:t>6、验收方式数据表格</w:t>
      </w:r>
    </w:p>
    <w:tbl>
      <w:tblPr>
        <w:tblStyle w:val="21"/>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8"/>
        <w:gridCol w:w="7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验收期次</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5" w:hRule="atLeast"/>
        </w:trPr>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1</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jc w:val="left"/>
              <w:rPr>
                <w:rFonts w:ascii="宋体" w:hAnsi="宋体" w:cs="宋体"/>
                <w:color w:val="auto"/>
                <w:sz w:val="24"/>
                <w:highlight w:val="none"/>
              </w:rPr>
            </w:pPr>
            <w:r>
              <w:rPr>
                <w:rFonts w:hint="eastAsia" w:ascii="宋体" w:hAnsi="宋体" w:cs="宋体"/>
                <w:color w:val="auto"/>
                <w:sz w:val="24"/>
                <w:highlight w:val="none"/>
              </w:rPr>
              <w:t>由湄洲湾职业技术学院组织相应部门验收，按照招标文件及合同要求执行</w:t>
            </w:r>
          </w:p>
        </w:tc>
      </w:tr>
    </w:tbl>
    <w:p>
      <w:pPr>
        <w:widowControl/>
        <w:numPr>
          <w:ilvl w:val="0"/>
          <w:numId w:val="6"/>
        </w:numPr>
        <w:spacing w:line="440" w:lineRule="exact"/>
        <w:jc w:val="left"/>
        <w:rPr>
          <w:rStyle w:val="25"/>
          <w:rFonts w:ascii="宋体" w:hAnsi="宋体" w:cs="宋体"/>
          <w:color w:val="auto"/>
          <w:kern w:val="0"/>
          <w:sz w:val="24"/>
          <w:highlight w:val="none"/>
        </w:rPr>
      </w:pPr>
      <w:r>
        <w:rPr>
          <w:rStyle w:val="25"/>
          <w:rFonts w:hint="eastAsia" w:ascii="宋体" w:hAnsi="宋体" w:cs="宋体"/>
          <w:color w:val="auto"/>
          <w:kern w:val="0"/>
          <w:sz w:val="24"/>
          <w:highlight w:val="none"/>
        </w:rPr>
        <w:t>支付方式数据表格</w:t>
      </w:r>
    </w:p>
    <w:tbl>
      <w:tblPr>
        <w:tblStyle w:val="21"/>
        <w:tblW w:w="8595"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425"/>
        <w:gridCol w:w="51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8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宋体" w:hAnsi="宋体" w:cs="宋体"/>
                <w:color w:val="auto"/>
                <w:kern w:val="0"/>
                <w:sz w:val="24"/>
                <w:highlight w:val="none"/>
              </w:rPr>
              <w:t>支付期次</w:t>
            </w:r>
          </w:p>
        </w:tc>
        <w:tc>
          <w:tcPr>
            <w:tcW w:w="1425" w:type="dxa"/>
            <w:tcBorders>
              <w:top w:val="outset" w:color="auto" w:sz="6" w:space="0"/>
              <w:left w:val="outset" w:color="auto" w:sz="6" w:space="0"/>
              <w:bottom w:val="outset" w:color="auto" w:sz="6" w:space="0"/>
              <w:right w:val="outset" w:color="auto" w:sz="6" w:space="0"/>
            </w:tcBorders>
            <w:noWrap/>
            <w:vAlign w:val="center"/>
          </w:tcPr>
          <w:p>
            <w:pPr>
              <w:widowControl/>
              <w:jc w:val="center"/>
              <w:rPr>
                <w:rFonts w:ascii="宋体" w:hAnsi="宋体" w:cs="宋体"/>
                <w:color w:val="auto"/>
                <w:highlight w:val="none"/>
              </w:rPr>
            </w:pPr>
            <w:r>
              <w:rPr>
                <w:rFonts w:hint="eastAsia" w:ascii="宋体" w:hAnsi="宋体" w:cs="宋体"/>
                <w:color w:val="auto"/>
                <w:kern w:val="0"/>
                <w:sz w:val="24"/>
                <w:highlight w:val="none"/>
              </w:rPr>
              <w:t>支付比例(%)</w:t>
            </w:r>
          </w:p>
        </w:tc>
        <w:tc>
          <w:tcPr>
            <w:tcW w:w="519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宋体" w:hAnsi="宋体" w:cs="宋体"/>
                <w:color w:val="auto"/>
                <w:kern w:val="0"/>
                <w:sz w:val="24"/>
                <w:highlight w:val="none"/>
              </w:rPr>
              <w:t>1</w:t>
            </w:r>
          </w:p>
        </w:tc>
        <w:tc>
          <w:tcPr>
            <w:tcW w:w="1425" w:type="dxa"/>
            <w:tcBorders>
              <w:top w:val="outset" w:color="auto" w:sz="6" w:space="0"/>
              <w:left w:val="outset" w:color="auto" w:sz="6" w:space="0"/>
              <w:bottom w:val="outset" w:color="auto" w:sz="6" w:space="0"/>
              <w:right w:val="outset" w:color="auto" w:sz="6" w:space="0"/>
            </w:tcBorders>
            <w:noWrap/>
            <w:vAlign w:val="center"/>
          </w:tcPr>
          <w:p>
            <w:pPr>
              <w:widowControl/>
              <w:jc w:val="center"/>
              <w:rPr>
                <w:rFonts w:ascii="宋体" w:hAnsi="宋体" w:cs="宋体"/>
                <w:color w:val="auto"/>
                <w:highlight w:val="none"/>
              </w:rPr>
            </w:pPr>
            <w:r>
              <w:rPr>
                <w:rFonts w:hint="eastAsia" w:ascii="宋体" w:hAnsi="宋体" w:cs="宋体"/>
                <w:color w:val="auto"/>
                <w:highlight w:val="none"/>
              </w:rPr>
              <w:t>45</w:t>
            </w:r>
          </w:p>
        </w:tc>
        <w:tc>
          <w:tcPr>
            <w:tcW w:w="519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Theme="minorEastAsia" w:hAnsiTheme="minorEastAsia" w:cstheme="minorEastAsia"/>
                <w:color w:val="auto"/>
                <w:szCs w:val="21"/>
                <w:highlight w:val="none"/>
              </w:rPr>
              <w:t>自合同签订之日起支付合同金额45%服务款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宋体" w:hAnsi="宋体" w:cs="宋体"/>
                <w:color w:val="auto"/>
                <w:kern w:val="0"/>
                <w:sz w:val="24"/>
                <w:highlight w:val="none"/>
              </w:rPr>
              <w:t>2</w:t>
            </w:r>
          </w:p>
        </w:tc>
        <w:tc>
          <w:tcPr>
            <w:tcW w:w="1425" w:type="dxa"/>
            <w:tcBorders>
              <w:top w:val="outset" w:color="auto" w:sz="6" w:space="0"/>
              <w:left w:val="outset" w:color="auto" w:sz="6" w:space="0"/>
              <w:bottom w:val="outset" w:color="auto" w:sz="6" w:space="0"/>
              <w:right w:val="outset" w:color="auto" w:sz="6" w:space="0"/>
            </w:tcBorders>
            <w:noWrap/>
            <w:vAlign w:val="center"/>
          </w:tcPr>
          <w:p>
            <w:pPr>
              <w:widowControl/>
              <w:jc w:val="center"/>
              <w:rPr>
                <w:rFonts w:ascii="宋体" w:hAnsi="宋体" w:cs="宋体"/>
                <w:color w:val="auto"/>
                <w:highlight w:val="none"/>
              </w:rPr>
            </w:pPr>
            <w:r>
              <w:rPr>
                <w:rFonts w:hint="eastAsia" w:ascii="宋体" w:hAnsi="宋体" w:cs="宋体"/>
                <w:color w:val="auto"/>
                <w:highlight w:val="none"/>
              </w:rPr>
              <w:t>55</w:t>
            </w:r>
          </w:p>
        </w:tc>
        <w:tc>
          <w:tcPr>
            <w:tcW w:w="5190" w:type="dxa"/>
            <w:tcBorders>
              <w:top w:val="outset" w:color="auto" w:sz="6" w:space="0"/>
              <w:left w:val="outset" w:color="auto" w:sz="6" w:space="0"/>
              <w:bottom w:val="outset" w:color="auto" w:sz="6" w:space="0"/>
              <w:right w:val="outset" w:color="auto" w:sz="6" w:space="0"/>
            </w:tcBorders>
            <w:noWrap/>
            <w:vAlign w:val="center"/>
          </w:tcPr>
          <w:p>
            <w:pPr>
              <w:widowControl/>
              <w:jc w:val="left"/>
              <w:rPr>
                <w:rFonts w:ascii="宋体" w:hAnsi="宋体" w:cs="宋体"/>
                <w:color w:val="auto"/>
                <w:highlight w:val="none"/>
              </w:rPr>
            </w:pPr>
            <w:r>
              <w:rPr>
                <w:rFonts w:hint="eastAsia" w:asciiTheme="minorEastAsia" w:hAnsiTheme="minorEastAsia" w:cstheme="minorEastAsia"/>
                <w:color w:val="auto"/>
                <w:szCs w:val="21"/>
                <w:highlight w:val="none"/>
              </w:rPr>
              <w:t>项目验收合格后支付55％货款.</w:t>
            </w:r>
          </w:p>
        </w:tc>
      </w:tr>
    </w:tbl>
    <w:p>
      <w:pPr>
        <w:pStyle w:val="33"/>
        <w:ind w:firstLine="0"/>
        <w:rPr>
          <w:rFonts w:ascii="宋体" w:hAnsi="宋体" w:eastAsia="宋体"/>
          <w:color w:val="auto"/>
          <w:highlight w:val="none"/>
        </w:rPr>
      </w:pPr>
    </w:p>
    <w:p>
      <w:pPr>
        <w:pStyle w:val="17"/>
        <w:widowControl/>
        <w:numPr>
          <w:ilvl w:val="0"/>
          <w:numId w:val="6"/>
        </w:numPr>
        <w:spacing w:line="400" w:lineRule="exact"/>
        <w:rPr>
          <w:rStyle w:val="25"/>
          <w:rFonts w:ascii="宋体" w:hAnsi="宋体" w:cs="宋体"/>
          <w:color w:val="auto"/>
          <w:highlight w:val="none"/>
        </w:rPr>
      </w:pPr>
      <w:r>
        <w:rPr>
          <w:rStyle w:val="25"/>
          <w:rFonts w:hint="eastAsia" w:ascii="宋体" w:hAnsi="宋体" w:cs="宋体"/>
          <w:color w:val="auto"/>
          <w:highlight w:val="none"/>
        </w:rPr>
        <w:t>其他要求：</w:t>
      </w:r>
    </w:p>
    <w:p>
      <w:pPr>
        <w:pStyle w:val="17"/>
        <w:widowControl/>
        <w:spacing w:line="400" w:lineRule="exact"/>
        <w:ind w:firstLine="480" w:firstLineChars="200"/>
        <w:rPr>
          <w:color w:val="auto"/>
          <w:highlight w:val="none"/>
        </w:rPr>
      </w:pPr>
      <w:r>
        <w:rPr>
          <w:rFonts w:hint="eastAsia" w:ascii="宋体" w:hAnsi="宋体" w:cs="宋体"/>
          <w:color w:val="auto"/>
          <w:highlight w:val="none"/>
        </w:rPr>
        <w:t>8.1. </w:t>
      </w:r>
      <w:r>
        <w:rPr>
          <w:rFonts w:hint="eastAsia" w:ascii="宋体" w:hAnsi="宋体" w:cs="宋体"/>
          <w:color w:val="auto"/>
          <w:highlight w:val="none"/>
        </w:rPr>
        <w:t>本批招标项目为整体采购，投标人不得将合同包中的部分内容进行拆分投标或漏项投标，拆分投标或漏项投标无效。投标人必须列明所投项目的每一单项的单价、小计和总价，报价应以人民币作为货币单位。投标时不可提供二个或多个可选择的价格进行报价。</w:t>
      </w:r>
    </w:p>
    <w:p>
      <w:pPr>
        <w:pStyle w:val="17"/>
        <w:widowControl/>
        <w:spacing w:line="400" w:lineRule="exact"/>
        <w:ind w:firstLine="480" w:firstLineChars="200"/>
        <w:rPr>
          <w:color w:val="auto"/>
          <w:highlight w:val="none"/>
        </w:rPr>
      </w:pPr>
      <w:r>
        <w:rPr>
          <w:rFonts w:hint="eastAsia" w:ascii="宋体" w:hAnsi="宋体" w:cs="宋体"/>
          <w:color w:val="auto"/>
          <w:highlight w:val="none"/>
        </w:rPr>
        <w:t>8.2. </w:t>
      </w:r>
      <w:r>
        <w:rPr>
          <w:rFonts w:hint="eastAsia" w:ascii="宋体" w:hAnsi="宋体" w:cs="宋体"/>
          <w:color w:val="auto"/>
          <w:highlight w:val="none"/>
        </w:rPr>
        <w:t>投标人应按照货物清单中的规格要求提供产品，投标人所提供产品的质量品质应符合行业标准，投标人应按招标技术规格提供产品。若招标文件中无相应规定，则该产品应符合相应的国家标准或行业标准。对投标人漏报或错报产品致使未能达到需求的功能和效果，因此造成的费用和后果由投标人自行负责。</w:t>
      </w:r>
    </w:p>
    <w:p>
      <w:pPr>
        <w:pStyle w:val="17"/>
        <w:widowControl/>
        <w:spacing w:line="400" w:lineRule="exact"/>
        <w:ind w:firstLine="480" w:firstLineChars="200"/>
        <w:rPr>
          <w:color w:val="auto"/>
          <w:highlight w:val="none"/>
        </w:rPr>
      </w:pPr>
      <w:r>
        <w:rPr>
          <w:rFonts w:hint="eastAsia" w:ascii="宋体" w:hAnsi="宋体" w:cs="宋体"/>
          <w:color w:val="auto"/>
          <w:highlight w:val="none"/>
        </w:rPr>
        <w:t>8.3. </w:t>
      </w:r>
      <w:r>
        <w:rPr>
          <w:rFonts w:hint="eastAsia" w:ascii="宋体" w:hAnsi="宋体" w:cs="宋体"/>
          <w:color w:val="auto"/>
          <w:highlight w:val="none"/>
        </w:rPr>
        <w:t>投标人提供的设备及材料等，应保证这些设备及材料等手续的合法性，在交货、安装或验收时中标 供 应 商应提供所有设备及材料的全部合法证明材料(如：产品合格证、许可证、安全认证证书、检验报告、产地证明、装箱单以及技术参数说明等资料)。</w:t>
      </w:r>
    </w:p>
    <w:p>
      <w:pPr>
        <w:pStyle w:val="17"/>
        <w:widowControl/>
        <w:spacing w:line="400" w:lineRule="exact"/>
        <w:ind w:firstLine="480" w:firstLineChars="200"/>
        <w:rPr>
          <w:color w:val="auto"/>
          <w:highlight w:val="none"/>
        </w:rPr>
      </w:pPr>
      <w:r>
        <w:rPr>
          <w:rFonts w:hint="eastAsia" w:ascii="宋体" w:hAnsi="宋体" w:cs="宋体"/>
          <w:color w:val="auto"/>
          <w:highlight w:val="none"/>
        </w:rPr>
        <w:t>8.4. </w:t>
      </w:r>
      <w:r>
        <w:rPr>
          <w:rFonts w:hint="eastAsia" w:ascii="宋体" w:hAnsi="宋体" w:cs="宋体"/>
          <w:color w:val="auto"/>
          <w:highlight w:val="none"/>
        </w:rPr>
        <w:t>总报价必须是货物送达招标人指 定地点、经招标人验收合格并交付使用所有可能发生的费用，包括生产、运输、包装、送货、税收、检验、售 后 服 务等费用。并在投标文件中提供详细的切实可行的系统建设技术方案以及招标文件要求提供的其它资料。</w:t>
      </w:r>
    </w:p>
    <w:p>
      <w:pPr>
        <w:pStyle w:val="17"/>
        <w:widowControl/>
        <w:spacing w:line="400" w:lineRule="exact"/>
        <w:ind w:firstLine="480" w:firstLineChars="200"/>
        <w:rPr>
          <w:color w:val="auto"/>
          <w:highlight w:val="none"/>
        </w:rPr>
      </w:pPr>
      <w:r>
        <w:rPr>
          <w:rFonts w:hint="eastAsia" w:ascii="宋体" w:hAnsi="宋体" w:cs="宋体"/>
          <w:color w:val="auto"/>
          <w:highlight w:val="none"/>
        </w:rPr>
        <w:t>8.5. </w:t>
      </w:r>
      <w:r>
        <w:rPr>
          <w:rFonts w:hint="eastAsia" w:ascii="宋体" w:hAnsi="宋体" w:cs="宋体"/>
          <w:color w:val="auto"/>
          <w:highlight w:val="none"/>
        </w:rPr>
        <w:t>投标人应提供投标货物或投标货物的同类产品经国家质量监督检验部门检验合格的检验报告。</w:t>
      </w:r>
    </w:p>
    <w:p>
      <w:pPr>
        <w:pStyle w:val="17"/>
        <w:widowControl/>
        <w:spacing w:line="400" w:lineRule="exact"/>
        <w:ind w:firstLine="480" w:firstLineChars="200"/>
        <w:rPr>
          <w:color w:val="auto"/>
          <w:highlight w:val="none"/>
        </w:rPr>
      </w:pPr>
      <w:r>
        <w:rPr>
          <w:rFonts w:hint="eastAsia" w:ascii="宋体" w:hAnsi="宋体" w:cs="宋体"/>
          <w:color w:val="auto"/>
          <w:highlight w:val="none"/>
        </w:rPr>
        <w:t>8.6. </w:t>
      </w:r>
      <w:r>
        <w:rPr>
          <w:rFonts w:hint="eastAsia" w:ascii="宋体" w:hAnsi="宋体" w:cs="宋体"/>
          <w:color w:val="auto"/>
          <w:highlight w:val="none"/>
        </w:rPr>
        <w:t>报价清单必须详细，包含货物品牌、详细规格、图片、单价等产品信息。否则由此所产生一切后果投标人承担。</w:t>
      </w:r>
    </w:p>
    <w:p>
      <w:pPr>
        <w:pStyle w:val="17"/>
        <w:widowControl/>
        <w:spacing w:line="400" w:lineRule="exact"/>
        <w:ind w:firstLine="482" w:firstLineChars="200"/>
        <w:rPr>
          <w:color w:val="auto"/>
          <w:highlight w:val="none"/>
        </w:rPr>
      </w:pPr>
      <w:r>
        <w:rPr>
          <w:rStyle w:val="25"/>
          <w:rFonts w:hint="eastAsia" w:ascii="宋体" w:hAnsi="宋体" w:cs="宋体"/>
          <w:color w:val="auto"/>
          <w:highlight w:val="none"/>
        </w:rPr>
        <w:t>9、售后服务要求:</w:t>
      </w:r>
    </w:p>
    <w:p>
      <w:pPr>
        <w:pStyle w:val="17"/>
        <w:widowControl/>
        <w:spacing w:line="400" w:lineRule="exact"/>
        <w:ind w:firstLine="480" w:firstLineChars="200"/>
        <w:rPr>
          <w:color w:val="auto"/>
          <w:highlight w:val="none"/>
        </w:rPr>
      </w:pPr>
      <w:r>
        <w:rPr>
          <w:rFonts w:hint="eastAsia" w:ascii="宋体" w:hAnsi="宋体" w:cs="宋体"/>
          <w:color w:val="auto"/>
          <w:highlight w:val="none"/>
        </w:rPr>
        <w:t>9.1. 质保期和售后服务要求：除招标明确要求外，其他货物免费质量保修期为验收合格后一年 (厂家或国家有更长免费质量保修期限规定的从其规定），从正式验收合格交付使用之日算起；在质保期内出现故障，中标人应免费提供咨询、更换损坏的零件和维修服务，终身维护。</w:t>
      </w:r>
    </w:p>
    <w:p>
      <w:pPr>
        <w:pStyle w:val="17"/>
        <w:widowControl/>
        <w:spacing w:line="400" w:lineRule="exact"/>
        <w:ind w:firstLine="480" w:firstLineChars="200"/>
        <w:rPr>
          <w:color w:val="auto"/>
          <w:highlight w:val="none"/>
        </w:rPr>
      </w:pPr>
      <w:r>
        <w:rPr>
          <w:rFonts w:hint="eastAsia" w:ascii="宋体" w:hAnsi="宋体" w:cs="宋体"/>
          <w:color w:val="auto"/>
          <w:highlight w:val="none"/>
        </w:rPr>
        <w:t>9.2. 根据招标人指 定的地点免费提供所有货物的送货、安装、调试服务。</w:t>
      </w:r>
    </w:p>
    <w:p>
      <w:pPr>
        <w:pStyle w:val="17"/>
        <w:widowControl/>
        <w:spacing w:line="400" w:lineRule="exact"/>
        <w:ind w:firstLine="480" w:firstLineChars="200"/>
        <w:rPr>
          <w:color w:val="auto"/>
          <w:highlight w:val="none"/>
        </w:rPr>
      </w:pPr>
      <w:r>
        <w:rPr>
          <w:rFonts w:hint="eastAsia" w:ascii="宋体" w:hAnsi="宋体" w:cs="宋体"/>
          <w:color w:val="auto"/>
          <w:highlight w:val="none"/>
        </w:rPr>
        <w:t>9.3. 验收不合格的货物，招标人可以要求中标供应商无条件免费更换或退货，并赔偿由此造成招标人的损失。</w:t>
      </w:r>
    </w:p>
    <w:p>
      <w:pPr>
        <w:pStyle w:val="17"/>
        <w:widowControl/>
        <w:spacing w:line="400" w:lineRule="exact"/>
        <w:ind w:firstLine="480" w:firstLineChars="200"/>
        <w:rPr>
          <w:color w:val="auto"/>
          <w:highlight w:val="none"/>
        </w:rPr>
      </w:pPr>
      <w:r>
        <w:rPr>
          <w:rFonts w:hint="eastAsia" w:ascii="宋体" w:hAnsi="宋体" w:cs="宋体"/>
          <w:color w:val="auto"/>
          <w:highlight w:val="none"/>
        </w:rPr>
        <w:t>9.4. 投标人可视自身能力在投标文件中提供更优、更合理的售后服务承诺。</w:t>
      </w:r>
    </w:p>
    <w:p>
      <w:pPr>
        <w:pStyle w:val="17"/>
        <w:widowControl/>
        <w:spacing w:line="400" w:lineRule="exact"/>
        <w:ind w:firstLine="480" w:firstLineChars="200"/>
        <w:rPr>
          <w:color w:val="auto"/>
          <w:highlight w:val="none"/>
        </w:rPr>
      </w:pPr>
      <w:r>
        <w:rPr>
          <w:rFonts w:hint="eastAsia" w:ascii="宋体" w:hAnsi="宋体" w:cs="宋体"/>
          <w:color w:val="auto"/>
          <w:highlight w:val="none"/>
        </w:rPr>
        <w:t>9.5. 投标人应针对本次投标提供详细的售后服务方案及承诺，内容应涉及：维护机构、人员、地址、电话、维修方式、保修方式、保修期满后的维修保养费用、时间保证、零配件及易损件费用及优惠措施等。</w:t>
      </w:r>
    </w:p>
    <w:p>
      <w:pPr>
        <w:pStyle w:val="17"/>
        <w:widowControl/>
        <w:spacing w:line="400" w:lineRule="exact"/>
        <w:ind w:firstLine="482" w:firstLineChars="200"/>
        <w:rPr>
          <w:color w:val="auto"/>
          <w:highlight w:val="none"/>
        </w:rPr>
      </w:pPr>
      <w:r>
        <w:rPr>
          <w:rStyle w:val="25"/>
          <w:rFonts w:hint="eastAsia" w:ascii="宋体" w:hAnsi="宋体" w:cs="宋体"/>
          <w:color w:val="auto"/>
          <w:highlight w:val="none"/>
        </w:rPr>
        <w:t>10、安装调试</w:t>
      </w:r>
    </w:p>
    <w:p>
      <w:pPr>
        <w:pStyle w:val="17"/>
        <w:widowControl/>
        <w:spacing w:line="400" w:lineRule="exact"/>
        <w:ind w:firstLine="480" w:firstLineChars="200"/>
        <w:rPr>
          <w:color w:val="auto"/>
          <w:highlight w:val="none"/>
        </w:rPr>
      </w:pPr>
      <w:r>
        <w:rPr>
          <w:rFonts w:hint="eastAsia" w:ascii="宋体" w:hAnsi="宋体" w:cs="宋体"/>
          <w:color w:val="auto"/>
          <w:highlight w:val="none"/>
        </w:rPr>
        <w:t>10.1.设备运抵安装现场后，招标人将与中标 供应商共同开箱验收，设备包装应按国家标准执行，关键设备应原包装：供货时，交使用单位对包装状况及数量作现场验收，由于包装不善引起的货物锈蚀、损坏和损失均由供货方承担，每件包装内应附质量合格证和装箱单。如中标 供应商届时不派人来，则验收结果应以招标人和当地商检人员的验收报告为最终验收结果。验收时发现短缺、破损，招标人有权要求投标人立即补发和负责更换。中标供应商应提供主要设备厂家供货证明。</w:t>
      </w:r>
    </w:p>
    <w:p>
      <w:pPr>
        <w:pStyle w:val="17"/>
        <w:widowControl/>
        <w:spacing w:line="400" w:lineRule="exact"/>
        <w:ind w:firstLine="480" w:firstLineChars="200"/>
        <w:rPr>
          <w:color w:val="auto"/>
          <w:highlight w:val="none"/>
        </w:rPr>
      </w:pPr>
      <w:r>
        <w:rPr>
          <w:rFonts w:hint="eastAsia" w:ascii="宋体" w:hAnsi="宋体" w:cs="宋体"/>
          <w:color w:val="auto"/>
          <w:highlight w:val="none"/>
        </w:rPr>
        <w:t>10.2.安装和调试</w:t>
      </w:r>
    </w:p>
    <w:p>
      <w:pPr>
        <w:pStyle w:val="17"/>
        <w:widowControl/>
        <w:spacing w:line="400" w:lineRule="exact"/>
        <w:ind w:firstLine="480" w:firstLineChars="200"/>
        <w:rPr>
          <w:color w:val="auto"/>
          <w:highlight w:val="none"/>
        </w:rPr>
      </w:pPr>
      <w:r>
        <w:rPr>
          <w:rFonts w:hint="eastAsia" w:ascii="宋体" w:hAnsi="宋体" w:cs="宋体"/>
          <w:color w:val="auto"/>
          <w:highlight w:val="none"/>
        </w:rPr>
        <w:t>中标供应商应按照采购人指 定的地点进行安装调试；</w:t>
      </w:r>
    </w:p>
    <w:p>
      <w:pPr>
        <w:pStyle w:val="17"/>
        <w:widowControl/>
        <w:spacing w:line="400" w:lineRule="exact"/>
        <w:ind w:firstLine="480" w:firstLineChars="200"/>
        <w:rPr>
          <w:color w:val="auto"/>
          <w:highlight w:val="none"/>
        </w:rPr>
      </w:pPr>
      <w:r>
        <w:rPr>
          <w:rFonts w:hint="eastAsia" w:ascii="宋体" w:hAnsi="宋体" w:cs="宋体"/>
          <w:color w:val="auto"/>
          <w:highlight w:val="none"/>
        </w:rPr>
        <w:t>  安装调测时使用的工具、设备由中标供应商提供。双方应协商制定工程进度表，中标供应商负责按工程进度表进行施工；</w:t>
      </w:r>
    </w:p>
    <w:p>
      <w:pPr>
        <w:pStyle w:val="17"/>
        <w:widowControl/>
        <w:spacing w:line="400" w:lineRule="exact"/>
        <w:ind w:firstLine="480" w:firstLineChars="200"/>
        <w:rPr>
          <w:color w:val="auto"/>
          <w:highlight w:val="none"/>
        </w:rPr>
      </w:pPr>
      <w:r>
        <w:rPr>
          <w:rFonts w:hint="eastAsia" w:ascii="宋体" w:hAnsi="宋体" w:cs="宋体"/>
          <w:color w:val="auto"/>
          <w:highlight w:val="none"/>
        </w:rPr>
        <w:t>设备调试由中标供应商负责，中标供应商调试前应提出完整的调试计划并经采购人确认，包括设备调试的内容、项目、指标、方法和进度；并提供相应的仪器和工具。中标供应商有责任对采购方的技术人员提出的问题作出解答。调试应进行详细记录，系统调试结束后，由中标供应商技术人员签字后交给采购人验收。</w:t>
      </w:r>
    </w:p>
    <w:p>
      <w:pPr>
        <w:pStyle w:val="17"/>
        <w:widowControl/>
        <w:spacing w:line="400" w:lineRule="exact"/>
        <w:ind w:firstLine="482" w:firstLineChars="200"/>
        <w:rPr>
          <w:color w:val="auto"/>
          <w:highlight w:val="none"/>
        </w:rPr>
      </w:pPr>
      <w:r>
        <w:rPr>
          <w:rStyle w:val="25"/>
          <w:rFonts w:hint="eastAsia" w:ascii="宋体" w:hAnsi="宋体" w:cs="宋体"/>
          <w:color w:val="auto"/>
          <w:highlight w:val="none"/>
        </w:rPr>
        <w:t>11、验收条件：</w:t>
      </w:r>
    </w:p>
    <w:p>
      <w:pPr>
        <w:pStyle w:val="17"/>
        <w:widowControl/>
        <w:spacing w:line="400" w:lineRule="exact"/>
        <w:ind w:firstLine="480" w:firstLineChars="200"/>
        <w:rPr>
          <w:color w:val="auto"/>
          <w:highlight w:val="none"/>
        </w:rPr>
      </w:pPr>
      <w:r>
        <w:rPr>
          <w:rFonts w:hint="eastAsia" w:ascii="宋体" w:hAnsi="宋体" w:cs="宋体"/>
          <w:color w:val="auto"/>
          <w:highlight w:val="none"/>
        </w:rPr>
        <w:t>11.1、验收时中标供应商代表必须在场，招标人将根据招标文件要求、中标 供 应 商所供货物为原厂未拆封、全新产品，不得有任何损伤及其规格和产品标准及我国相关技术规范和技术标准进行验收。</w:t>
      </w:r>
    </w:p>
    <w:p>
      <w:pPr>
        <w:pStyle w:val="17"/>
        <w:widowControl/>
        <w:spacing w:line="400" w:lineRule="exact"/>
        <w:ind w:firstLine="480" w:firstLineChars="200"/>
        <w:rPr>
          <w:color w:val="auto"/>
          <w:highlight w:val="none"/>
        </w:rPr>
      </w:pPr>
      <w:r>
        <w:rPr>
          <w:rFonts w:hint="eastAsia" w:ascii="宋体" w:hAnsi="宋体" w:cs="宋体"/>
          <w:color w:val="auto"/>
          <w:highlight w:val="none"/>
        </w:rPr>
        <w:t>11.2、货物结构、外观、制造、装配材料及工艺要求应符合招标采购要求及投标文件承诺，招标人在验收时如发现不符合招标采购要求的，招标人有权要求中标 供应 商进行换货或退货。</w:t>
      </w:r>
    </w:p>
    <w:p>
      <w:pPr>
        <w:pStyle w:val="17"/>
        <w:widowControl/>
        <w:spacing w:line="400" w:lineRule="exact"/>
        <w:ind w:firstLine="480" w:firstLineChars="200"/>
        <w:rPr>
          <w:color w:val="auto"/>
          <w:highlight w:val="none"/>
        </w:rPr>
      </w:pPr>
      <w:r>
        <w:rPr>
          <w:rFonts w:hint="eastAsia" w:ascii="宋体" w:hAnsi="宋体" w:cs="宋体"/>
          <w:color w:val="auto"/>
          <w:highlight w:val="none"/>
        </w:rPr>
        <w:t>11.3、中标供应商必须为使用单位维修、使用提供足够的技术资料和技术保障。提供设备的有关证明，如产地、出厂合格证、质量保证书和测试合格证等并在交货时必须随装箱。</w:t>
      </w:r>
    </w:p>
    <w:p>
      <w:pPr>
        <w:pStyle w:val="17"/>
        <w:widowControl/>
        <w:spacing w:line="400" w:lineRule="exact"/>
        <w:ind w:firstLine="480" w:firstLineChars="200"/>
        <w:rPr>
          <w:color w:val="auto"/>
          <w:highlight w:val="none"/>
        </w:rPr>
      </w:pPr>
      <w:r>
        <w:rPr>
          <w:rFonts w:hint="eastAsia" w:ascii="宋体" w:hAnsi="宋体" w:cs="宋体"/>
          <w:color w:val="auto"/>
          <w:highlight w:val="none"/>
        </w:rPr>
        <w:t>11.4、若产品验收时有关技术参数不能满足招标文件技术要求，使用单位有权要求更换，同时有权要求索赔，所产生的一切费用(含所有检验费用)由中标 供 应 商全部承担。</w:t>
      </w:r>
    </w:p>
    <w:p>
      <w:pPr>
        <w:pStyle w:val="17"/>
        <w:widowControl/>
        <w:spacing w:line="400" w:lineRule="exact"/>
        <w:ind w:firstLine="480" w:firstLineChars="200"/>
        <w:rPr>
          <w:color w:val="auto"/>
          <w:highlight w:val="none"/>
        </w:rPr>
      </w:pPr>
      <w:r>
        <w:rPr>
          <w:rFonts w:hint="eastAsia" w:ascii="宋体" w:hAnsi="宋体" w:cs="宋体"/>
          <w:color w:val="auto"/>
          <w:highlight w:val="none"/>
        </w:rPr>
        <w:t>11.5、在招标人安装现场进行,最终检验所发生的一切费用由中标 供 应 商承担。</w:t>
      </w:r>
      <w:r>
        <w:rPr>
          <w:color w:val="auto"/>
          <w:highlight w:val="none"/>
        </w:rPr>
        <w:t> </w:t>
      </w:r>
    </w:p>
    <w:p>
      <w:pPr>
        <w:pStyle w:val="17"/>
        <w:widowControl/>
        <w:autoSpaceDE w:val="0"/>
        <w:spacing w:line="400" w:lineRule="exact"/>
        <w:ind w:firstLine="482" w:firstLineChars="200"/>
        <w:rPr>
          <w:rFonts w:ascii="宋体" w:hAnsi="宋体" w:cs="宋体"/>
          <w:b/>
          <w:bCs/>
          <w:color w:val="auto"/>
          <w:highlight w:val="none"/>
        </w:rPr>
      </w:pPr>
      <w:r>
        <w:rPr>
          <w:rFonts w:hint="eastAsia" w:ascii="宋体" w:hAnsi="宋体" w:cs="宋体"/>
          <w:b/>
          <w:color w:val="auto"/>
          <w:highlight w:val="none"/>
          <w:shd w:val="clear" w:color="auto" w:fill="FFFFFF"/>
        </w:rPr>
        <w:t>12</w:t>
      </w:r>
      <w:r>
        <w:rPr>
          <w:rFonts w:hint="eastAsia" w:ascii="宋体" w:hAnsi="宋体" w:cs="宋体"/>
          <w:b/>
          <w:bCs/>
          <w:color w:val="auto"/>
          <w:highlight w:val="none"/>
        </w:rPr>
        <w:t>.违约责任</w:t>
      </w:r>
    </w:p>
    <w:p>
      <w:pPr>
        <w:pStyle w:val="17"/>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12.1因中标人原因造成采购合同无法按时签订，视为中标人违约，采购人有权没收其投标保证金；采购合同之后，中标人要求解除合同的，视为中标人违约，中标还需另行支付相应的赔偿。</w:t>
      </w:r>
    </w:p>
    <w:p>
      <w:pPr>
        <w:pStyle w:val="17"/>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12.2因中标人原因发生重大质量事故，除依约承担赔偿责任外，还将按有关质量管理办法规定执行。同时，采购人有权保留更换中标人的权利，并报相关行政主管部门处罚。</w:t>
      </w:r>
    </w:p>
    <w:p>
      <w:pPr>
        <w:pStyle w:val="17"/>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12.3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7"/>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12.4在明确违约责任后，中标人应在接到书面通知书起七天内支付违约金、赔偿金等。</w:t>
      </w:r>
    </w:p>
    <w:p>
      <w:pPr>
        <w:pStyle w:val="17"/>
        <w:widowControl/>
        <w:autoSpaceDE w:val="0"/>
        <w:spacing w:line="400" w:lineRule="exact"/>
        <w:ind w:firstLine="480" w:firstLineChars="200"/>
        <w:rPr>
          <w:rFonts w:ascii="宋体" w:hAnsi="宋体" w:cs="宋体"/>
          <w:color w:val="auto"/>
          <w:highlight w:val="none"/>
        </w:rPr>
      </w:pPr>
      <w:r>
        <w:rPr>
          <w:rFonts w:hint="eastAsia" w:ascii="宋体" w:hAnsi="宋体" w:cs="宋体"/>
          <w:color w:val="auto"/>
          <w:highlight w:val="none"/>
        </w:rPr>
        <w:t>12.5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7"/>
        <w:widowControl/>
        <w:autoSpaceDE w:val="0"/>
        <w:spacing w:line="400" w:lineRule="exact"/>
        <w:ind w:firstLine="480" w:firstLineChars="200"/>
        <w:rPr>
          <w:rFonts w:ascii="宋体" w:hAnsi="宋体" w:cs="宋体"/>
          <w:bCs/>
          <w:color w:val="auto"/>
          <w:highlight w:val="none"/>
          <w:shd w:val="clear" w:color="auto" w:fill="FFFFFF"/>
        </w:rPr>
      </w:pPr>
      <w:r>
        <w:rPr>
          <w:rFonts w:hint="eastAsia" w:ascii="宋体" w:hAnsi="宋体" w:cs="宋体"/>
          <w:color w:val="auto"/>
          <w:highlight w:val="none"/>
        </w:rPr>
        <w:t>12.6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7"/>
        <w:widowControl/>
        <w:spacing w:line="440" w:lineRule="exact"/>
        <w:rPr>
          <w:rFonts w:ascii="宋体" w:hAnsi="宋体" w:cs="宋体"/>
          <w:color w:val="auto"/>
          <w:highlight w:val="none"/>
        </w:rPr>
      </w:pPr>
    </w:p>
    <w:p>
      <w:pPr>
        <w:pStyle w:val="17"/>
        <w:widowControl/>
        <w:spacing w:line="440" w:lineRule="exact"/>
        <w:rPr>
          <w:rFonts w:ascii="宋体" w:hAnsi="宋体" w:cs="宋体"/>
          <w:color w:val="auto"/>
          <w:highlight w:val="none"/>
        </w:rPr>
      </w:pPr>
      <w:r>
        <w:rPr>
          <w:rFonts w:hint="eastAsia" w:ascii="宋体" w:hAnsi="宋体" w:cs="宋体"/>
          <w:color w:val="auto"/>
          <w:highlight w:val="none"/>
        </w:rPr>
        <w:t>四、其他事项</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1、除招标文件另有规定外，若出现有关法律、法规和规章有强制性规定但招标文件未列明的情形，则投标人应按照有关法律、法规和规章强制性规定执行。</w:t>
      </w:r>
    </w:p>
    <w:p>
      <w:pPr>
        <w:pStyle w:val="17"/>
        <w:widowControl/>
        <w:spacing w:line="440" w:lineRule="exact"/>
        <w:rPr>
          <w:rStyle w:val="25"/>
          <w:rFonts w:ascii="宋体" w:hAnsi="宋体" w:cs="宋体"/>
          <w:color w:val="auto"/>
          <w:highlight w:val="none"/>
        </w:rPr>
      </w:pPr>
      <w:r>
        <w:rPr>
          <w:rFonts w:hint="eastAsia" w:ascii="宋体" w:hAnsi="宋体" w:cs="宋体"/>
          <w:color w:val="auto"/>
          <w:highlight w:val="none"/>
        </w:rPr>
        <w:t>2、其他：</w:t>
      </w:r>
    </w:p>
    <w:p>
      <w:pPr>
        <w:pStyle w:val="17"/>
        <w:widowControl/>
        <w:spacing w:before="75" w:after="75"/>
        <w:ind w:firstLine="2249" w:firstLineChars="700"/>
        <w:rPr>
          <w:rFonts w:ascii="宋体" w:hAnsi="宋体" w:cs="宋体"/>
          <w:b/>
          <w:color w:val="auto"/>
          <w:sz w:val="32"/>
          <w:szCs w:val="32"/>
          <w:highlight w:val="none"/>
        </w:rPr>
      </w:pPr>
    </w:p>
    <w:p>
      <w:pPr>
        <w:pStyle w:val="17"/>
        <w:widowControl/>
        <w:spacing w:before="75" w:after="75"/>
        <w:ind w:firstLine="2249" w:firstLineChars="700"/>
        <w:rPr>
          <w:rFonts w:ascii="宋体" w:hAnsi="宋体" w:cs="宋体"/>
          <w:b/>
          <w:color w:val="auto"/>
          <w:sz w:val="32"/>
          <w:szCs w:val="32"/>
          <w:highlight w:val="none"/>
        </w:rPr>
      </w:pPr>
    </w:p>
    <w:p>
      <w:pPr>
        <w:pStyle w:val="17"/>
        <w:widowControl/>
        <w:spacing w:before="75" w:after="75"/>
        <w:ind w:firstLine="2249" w:firstLineChars="700"/>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pStyle w:val="17"/>
        <w:widowControl/>
        <w:spacing w:before="75" w:after="75"/>
        <w:ind w:firstLine="2249" w:firstLineChars="700"/>
        <w:rPr>
          <w:rFonts w:ascii="宋体" w:hAnsi="宋体" w:cs="宋体"/>
          <w:color w:val="auto"/>
          <w:highlight w:val="none"/>
        </w:rPr>
      </w:pPr>
      <w:r>
        <w:rPr>
          <w:rFonts w:hint="eastAsia" w:ascii="宋体" w:hAnsi="宋体" w:cs="宋体"/>
          <w:b/>
          <w:color w:val="auto"/>
          <w:sz w:val="32"/>
          <w:szCs w:val="32"/>
          <w:highlight w:val="none"/>
        </w:rPr>
        <w:t xml:space="preserve">第六章  </w:t>
      </w:r>
      <w:r>
        <w:rPr>
          <w:rStyle w:val="25"/>
          <w:rFonts w:hint="eastAsia" w:ascii="宋体" w:hAnsi="宋体" w:cs="宋体"/>
          <w:color w:val="auto"/>
          <w:sz w:val="31"/>
          <w:szCs w:val="31"/>
          <w:highlight w:val="none"/>
        </w:rPr>
        <w:t>合同（参考文本）</w:t>
      </w:r>
    </w:p>
    <w:p>
      <w:pPr>
        <w:pStyle w:val="17"/>
        <w:widowControl/>
        <w:spacing w:before="75" w:after="75"/>
        <w:jc w:val="center"/>
        <w:rPr>
          <w:rFonts w:ascii="宋体" w:hAnsi="宋体" w:cs="宋体"/>
          <w:color w:val="auto"/>
          <w:highlight w:val="none"/>
        </w:rPr>
      </w:pPr>
      <w:r>
        <w:rPr>
          <w:rStyle w:val="25"/>
          <w:rFonts w:hint="eastAsia" w:ascii="宋体" w:hAnsi="宋体" w:cs="宋体"/>
          <w:color w:val="auto"/>
          <w:highlight w:val="none"/>
        </w:rPr>
        <w:t>编制说明</w:t>
      </w:r>
    </w:p>
    <w:p>
      <w:pPr>
        <w:pStyle w:val="17"/>
        <w:widowControl/>
        <w:spacing w:line="440" w:lineRule="exact"/>
        <w:rPr>
          <w:rFonts w:ascii="宋体" w:hAnsi="宋体" w:cs="宋体"/>
          <w:color w:val="auto"/>
          <w:highlight w:val="none"/>
        </w:rPr>
      </w:pPr>
      <w:r>
        <w:rPr>
          <w:rStyle w:val="25"/>
          <w:rFonts w:hint="eastAsia" w:ascii="宋体" w:hAnsi="宋体" w:cs="宋体"/>
          <w:color w:val="auto"/>
          <w:highlight w:val="none"/>
        </w:rPr>
        <w:t>1、签订合同应遵守政府采购法、民法典。</w:t>
      </w:r>
    </w:p>
    <w:p>
      <w:pPr>
        <w:pStyle w:val="17"/>
        <w:widowControl/>
        <w:spacing w:line="440" w:lineRule="exact"/>
        <w:rPr>
          <w:rFonts w:ascii="宋体" w:hAnsi="宋体" w:cs="宋体"/>
          <w:color w:val="auto"/>
          <w:highlight w:val="none"/>
        </w:rPr>
      </w:pPr>
      <w:r>
        <w:rPr>
          <w:rStyle w:val="25"/>
          <w:rFonts w:hint="eastAsia" w:ascii="宋体" w:hAnsi="宋体" w:cs="宋体"/>
          <w:color w:val="auto"/>
          <w:highlight w:val="none"/>
        </w:rPr>
        <w:t>2、签订合同时，采购人与中标人应结合招标文件第五章规定填列相应内容。招标文件第五章已有规定的，双方均不得变更或调整；招标文件第五章未作规定的，双方可通过友好协商进行约定。</w:t>
      </w:r>
    </w:p>
    <w:p>
      <w:pPr>
        <w:pStyle w:val="17"/>
        <w:widowControl/>
        <w:spacing w:line="440" w:lineRule="exact"/>
        <w:rPr>
          <w:rFonts w:ascii="宋体" w:hAnsi="宋体" w:cs="宋体"/>
          <w:color w:val="auto"/>
          <w:highlight w:val="none"/>
        </w:rPr>
      </w:pPr>
      <w:r>
        <w:rPr>
          <w:rStyle w:val="25"/>
          <w:rFonts w:hint="eastAsia" w:ascii="宋体" w:hAnsi="宋体" w:cs="宋体"/>
          <w:color w:val="auto"/>
          <w:highlight w:val="none"/>
        </w:rPr>
        <w:t>3、国家有关部门对若干合同有规范文本的，可使用相应合同文本。</w:t>
      </w:r>
    </w:p>
    <w:p>
      <w:pPr>
        <w:spacing w:line="440" w:lineRule="exact"/>
        <w:rPr>
          <w:rFonts w:ascii="宋体" w:hAnsi="宋体" w:cs="宋体"/>
          <w:color w:val="auto"/>
          <w:sz w:val="24"/>
          <w:highlight w:val="none"/>
        </w:rPr>
      </w:pPr>
      <w:r>
        <w:rPr>
          <w:rFonts w:hint="eastAsia" w:ascii="宋体" w:hAnsi="宋体" w:cs="宋体"/>
          <w:color w:val="auto"/>
          <w:sz w:val="24"/>
          <w:highlight w:val="none"/>
        </w:rPr>
        <w:t>甲方：</w:t>
      </w:r>
    </w:p>
    <w:p>
      <w:pPr>
        <w:pStyle w:val="17"/>
        <w:widowControl/>
        <w:spacing w:line="440" w:lineRule="exact"/>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（中标人全称）        </w:t>
      </w:r>
    </w:p>
    <w:p>
      <w:pPr>
        <w:pStyle w:val="17"/>
        <w:widowControl/>
        <w:spacing w:line="440" w:lineRule="exact"/>
        <w:rPr>
          <w:rFonts w:ascii="宋体" w:hAnsi="宋体" w:cs="宋体"/>
          <w:color w:val="auto"/>
          <w:highlight w:val="none"/>
          <w:u w:val="single"/>
        </w:rPr>
      </w:pPr>
    </w:p>
    <w:p>
      <w:pPr>
        <w:pStyle w:val="17"/>
        <w:widowControl/>
        <w:spacing w:line="440" w:lineRule="exact"/>
        <w:rPr>
          <w:rFonts w:ascii="宋体" w:hAnsi="宋体" w:cs="宋体"/>
          <w:color w:val="auto"/>
          <w:highlight w:val="none"/>
        </w:rPr>
      </w:pPr>
      <w:r>
        <w:rPr>
          <w:rFonts w:hint="eastAsia" w:ascii="宋体" w:hAnsi="宋体" w:cs="宋体"/>
          <w:color w:val="auto"/>
          <w:highlight w:val="none"/>
        </w:rPr>
        <w:t>  根据招标编号为</w:t>
      </w:r>
      <w:r>
        <w:rPr>
          <w:rFonts w:hint="eastAsia" w:ascii="宋体" w:hAnsi="宋体" w:cs="宋体"/>
          <w:color w:val="auto"/>
          <w:highlight w:val="none"/>
          <w:u w:val="single"/>
        </w:rPr>
        <w:t>  </w:t>
      </w:r>
      <w:r>
        <w:rPr>
          <w:rFonts w:hint="eastAsia" w:ascii="宋体" w:hAnsi="宋体" w:cs="宋体"/>
          <w:color w:val="auto"/>
          <w:highlight w:val="none"/>
        </w:rPr>
        <w:t>的（以下简称：“本项目”）的招标结果，乙方为中标人。现经甲乙双方友好协商，就以下事项达成一致并签订本合同：</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1、下列合同文件是构成本合同不可分割的部分：</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1.1合同条款；</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1.2招标文件、乙方的投标文件；</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1.3其他文件或材料：□无。□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2、合同标的</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3、合同总金额</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3.1合同总金额为人民币大写：</w:t>
      </w:r>
      <w:r>
        <w:rPr>
          <w:rFonts w:hint="eastAsia" w:ascii="宋体" w:hAnsi="宋体" w:cs="宋体"/>
          <w:color w:val="auto"/>
          <w:highlight w:val="none"/>
          <w:u w:val="single"/>
        </w:rPr>
        <w:t>       </w:t>
      </w:r>
      <w:r>
        <w:rPr>
          <w:rFonts w:hint="eastAsia" w:ascii="宋体" w:hAnsi="宋体" w:cs="宋体"/>
          <w:color w:val="auto"/>
          <w:highlight w:val="none"/>
        </w:rPr>
        <w:t>元（￥</w:t>
      </w:r>
      <w:r>
        <w:rPr>
          <w:rFonts w:hint="eastAsia" w:ascii="宋体" w:hAnsi="宋体" w:cs="宋体"/>
          <w:color w:val="auto"/>
          <w:highlight w:val="none"/>
          <w:u w:val="single"/>
        </w:rPr>
        <w:t>        </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4、合同标的交付时间、地点和条件</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4.1</w:t>
      </w:r>
      <w:r>
        <w:rPr>
          <w:rFonts w:hint="eastAsia" w:ascii="宋体" w:hAnsi="宋体" w:cs="宋体"/>
          <w:color w:val="auto"/>
          <w:sz w:val="24"/>
          <w:highlight w:val="none"/>
        </w:rPr>
        <w:t>交货时间：</w:t>
      </w:r>
      <w:r>
        <w:rPr>
          <w:rFonts w:hint="eastAsia" w:ascii="宋体" w:hAnsi="宋体" w:cs="宋体"/>
          <w:color w:val="auto"/>
          <w:highlight w:val="none"/>
        </w:rPr>
        <w:t>；</w:t>
      </w:r>
    </w:p>
    <w:p>
      <w:pPr>
        <w:spacing w:line="400" w:lineRule="exact"/>
        <w:ind w:firstLine="420" w:firstLineChars="200"/>
        <w:rPr>
          <w:rFonts w:ascii="宋体" w:hAnsi="宋体" w:cs="宋体"/>
          <w:color w:val="auto"/>
          <w:sz w:val="24"/>
          <w:highlight w:val="none"/>
        </w:rPr>
      </w:pPr>
      <w:r>
        <w:rPr>
          <w:rFonts w:hint="eastAsia" w:ascii="宋体" w:hAnsi="宋体" w:cs="宋体"/>
          <w:color w:val="auto"/>
          <w:highlight w:val="none"/>
        </w:rPr>
        <w:t>4.2</w:t>
      </w:r>
      <w:r>
        <w:rPr>
          <w:rFonts w:hint="eastAsia" w:ascii="宋体" w:hAnsi="宋体" w:cs="宋体"/>
          <w:color w:val="auto"/>
          <w:sz w:val="24"/>
          <w:highlight w:val="none"/>
        </w:rPr>
        <w:t>交付地点</w:t>
      </w:r>
      <w:r>
        <w:rPr>
          <w:rFonts w:hint="eastAsia" w:ascii="宋体" w:hAnsi="宋体" w:cs="宋体"/>
          <w:color w:val="auto"/>
          <w:highlight w:val="none"/>
        </w:rPr>
        <w:t>：</w:t>
      </w:r>
      <w:r>
        <w:rPr>
          <w:rFonts w:hint="eastAsia" w:ascii="宋体" w:hAnsi="宋体" w:cs="宋体"/>
          <w:color w:val="auto"/>
          <w:sz w:val="24"/>
          <w:highlight w:val="none"/>
        </w:rPr>
        <w:t xml:space="preserve">；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4.3</w:t>
      </w:r>
      <w:r>
        <w:rPr>
          <w:rFonts w:hint="eastAsia" w:ascii="宋体" w:hAnsi="宋体" w:cs="宋体"/>
          <w:color w:val="auto"/>
          <w:sz w:val="24"/>
          <w:highlight w:val="none"/>
        </w:rPr>
        <w:t>交付条件</w:t>
      </w:r>
      <w:r>
        <w:rPr>
          <w:rFonts w:hint="eastAsia" w:ascii="宋体" w:hAnsi="宋体" w:cs="宋体"/>
          <w:color w:val="auto"/>
          <w:highlight w:val="none"/>
        </w:rPr>
        <w:t>：</w:t>
      </w:r>
      <w:r>
        <w:rPr>
          <w:rFonts w:hint="eastAsia" w:ascii="宋体" w:hAnsi="宋体" w:cs="宋体"/>
          <w:color w:val="auto"/>
          <w:sz w:val="24"/>
          <w:highlight w:val="none"/>
          <w:u w:val="single"/>
        </w:rPr>
        <w:t xml:space="preserve">严格按照招标文件要求交付            </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5、合同标的应符合招标文件、乙方投标文件的规定或约定，具体如下：</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7"/>
        <w:widowControl/>
        <w:spacing w:line="440" w:lineRule="exact"/>
        <w:ind w:firstLine="480"/>
        <w:rPr>
          <w:rFonts w:ascii="宋体" w:hAnsi="宋体" w:cs="宋体"/>
          <w:b/>
          <w:bCs/>
          <w:color w:val="auto"/>
          <w:highlight w:val="none"/>
        </w:rPr>
      </w:pPr>
      <w:r>
        <w:rPr>
          <w:rFonts w:hint="eastAsia" w:ascii="宋体" w:hAnsi="宋体" w:cs="宋体"/>
          <w:color w:val="auto"/>
          <w:highlight w:val="none"/>
        </w:rPr>
        <w:t>6、验收</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本项目是否邀请其他投标人参与验收：</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□不邀请。□邀请，具体如下：</w:t>
      </w:r>
      <w:r>
        <w:rPr>
          <w:rFonts w:hint="eastAsia" w:ascii="宋体" w:hAnsi="宋体" w:cs="宋体"/>
          <w:color w:val="auto"/>
          <w:highlight w:val="none"/>
          <w:u w:val="single"/>
        </w:rPr>
        <w:t>（按照招标文件规定填写）</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7、合同款项的支付应按照招标文件的规定进行，具体如下：</w:t>
      </w:r>
    </w:p>
    <w:tbl>
      <w:tblPr>
        <w:tblStyle w:val="21"/>
        <w:tblW w:w="846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7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支付期次说明（</w:t>
            </w:r>
            <w:r>
              <w:rPr>
                <w:rFonts w:hint="eastAsia" w:ascii="宋体" w:hAnsi="宋体" w:cs="宋体"/>
                <w:color w:val="auto"/>
                <w:sz w:val="24"/>
                <w:highlight w:val="none"/>
              </w:rPr>
              <w:t>资金申请期间，不计利息）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cs="宋体"/>
                <w:color w:val="auto"/>
                <w:sz w:val="24"/>
                <w:highlight w:val="none"/>
              </w:rPr>
            </w:pPr>
          </w:p>
        </w:tc>
      </w:tr>
    </w:tbl>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8、履约保证金</w:t>
      </w:r>
    </w:p>
    <w:p>
      <w:pPr>
        <w:spacing w:line="400" w:lineRule="exact"/>
        <w:ind w:firstLine="480" w:firstLineChars="200"/>
        <w:rPr>
          <w:rStyle w:val="25"/>
          <w:rFonts w:ascii="宋体" w:hAnsi="宋体" w:cs="宋体"/>
          <w:b w:val="0"/>
          <w:bCs/>
          <w:color w:val="auto"/>
          <w:sz w:val="24"/>
          <w:highlight w:val="none"/>
        </w:rPr>
      </w:pPr>
      <w:r>
        <w:rPr>
          <w:rFonts w:hint="eastAsia" w:ascii="宋体" w:hAnsi="宋体" w:cs="宋体"/>
          <w:color w:val="auto"/>
          <w:sz w:val="24"/>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9、合同有效期</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（按照实际情况编制填写，可以是表格或文字描述）</w:t>
      </w:r>
      <w:r>
        <w:rPr>
          <w:rFonts w:hint="eastAsia" w:ascii="宋体" w:hAnsi="宋体" w:cs="宋体"/>
          <w:color w:val="auto"/>
          <w:highlight w:val="none"/>
        </w:rPr>
        <w:t>。</w:t>
      </w:r>
    </w:p>
    <w:p>
      <w:pPr>
        <w:pStyle w:val="17"/>
        <w:widowControl/>
        <w:numPr>
          <w:ilvl w:val="0"/>
          <w:numId w:val="7"/>
        </w:numPr>
        <w:spacing w:line="440" w:lineRule="exact"/>
        <w:ind w:firstLine="480"/>
        <w:rPr>
          <w:rFonts w:ascii="宋体" w:hAnsi="宋体" w:cs="宋体"/>
          <w:color w:val="auto"/>
          <w:highlight w:val="none"/>
        </w:rPr>
      </w:pPr>
      <w:r>
        <w:rPr>
          <w:rFonts w:hint="eastAsia" w:ascii="宋体" w:hAnsi="宋体" w:cs="宋体"/>
          <w:color w:val="auto"/>
          <w:highlight w:val="none"/>
        </w:rPr>
        <w:t>违约责任</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11、知识产权</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12、解决争议的方法</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12.1甲、乙双方协商解决。</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12.2若协商解决不成，则通过下列途径之一解决：</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□提交仲裁委员会仲裁，具体如下：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□向人民法院提起诉讼，具体如下：</w:t>
      </w:r>
      <w:r>
        <w:rPr>
          <w:rFonts w:hint="eastAsia" w:ascii="宋体" w:hAnsi="宋体" w:cs="宋体"/>
          <w:color w:val="auto"/>
          <w:highlight w:val="none"/>
          <w:u w:val="single"/>
        </w:rPr>
        <w:t>（按照实际情况编制填写）</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13、不可抗力</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14、合同条款</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u w:val="single"/>
        </w:rPr>
        <w:t>（按照实际情况编制填写。招标文件第五章已有规定的，双方均不得变更或调整；招标文件第五章未作规定的，双方可通过友好协商进行约定）</w:t>
      </w:r>
      <w:r>
        <w:rPr>
          <w:rFonts w:hint="eastAsia" w:ascii="宋体" w:hAnsi="宋体" w:cs="宋体"/>
          <w:color w:val="auto"/>
          <w:highlight w:val="none"/>
        </w:rPr>
        <w:t>。</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15、其他约定</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15.1合同文件与本合同具有同等法律效力。</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15.2本合同未尽事宜，双方可另行补充。</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15.3合同生效：自签订之日起生效。</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15.4本合同一式</w:t>
      </w:r>
      <w:r>
        <w:rPr>
          <w:rFonts w:hint="eastAsia" w:ascii="宋体" w:hAnsi="宋体" w:cs="宋体"/>
          <w:color w:val="auto"/>
          <w:highlight w:val="none"/>
          <w:u w:val="single"/>
        </w:rPr>
        <w:t>（填写具体份数）</w:t>
      </w:r>
      <w:r>
        <w:rPr>
          <w:rFonts w:hint="eastAsia" w:ascii="宋体" w:hAnsi="宋体" w:cs="宋体"/>
          <w:color w:val="auto"/>
          <w:highlight w:val="none"/>
        </w:rPr>
        <w:t>份，经双方授权代表签字并盖章后生效。甲方、乙方各执</w:t>
      </w:r>
      <w:r>
        <w:rPr>
          <w:rFonts w:hint="eastAsia" w:ascii="宋体" w:hAnsi="宋体" w:cs="宋体"/>
          <w:color w:val="auto"/>
          <w:highlight w:val="none"/>
          <w:u w:val="single"/>
        </w:rPr>
        <w:t>（填写具体份数）</w:t>
      </w:r>
      <w:r>
        <w:rPr>
          <w:rFonts w:hint="eastAsia" w:ascii="宋体" w:hAnsi="宋体" w:cs="宋体"/>
          <w:color w:val="auto"/>
          <w:highlight w:val="none"/>
        </w:rPr>
        <w:t>份，送</w:t>
      </w:r>
      <w:r>
        <w:rPr>
          <w:rFonts w:hint="eastAsia" w:ascii="宋体" w:hAnsi="宋体" w:cs="宋体"/>
          <w:color w:val="auto"/>
          <w:highlight w:val="none"/>
          <w:u w:val="single"/>
        </w:rPr>
        <w:t>（填写需要备案的监管部门的全称）</w:t>
      </w:r>
      <w:r>
        <w:rPr>
          <w:rFonts w:hint="eastAsia" w:ascii="宋体" w:hAnsi="宋体" w:cs="宋体"/>
          <w:color w:val="auto"/>
          <w:highlight w:val="none"/>
        </w:rPr>
        <w:t>备案</w:t>
      </w:r>
      <w:r>
        <w:rPr>
          <w:rFonts w:hint="eastAsia" w:ascii="宋体" w:hAnsi="宋体" w:cs="宋体"/>
          <w:color w:val="auto"/>
          <w:highlight w:val="none"/>
          <w:u w:val="single"/>
        </w:rPr>
        <w:t>（填写具体份数）</w:t>
      </w:r>
      <w:r>
        <w:rPr>
          <w:rFonts w:hint="eastAsia" w:ascii="宋体" w:hAnsi="宋体" w:cs="宋体"/>
          <w:color w:val="auto"/>
          <w:highlight w:val="none"/>
        </w:rPr>
        <w:t>份，具有同等效力。</w:t>
      </w:r>
    </w:p>
    <w:p>
      <w:pPr>
        <w:pStyle w:val="17"/>
        <w:widowControl/>
        <w:spacing w:line="440" w:lineRule="exact"/>
        <w:ind w:firstLine="480"/>
        <w:rPr>
          <w:rFonts w:ascii="宋体" w:hAnsi="宋体" w:cs="宋体"/>
          <w:color w:val="auto"/>
          <w:highlight w:val="none"/>
        </w:rPr>
      </w:pPr>
      <w:r>
        <w:rPr>
          <w:rFonts w:hint="eastAsia" w:ascii="宋体" w:hAnsi="宋体" w:cs="宋体"/>
          <w:color w:val="auto"/>
          <w:highlight w:val="none"/>
        </w:rPr>
        <w:t>15.5其他：□无。□</w:t>
      </w:r>
      <w:r>
        <w:rPr>
          <w:rFonts w:hint="eastAsia" w:ascii="宋体" w:hAnsi="宋体" w:cs="宋体"/>
          <w:color w:val="auto"/>
          <w:highlight w:val="none"/>
          <w:u w:val="single"/>
        </w:rPr>
        <w:t>（按照实际情况编制填写需要增加的内容）</w:t>
      </w:r>
      <w:r>
        <w:rPr>
          <w:rFonts w:hint="eastAsia" w:ascii="宋体" w:hAnsi="宋体" w:cs="宋体"/>
          <w:color w:val="auto"/>
          <w:highlight w:val="none"/>
        </w:rPr>
        <w:t>。</w:t>
      </w:r>
    </w:p>
    <w:p>
      <w:pPr>
        <w:pStyle w:val="17"/>
        <w:widowControl/>
        <w:spacing w:line="440" w:lineRule="exact"/>
        <w:jc w:val="center"/>
        <w:rPr>
          <w:rFonts w:ascii="宋体" w:hAnsi="宋体" w:cs="宋体"/>
          <w:color w:val="auto"/>
          <w:highlight w:val="none"/>
        </w:rPr>
      </w:pPr>
      <w:r>
        <w:rPr>
          <w:rFonts w:hint="eastAsia" w:ascii="宋体" w:hAnsi="宋体" w:cs="宋体"/>
          <w:color w:val="auto"/>
          <w:highlight w:val="none"/>
        </w:rPr>
        <w:t>（以下无正文）</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甲方：                乙方：</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住所：                住所：</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单位负责人：              单位负责人：</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委托代理人：             委托代理人：</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联系方法：              联系方法：</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开户银行：              开户银行：</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账号：                  账号：</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签订地点：</w:t>
      </w:r>
      <w:r>
        <w:rPr>
          <w:rFonts w:hint="eastAsia" w:ascii="宋体" w:hAnsi="宋体" w:cs="宋体"/>
          <w:color w:val="auto"/>
          <w:highlight w:val="none"/>
          <w:u w:val="single"/>
        </w:rPr>
        <w:t>                </w:t>
      </w:r>
    </w:p>
    <w:p>
      <w:pPr>
        <w:pStyle w:val="17"/>
        <w:widowControl/>
        <w:spacing w:line="440" w:lineRule="exact"/>
        <w:rPr>
          <w:rFonts w:ascii="宋体" w:hAnsi="宋体" w:cs="宋体"/>
          <w:color w:val="auto"/>
          <w:highlight w:val="none"/>
        </w:rPr>
      </w:pPr>
      <w:r>
        <w:rPr>
          <w:rFonts w:hint="eastAsia" w:ascii="宋体" w:hAnsi="宋体" w:cs="宋体"/>
          <w:color w:val="auto"/>
          <w:highlight w:val="none"/>
        </w:rPr>
        <w:t>签订日期：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pacing w:line="440" w:lineRule="exact"/>
        <w:ind w:left="315"/>
        <w:rPr>
          <w:rFonts w:ascii="宋体" w:hAnsi="宋体" w:cs="宋体"/>
          <w:color w:val="auto"/>
          <w:sz w:val="24"/>
          <w:highlight w:val="none"/>
        </w:rPr>
      </w:pPr>
    </w:p>
    <w:p>
      <w:pPr>
        <w:spacing w:line="440" w:lineRule="exact"/>
        <w:ind w:left="315"/>
        <w:jc w:val="center"/>
        <w:rPr>
          <w:rFonts w:ascii="宋体" w:hAnsi="宋体" w:cs="宋体"/>
          <w:b/>
          <w:bCs/>
          <w:color w:val="auto"/>
          <w:kern w:val="0"/>
          <w:sz w:val="24"/>
          <w:highlight w:val="none"/>
        </w:rPr>
      </w:pPr>
    </w:p>
    <w:p>
      <w:pPr>
        <w:spacing w:line="440" w:lineRule="exact"/>
        <w:ind w:left="315"/>
        <w:jc w:val="center"/>
        <w:rPr>
          <w:rFonts w:ascii="宋体" w:hAnsi="宋体" w:cs="宋体"/>
          <w:b/>
          <w:bCs/>
          <w:color w:val="auto"/>
          <w:kern w:val="0"/>
          <w:sz w:val="24"/>
          <w:highlight w:val="none"/>
        </w:rPr>
      </w:pPr>
    </w:p>
    <w:p>
      <w:pPr>
        <w:pStyle w:val="20"/>
        <w:ind w:left="420" w:firstLine="482"/>
        <w:rPr>
          <w:rFonts w:ascii="宋体" w:hAnsi="宋体" w:cs="宋体"/>
          <w:b/>
          <w:bCs/>
          <w:color w:val="auto"/>
          <w:highlight w:val="none"/>
        </w:rPr>
      </w:pPr>
    </w:p>
    <w:p>
      <w:pPr>
        <w:rPr>
          <w:rFonts w:ascii="宋体" w:hAnsi="宋体" w:cs="宋体"/>
          <w:b/>
          <w:bCs/>
          <w:color w:val="auto"/>
          <w:highlight w:val="none"/>
        </w:rPr>
      </w:pPr>
      <w:r>
        <w:rPr>
          <w:rFonts w:hint="eastAsia" w:ascii="宋体" w:hAnsi="宋体" w:cs="宋体"/>
          <w:b/>
          <w:bCs/>
          <w:color w:val="auto"/>
          <w:highlight w:val="none"/>
        </w:rPr>
        <w:br w:type="page"/>
      </w:r>
    </w:p>
    <w:p>
      <w:pPr>
        <w:pStyle w:val="20"/>
        <w:ind w:left="420" w:firstLine="622"/>
        <w:jc w:val="center"/>
        <w:rPr>
          <w:rFonts w:ascii="宋体" w:hAnsi="宋体" w:cs="宋体"/>
          <w:color w:val="auto"/>
          <w:highlight w:val="none"/>
        </w:rPr>
      </w:pPr>
      <w:r>
        <w:rPr>
          <w:rStyle w:val="25"/>
          <w:rFonts w:hint="eastAsia" w:ascii="宋体" w:hAnsi="宋体" w:cs="宋体"/>
          <w:color w:val="auto"/>
          <w:sz w:val="31"/>
          <w:szCs w:val="31"/>
          <w:highlight w:val="none"/>
        </w:rPr>
        <w:t>第七章   投标文件格式</w:t>
      </w:r>
    </w:p>
    <w:p>
      <w:pPr>
        <w:pStyle w:val="17"/>
        <w:widowControl/>
        <w:spacing w:after="150"/>
        <w:jc w:val="center"/>
        <w:rPr>
          <w:rFonts w:ascii="宋体" w:hAnsi="宋体" w:cs="宋体"/>
          <w:color w:val="auto"/>
          <w:highlight w:val="none"/>
        </w:rPr>
      </w:pPr>
      <w:r>
        <w:rPr>
          <w:rStyle w:val="25"/>
          <w:rFonts w:hint="eastAsia" w:ascii="宋体" w:hAnsi="宋体" w:cs="宋体"/>
          <w:color w:val="auto"/>
          <w:highlight w:val="none"/>
        </w:rPr>
        <w:t>编制说明</w:t>
      </w:r>
    </w:p>
    <w:p>
      <w:pPr>
        <w:pStyle w:val="17"/>
        <w:widowControl/>
        <w:spacing w:after="150"/>
        <w:rPr>
          <w:rFonts w:ascii="宋体" w:hAnsi="宋体" w:cs="宋体"/>
          <w:color w:val="auto"/>
          <w:highlight w:val="none"/>
        </w:rPr>
      </w:pPr>
      <w:r>
        <w:rPr>
          <w:rFonts w:hint="eastAsia" w:ascii="宋体" w:hAnsi="宋体" w:cs="宋体"/>
          <w:color w:val="auto"/>
          <w:highlight w:val="none"/>
        </w:rPr>
        <w:t> 1、除招标文件另有规定外，本章中：</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1.1涉及投标人的</w:t>
      </w:r>
      <w:r>
        <w:rPr>
          <w:rStyle w:val="25"/>
          <w:rFonts w:hint="eastAsia" w:ascii="宋体" w:hAnsi="宋体" w:cs="宋体"/>
          <w:color w:val="auto"/>
          <w:highlight w:val="none"/>
        </w:rPr>
        <w:t>“全称”</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5"/>
          <w:rFonts w:hint="eastAsia" w:ascii="宋体" w:hAnsi="宋体" w:cs="宋体"/>
          <w:color w:val="auto"/>
          <w:highlight w:val="none"/>
        </w:rPr>
        <w:t>投标人的全称</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5"/>
          <w:rFonts w:hint="eastAsia" w:ascii="宋体" w:hAnsi="宋体" w:cs="宋体"/>
          <w:color w:val="auto"/>
          <w:highlight w:val="none"/>
        </w:rPr>
        <w:t>牵头方的全称</w:t>
      </w:r>
      <w:r>
        <w:rPr>
          <w:rFonts w:hint="eastAsia" w:ascii="宋体" w:hAnsi="宋体" w:cs="宋体"/>
          <w:color w:val="auto"/>
          <w:highlight w:val="none"/>
        </w:rPr>
        <w:t>并加注</w:t>
      </w:r>
      <w:r>
        <w:rPr>
          <w:rStyle w:val="25"/>
          <w:rFonts w:hint="eastAsia" w:ascii="宋体" w:hAnsi="宋体" w:cs="宋体"/>
          <w:color w:val="auto"/>
          <w:highlight w:val="none"/>
        </w:rPr>
        <w:t>（联合体牵头方）</w:t>
      </w:r>
      <w:r>
        <w:rPr>
          <w:rFonts w:hint="eastAsia" w:ascii="宋体" w:hAnsi="宋体" w:cs="宋体"/>
          <w:color w:val="auto"/>
          <w:highlight w:val="none"/>
        </w:rPr>
        <w:t>，即应表述为：</w:t>
      </w:r>
      <w:r>
        <w:rPr>
          <w:rStyle w:val="25"/>
          <w:rFonts w:hint="eastAsia" w:ascii="宋体" w:hAnsi="宋体" w:cs="宋体"/>
          <w:color w:val="auto"/>
          <w:highlight w:val="none"/>
        </w:rPr>
        <w:t>“牵头方的全称（联合体牵头方）”</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1.2涉及投标人</w:t>
      </w:r>
      <w:r>
        <w:rPr>
          <w:rStyle w:val="25"/>
          <w:rFonts w:hint="eastAsia" w:ascii="宋体" w:hAnsi="宋体" w:cs="宋体"/>
          <w:color w:val="auto"/>
          <w:highlight w:val="none"/>
        </w:rPr>
        <w:t>“加盖单位公章”</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w:t>
      </w:r>
      <w:r>
        <w:rPr>
          <w:rStyle w:val="25"/>
          <w:rFonts w:hint="eastAsia" w:ascii="宋体" w:hAnsi="宋体" w:cs="宋体"/>
          <w:color w:val="auto"/>
          <w:highlight w:val="none"/>
        </w:rPr>
        <w:t>加盖投标人的单位公章</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w:t>
      </w:r>
      <w:r>
        <w:rPr>
          <w:rStyle w:val="25"/>
          <w:rFonts w:hint="eastAsia" w:ascii="宋体" w:hAnsi="宋体" w:cs="宋体"/>
          <w:color w:val="auto"/>
          <w:highlight w:val="none"/>
        </w:rPr>
        <w:t>加盖联合体牵头方的单位公章</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1.3涉及</w:t>
      </w:r>
      <w:r>
        <w:rPr>
          <w:rStyle w:val="25"/>
          <w:rFonts w:hint="eastAsia" w:ascii="宋体" w:hAnsi="宋体" w:cs="宋体"/>
          <w:color w:val="auto"/>
          <w:highlight w:val="none"/>
        </w:rPr>
        <w:t>“投标人代表签字”</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（1）不接受联合体投标的，指由</w:t>
      </w:r>
      <w:r>
        <w:rPr>
          <w:rStyle w:val="25"/>
          <w:rFonts w:hint="eastAsia" w:ascii="宋体" w:hAnsi="宋体" w:cs="宋体"/>
          <w:color w:val="auto"/>
          <w:highlight w:val="none"/>
        </w:rPr>
        <w:t>投标人的单位负责人或其授权的委托代理人签字</w:t>
      </w:r>
      <w:r>
        <w:rPr>
          <w:rFonts w:hint="eastAsia" w:ascii="宋体" w:hAnsi="宋体" w:cs="宋体"/>
          <w:color w:val="auto"/>
          <w:highlight w:val="none"/>
        </w:rPr>
        <w:t>，由委托代理人签字的，应提供“单位负责人授权书”。</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（2）接受联合体投标且投标人为联合体的，指由</w:t>
      </w:r>
      <w:r>
        <w:rPr>
          <w:rStyle w:val="25"/>
          <w:rFonts w:hint="eastAsia" w:ascii="宋体" w:hAnsi="宋体" w:cs="宋体"/>
          <w:color w:val="auto"/>
          <w:highlight w:val="none"/>
        </w:rPr>
        <w:t>联合体牵头方的单位负责人或其授权的委托代理人签字</w:t>
      </w:r>
      <w:r>
        <w:rPr>
          <w:rFonts w:hint="eastAsia" w:ascii="宋体" w:hAnsi="宋体" w:cs="宋体"/>
          <w:color w:val="auto"/>
          <w:highlight w:val="none"/>
        </w:rPr>
        <w:t>，由委托代理人签字的，应提供“单位负责人授权书”。</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1.4</w:t>
      </w:r>
      <w:r>
        <w:rPr>
          <w:rStyle w:val="25"/>
          <w:rFonts w:hint="eastAsia" w:ascii="宋体" w:hAnsi="宋体" w:cs="宋体"/>
          <w:color w:val="auto"/>
          <w:highlight w:val="none"/>
        </w:rPr>
        <w:t>“其他组织”</w:t>
      </w:r>
      <w:r>
        <w:rPr>
          <w:rFonts w:hint="eastAsia" w:ascii="宋体" w:hAnsi="宋体" w:cs="宋体"/>
          <w:color w:val="auto"/>
          <w:highlight w:val="none"/>
        </w:rPr>
        <w:t>指合伙企业、非企业专业服务机构、个体工商户、农村承包经营户等。</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1.5</w:t>
      </w:r>
      <w:r>
        <w:rPr>
          <w:rStyle w:val="25"/>
          <w:rFonts w:hint="eastAsia" w:ascii="宋体" w:hAnsi="宋体" w:cs="宋体"/>
          <w:color w:val="auto"/>
          <w:highlight w:val="none"/>
        </w:rPr>
        <w:t>“自然人”</w:t>
      </w:r>
      <w:r>
        <w:rPr>
          <w:rFonts w:hint="eastAsia" w:ascii="宋体" w:hAnsi="宋体" w:cs="宋体"/>
          <w:color w:val="auto"/>
          <w:highlight w:val="none"/>
        </w:rPr>
        <w:t>指具有完全民事行为能力、能够承担民事责任和义务的中国公民。</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2、除招标文件另有规定外，本章中</w:t>
      </w:r>
      <w:r>
        <w:rPr>
          <w:rStyle w:val="25"/>
          <w:rFonts w:hint="eastAsia" w:ascii="宋体" w:hAnsi="宋体" w:cs="宋体"/>
          <w:color w:val="auto"/>
          <w:highlight w:val="none"/>
        </w:rPr>
        <w:t>“投标人的资格及资信证明文件”</w:t>
      </w:r>
      <w:r>
        <w:rPr>
          <w:rFonts w:hint="eastAsia" w:ascii="宋体" w:hAnsi="宋体" w:cs="宋体"/>
          <w:color w:val="auto"/>
          <w:highlight w:val="none"/>
        </w:rPr>
        <w:t>：</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2.1投标人应按照招标文件第四章第1.3条第（2）款规定及本章规定进行编制，如有必要，可增加附页，附页作为资格及资信文件的组成部分。</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2.2接受联合体投标且投标人为联合体的，联合体中的各方均应按照本章第2.1条规定提交相应的全部资料。</w:t>
      </w:r>
    </w:p>
    <w:p>
      <w:pPr>
        <w:pStyle w:val="17"/>
        <w:widowControl/>
        <w:spacing w:after="150"/>
        <w:ind w:firstLine="480"/>
        <w:rPr>
          <w:rFonts w:ascii="宋体" w:hAnsi="宋体" w:cs="宋体"/>
          <w:color w:val="auto"/>
          <w:highlight w:val="none"/>
        </w:rPr>
      </w:pPr>
      <w:r>
        <w:rPr>
          <w:rFonts w:hint="eastAsia" w:ascii="宋体" w:hAnsi="宋体" w:cs="宋体"/>
          <w:color w:val="auto"/>
          <w:highlight w:val="none"/>
        </w:rPr>
        <w:t>3、投标人对投标文件的索引应编制页码。</w:t>
      </w:r>
    </w:p>
    <w:p>
      <w:pPr>
        <w:widowControl/>
        <w:spacing w:before="100" w:beforeAutospacing="1" w:after="100" w:afterAutospacing="1"/>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4、本章提供格式仅供参考，投标人应根据自身实际情况制作投标文件。</w:t>
      </w:r>
    </w:p>
    <w:p>
      <w:pPr>
        <w:widowControl/>
        <w:spacing w:before="75" w:after="75"/>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80"/>
        <w:jc w:val="left"/>
        <w:rPr>
          <w:rFonts w:ascii="宋体" w:hAnsi="宋体" w:cs="宋体"/>
          <w:color w:val="auto"/>
          <w:kern w:val="0"/>
          <w:sz w:val="24"/>
          <w:highlight w:val="none"/>
        </w:rPr>
      </w:pPr>
      <w:r>
        <w:rPr>
          <w:rFonts w:hint="eastAsia" w:ascii="宋体" w:hAnsi="宋体" w:cs="宋体"/>
          <w:b/>
          <w:bCs/>
          <w:color w:val="auto"/>
          <w:kern w:val="0"/>
          <w:sz w:val="29"/>
          <w:highlight w:val="none"/>
        </w:rPr>
        <w:t>封面格式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36"/>
          <w:szCs w:val="36"/>
          <w:highlight w:val="none"/>
        </w:rPr>
        <w:t> </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line="360" w:lineRule="auto"/>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（资格及资信证明部分）</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line="360" w:lineRule="auto"/>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line="360" w:lineRule="auto"/>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0"/>
        <w:ind w:left="420" w:firstLine="480"/>
        <w:rPr>
          <w:color w:val="auto"/>
          <w:highlight w:val="none"/>
        </w:rPr>
      </w:pPr>
    </w:p>
    <w:p>
      <w:pPr>
        <w:widowControl/>
        <w:spacing w:before="75" w:after="75"/>
        <w:jc w:val="center"/>
        <w:rPr>
          <w:rFonts w:ascii="宋体" w:hAnsi="宋体" w:cs="宋体"/>
          <w:color w:val="auto"/>
          <w:kern w:val="0"/>
          <w:sz w:val="30"/>
          <w:szCs w:val="30"/>
          <w:highlight w:val="none"/>
        </w:rPr>
      </w:pPr>
      <w:r>
        <w:rPr>
          <w:rFonts w:hint="eastAsia" w:ascii="宋体" w:hAnsi="宋体" w:cs="宋体"/>
          <w:color w:val="auto"/>
          <w:kern w:val="0"/>
          <w:sz w:val="30"/>
          <w:szCs w:val="30"/>
          <w:highlight w:val="none"/>
        </w:rPr>
        <w:br w:type="textWrapping"/>
      </w:r>
      <w:r>
        <w:rPr>
          <w:rFonts w:hint="eastAsia" w:ascii="宋体" w:hAnsi="宋体" w:cs="宋体"/>
          <w:b/>
          <w:bCs/>
          <w:color w:val="auto"/>
          <w:kern w:val="0"/>
          <w:sz w:val="30"/>
          <w:szCs w:val="30"/>
          <w:highlight w:val="none"/>
        </w:rPr>
        <w:t>索 引</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一、投标函</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二、投标人的资格及资信证明文件</w:t>
      </w:r>
    </w:p>
    <w:p>
      <w:pPr>
        <w:widowControl/>
        <w:spacing w:before="75" w:after="75" w:line="360" w:lineRule="auto"/>
        <w:jc w:val="left"/>
        <w:rPr>
          <w:rFonts w:ascii="宋体" w:hAnsi="宋体" w:cs="宋体"/>
          <w:color w:val="auto"/>
          <w:kern w:val="0"/>
          <w:sz w:val="24"/>
          <w:highlight w:val="none"/>
        </w:rPr>
      </w:pPr>
      <w:r>
        <w:rPr>
          <w:rFonts w:hint="eastAsia" w:ascii="宋体" w:hAnsi="宋体" w:cs="宋体"/>
          <w:color w:val="auto"/>
          <w:kern w:val="0"/>
          <w:sz w:val="29"/>
          <w:szCs w:val="29"/>
          <w:highlight w:val="none"/>
        </w:rPr>
        <w:t>三、投标保证金</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资格及资信证明部分中不得出现报价部分的全部或部分的投标报价信息（或组成资料），否则</w:t>
      </w:r>
      <w:r>
        <w:rPr>
          <w:rFonts w:hint="eastAsia" w:ascii="宋体" w:hAnsi="宋体" w:cs="宋体"/>
          <w:b/>
          <w:bCs/>
          <w:color w:val="auto"/>
          <w:kern w:val="0"/>
          <w:szCs w:val="21"/>
          <w:highlight w:val="none"/>
        </w:rPr>
        <w:t>资格审查不合格</w:t>
      </w:r>
      <w:r>
        <w:rPr>
          <w:rFonts w:hint="eastAsia" w:ascii="宋体" w:hAnsi="宋体" w:cs="宋体"/>
          <w:color w:val="auto"/>
          <w:kern w:val="0"/>
          <w:szCs w:val="21"/>
          <w:highlight w:val="none"/>
        </w:rPr>
        <w:t>。（联合体协议及分包意向协议中的比例规定，不适用本条款）</w:t>
      </w: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left"/>
        <w:rPr>
          <w:rFonts w:ascii="宋体" w:hAnsi="宋体" w:cs="宋体"/>
          <w:color w:val="auto"/>
          <w:kern w:val="0"/>
          <w:szCs w:val="21"/>
          <w:highlight w:val="none"/>
        </w:rPr>
      </w:pP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一、投标函</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w:t>
      </w:r>
      <w:r>
        <w:rPr>
          <w:rFonts w:hint="eastAsia" w:ascii="宋体" w:hAnsi="宋体" w:cs="宋体"/>
          <w:color w:val="auto"/>
          <w:kern w:val="0"/>
          <w:sz w:val="24"/>
          <w:highlight w:val="none"/>
        </w:rPr>
        <w:t>          </w:t>
      </w:r>
    </w:p>
    <w:p>
      <w:pPr>
        <w:widowControl/>
        <w:spacing w:before="100" w:beforeAutospacing="1" w:after="100" w:afterAutospacing="1"/>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兹收到贵单位关于（填写“项目名称”）项目（项目编号：_______）的投标邀请，本投标人代表（填写“全名”）已获得我方正式授权并代表投标人（填写“全称”）参加投标，并提交招标文件规定份数的投标文件正本和副本。我方提交的全部投标文件均由下述部分组成：</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（1）资格及资信证明部分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①投标函</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②投标人的资格及资信证明文件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③投标保证金</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（2）报价部分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①开标一览表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③招标文件规定的价格扣除证明材料（若有）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④招标文件规定的加分证明材料（若有）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（3）技术商务部分</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①标的说明一览表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②技术和服务要求响应表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③商务条件响应表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④投标人提交的其他资料（若有）</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根据本函，本投标人代表宣布我方保证遵守招标文件的全部规定，同时：</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b/>
          <w:bCs/>
          <w:color w:val="auto"/>
          <w:kern w:val="0"/>
          <w:sz w:val="24"/>
          <w:highlight w:val="none"/>
        </w:rPr>
        <w:t>确认：</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1.1</w:t>
      </w:r>
      <w:r>
        <w:rPr>
          <w:rFonts w:hint="eastAsia" w:ascii="宋体" w:hAnsi="宋体" w:cs="宋体"/>
          <w:color w:val="auto"/>
          <w:kern w:val="0"/>
          <w:szCs w:val="21"/>
          <w:highlight w:val="none"/>
        </w:rPr>
        <w:t>所投采购包</w:t>
      </w:r>
      <w:r>
        <w:rPr>
          <w:rFonts w:hint="eastAsia" w:ascii="宋体" w:hAnsi="宋体" w:cs="宋体"/>
          <w:color w:val="auto"/>
          <w:kern w:val="0"/>
          <w:sz w:val="24"/>
          <w:highlight w:val="none"/>
        </w:rPr>
        <w:t>的投标报价详见“开标一览表”及“投标分项报价表”。</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1.2我方已详细审查全部招标文件[包括但不限于：有关附件（若有）、澄清或修改（若有）等]，并自行承担因对全部招标文件理解不正确或误解而产生的相应后果和责任。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b/>
          <w:bCs/>
          <w:color w:val="auto"/>
          <w:kern w:val="0"/>
          <w:sz w:val="24"/>
          <w:highlight w:val="none"/>
        </w:rPr>
        <w:t>承诺及声明：</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2.1我方具备招标文件第一章载明的“投标人的资格要求”且符合招标文件第三章载明的“二、投标人”之规定，否则</w:t>
      </w:r>
      <w:r>
        <w:rPr>
          <w:rFonts w:hint="eastAsia" w:ascii="宋体" w:hAnsi="宋体" w:cs="宋体"/>
          <w:b/>
          <w:bCs/>
          <w:color w:val="auto"/>
          <w:kern w:val="0"/>
          <w:sz w:val="24"/>
          <w:highlight w:val="none"/>
        </w:rPr>
        <w:t>投标无效。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2.2我方提交的投标文件各组成部分的全部内容及资料是不可割离且真实、有效、准确、完整和不具有任何误导性的，否则产生不利后果由我方承担责任。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2.3我方提供的标的价格不高于同期市场价格，否则产生不利后果由我方承担责任。</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2.4投标保证金：若出现招标文件第三章规定的不予退还情形，同意贵单位不予退还。</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2.5投标有效期：按照招标文件第三章规定执行，并在招标文件第二章载明的期限内保持有效。</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2.6若中标，将按照招标文件、我方投标文件及政府采购合同履行责任和义务。</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2.7若贵单位要求，我方同意提供与本项目投标有关的一切资料、数据或文件，并完全理解贵单位不一定要接受最低的投标报价或收到的任何投标。</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2.8我方承诺投标文件所提供的全部资料真实可靠，并接受评标委员会、采购人、采购代理机构、监管部门进一步审查其中任何资料真实性的要求。</w:t>
      </w:r>
    </w:p>
    <w:p>
      <w:pPr>
        <w:widowControl/>
        <w:spacing w:before="75" w:after="75"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2.9除招标文件另有规定外，对于贵单位按照下述联络方式发出的任何信息或通知，均视为我方已收悉前述信息或通知的全部内容：</w:t>
      </w:r>
      <w:r>
        <w:rPr>
          <w:rFonts w:hint="eastAsia" w:ascii="宋体" w:hAnsi="宋体" w:cs="宋体"/>
          <w:color w:val="auto"/>
          <w:kern w:val="0"/>
          <w:szCs w:val="21"/>
          <w:highlight w:val="none"/>
        </w:rPr>
        <w:br w:type="textWrapping"/>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通信地址：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邮编：                 </w:t>
      </w:r>
    </w:p>
    <w:p>
      <w:pPr>
        <w:widowControl/>
        <w:spacing w:before="75" w:after="75"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联系方法：（包括但不限于：联系人、联系电话、手机、传真、电子邮箱等）</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br w:type="textWrapping"/>
      </w: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p>
    <w:p>
      <w:pPr>
        <w:pStyle w:val="2"/>
        <w:rPr>
          <w:color w:val="auto"/>
          <w:highlight w:val="none"/>
        </w:rPr>
      </w:pPr>
    </w:p>
    <w:p>
      <w:pPr>
        <w:widowControl/>
        <w:spacing w:before="75" w:after="75"/>
        <w:jc w:val="center"/>
        <w:rPr>
          <w:rFonts w:ascii="宋体" w:hAnsi="宋体" w:cs="宋体"/>
          <w:color w:val="auto"/>
          <w:kern w:val="0"/>
          <w:sz w:val="24"/>
          <w:highlight w:val="none"/>
        </w:rPr>
      </w:pP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二、投标人的资格及资信证明文件</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center"/>
        <w:rPr>
          <w:rFonts w:ascii="宋体" w:hAnsi="宋体" w:cs="宋体"/>
          <w:color w:val="auto"/>
          <w:kern w:val="0"/>
          <w:sz w:val="24"/>
          <w:highlight w:val="none"/>
        </w:rPr>
      </w:pPr>
      <w:r>
        <w:rPr>
          <w:rFonts w:hint="eastAsia" w:ascii="宋体" w:hAnsi="宋体" w:cs="宋体"/>
          <w:b/>
          <w:bCs/>
          <w:color w:val="auto"/>
          <w:kern w:val="0"/>
          <w:sz w:val="24"/>
          <w:highlight w:val="none"/>
        </w:rPr>
        <w:t>二-1单位授权书（若有）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我方的单位负责人</w:t>
      </w:r>
      <w:r>
        <w:rPr>
          <w:rFonts w:hint="eastAsia" w:ascii="宋体" w:hAnsi="宋体" w:cs="宋体"/>
          <w:color w:val="auto"/>
          <w:kern w:val="0"/>
          <w:sz w:val="24"/>
          <w:highlight w:val="none"/>
          <w:u w:val="single"/>
        </w:rPr>
        <w:t>（填写“单位负责人全名”）</w:t>
      </w:r>
      <w:r>
        <w:rPr>
          <w:rFonts w:hint="eastAsia" w:ascii="宋体" w:hAnsi="宋体" w:cs="宋体"/>
          <w:color w:val="auto"/>
          <w:kern w:val="0"/>
          <w:sz w:val="24"/>
          <w:highlight w:val="none"/>
        </w:rPr>
        <w:t>授权</w:t>
      </w:r>
      <w:r>
        <w:rPr>
          <w:rFonts w:hint="eastAsia" w:ascii="宋体" w:hAnsi="宋体" w:cs="宋体"/>
          <w:color w:val="auto"/>
          <w:kern w:val="0"/>
          <w:sz w:val="24"/>
          <w:highlight w:val="none"/>
          <w:u w:val="single"/>
        </w:rPr>
        <w:t>（填写“投标人代表全名”）</w:t>
      </w:r>
      <w:r>
        <w:rPr>
          <w:rFonts w:hint="eastAsia" w:ascii="宋体" w:hAnsi="宋体" w:cs="宋体"/>
          <w:color w:val="auto"/>
          <w:kern w:val="0"/>
          <w:sz w:val="24"/>
          <w:highlight w:val="none"/>
        </w:rPr>
        <w:t>为投标人代表，代表我方参加</w:t>
      </w:r>
      <w:r>
        <w:rPr>
          <w:rFonts w:hint="eastAsia" w:ascii="宋体" w:hAnsi="宋体" w:cs="宋体"/>
          <w:color w:val="auto"/>
          <w:kern w:val="0"/>
          <w:sz w:val="24"/>
          <w:highlight w:val="none"/>
          <w:u w:val="single"/>
        </w:rPr>
        <w:t>（填写“项目名称”）</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line="40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投标人代表无转委权。特此授权。</w:t>
      </w:r>
    </w:p>
    <w:p>
      <w:pPr>
        <w:widowControl/>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（以下无正文）</w:t>
      </w:r>
    </w:p>
    <w:p>
      <w:pPr>
        <w:widowControl/>
        <w:spacing w:before="75" w:after="75"/>
        <w:ind w:firstLine="420"/>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单位负责人：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手机：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身份证号：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手机：              </w:t>
      </w:r>
    </w:p>
    <w:p>
      <w:pPr>
        <w:widowControl/>
        <w:spacing w:before="75" w:after="75"/>
        <w:jc w:val="left"/>
        <w:rPr>
          <w:rFonts w:ascii="宋体" w:hAnsi="宋体" w:cs="宋体"/>
          <w:color w:val="auto"/>
          <w:kern w:val="0"/>
          <w:sz w:val="24"/>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投标人：（全称并加盖单位公章）</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单位法定代表人签字或盖章：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接受授权方</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投标人代表签字：                   </w:t>
      </w:r>
    </w:p>
    <w:p>
      <w:pPr>
        <w:widowControl/>
        <w:spacing w:before="75" w:after="75"/>
        <w:jc w:val="right"/>
        <w:rPr>
          <w:rFonts w:ascii="宋体" w:hAnsi="宋体" w:cs="宋体"/>
          <w:color w:val="auto"/>
          <w:kern w:val="0"/>
          <w:sz w:val="24"/>
          <w:highlight w:val="none"/>
        </w:rPr>
      </w:pPr>
      <w:r>
        <w:rPr>
          <w:rFonts w:hint="eastAsia" w:ascii="宋体" w:hAnsi="宋体" w:cs="宋体"/>
          <w:color w:val="auto"/>
          <w:kern w:val="0"/>
          <w:sz w:val="24"/>
          <w:highlight w:val="none"/>
        </w:rPr>
        <w:t>签署日期：    年   月   日</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附：单位负责人、投标人代表的身份证正反面复印件</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bottom w:val="outset" w:color="auto" w:sz="6" w:space="0"/>
            </w:tcBorders>
            <w:tcMar>
              <w:top w:w="0" w:type="dxa"/>
              <w:left w:w="105" w:type="dxa"/>
              <w:bottom w:w="0" w:type="dxa"/>
              <w:right w:w="105" w:type="dxa"/>
            </w:tcMar>
            <w:vAlign w:val="center"/>
          </w:tcPr>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要求：真实有效且内容完整、清晰、整洁。</w:t>
            </w:r>
          </w:p>
          <w:p>
            <w:pPr>
              <w:widowControl/>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tc>
      </w:tr>
    </w:tbl>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※注意：</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1、企业（银行、保险、石油石化、电力、电信等行业除外）、事业单位和社会团体法人的“单位负责人”指法定代表人，即与实际提交的“营业执照等证明文件”载明的一致。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4、投标人为自然人的，可不填写本授权书。</w:t>
      </w:r>
    </w:p>
    <w:p>
      <w:pPr>
        <w:widowControl/>
        <w:spacing w:line="360" w:lineRule="auto"/>
        <w:jc w:val="left"/>
        <w:rPr>
          <w:rFonts w:ascii="宋体" w:hAnsi="宋体" w:cs="宋体"/>
          <w:b/>
          <w:bCs/>
          <w:color w:val="auto"/>
          <w:kern w:val="0"/>
          <w:sz w:val="24"/>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Style w:val="25"/>
          <w:rFonts w:ascii="宋体" w:hAnsi="宋体" w:cs="宋体"/>
          <w:color w:val="auto"/>
          <w:sz w:val="22"/>
          <w:szCs w:val="22"/>
          <w:highlight w:val="none"/>
        </w:rPr>
      </w:pPr>
    </w:p>
    <w:p>
      <w:pPr>
        <w:rPr>
          <w:rStyle w:val="25"/>
          <w:rFonts w:ascii="宋体" w:hAnsi="宋体" w:cs="宋体"/>
          <w:color w:val="auto"/>
          <w:sz w:val="22"/>
          <w:szCs w:val="22"/>
          <w:highlight w:val="none"/>
        </w:rPr>
      </w:pPr>
    </w:p>
    <w:p>
      <w:pPr>
        <w:pStyle w:val="20"/>
        <w:ind w:left="420" w:firstLine="480"/>
        <w:rPr>
          <w:color w:val="auto"/>
          <w:highlight w:val="none"/>
        </w:rPr>
      </w:pPr>
    </w:p>
    <w:p>
      <w:pPr>
        <w:pStyle w:val="17"/>
        <w:widowControl/>
        <w:spacing w:line="480" w:lineRule="exact"/>
        <w:jc w:val="center"/>
        <w:rPr>
          <w:rStyle w:val="25"/>
          <w:rFonts w:ascii="宋体" w:hAnsi="宋体" w:cs="宋体"/>
          <w:color w:val="auto"/>
          <w:sz w:val="22"/>
          <w:szCs w:val="22"/>
          <w:highlight w:val="none"/>
        </w:rPr>
      </w:pPr>
    </w:p>
    <w:p>
      <w:pPr>
        <w:pStyle w:val="17"/>
        <w:widowControl/>
        <w:spacing w:line="480" w:lineRule="exact"/>
        <w:jc w:val="center"/>
        <w:rPr>
          <w:rFonts w:ascii="宋体" w:hAnsi="宋体" w:cs="宋体"/>
          <w:color w:val="auto"/>
          <w:sz w:val="36"/>
          <w:szCs w:val="36"/>
          <w:highlight w:val="none"/>
        </w:rPr>
      </w:pPr>
      <w:r>
        <w:rPr>
          <w:rStyle w:val="25"/>
          <w:rFonts w:hint="eastAsia" w:ascii="宋体" w:hAnsi="宋体" w:cs="宋体"/>
          <w:color w:val="auto"/>
          <w:highlight w:val="none"/>
        </w:rPr>
        <w:t>二-2营业执照等证明文件</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r>
        <w:rPr>
          <w:rFonts w:hint="eastAsia" w:ascii="宋体" w:hAnsi="宋体" w:cs="宋体"/>
          <w:color w:val="auto"/>
          <w:highlight w:val="none"/>
          <w:u w:val="single"/>
        </w:rPr>
        <w:t>       </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）投标人为法人（包括企业、事业单位和社会团体）的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）投标人为非法人（包括其他组织、自然人）的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※注意：</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sz w:val="24"/>
          <w:highlight w:val="none"/>
        </w:rPr>
      </w:pPr>
      <w:r>
        <w:rPr>
          <w:rFonts w:hint="eastAsia" w:ascii="宋体" w:hAnsi="宋体" w:cs="宋体"/>
          <w:color w:val="auto"/>
          <w:sz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jc w:val="center"/>
        <w:rPr>
          <w:rFonts w:ascii="宋体" w:hAnsi="宋体" w:cs="宋体"/>
          <w:color w:val="auto"/>
          <w:sz w:val="32"/>
          <w:szCs w:val="32"/>
          <w:highlight w:val="none"/>
        </w:rPr>
      </w:pPr>
      <w:r>
        <w:rPr>
          <w:rStyle w:val="25"/>
          <w:rFonts w:hint="eastAsia" w:ascii="宋体" w:hAnsi="宋体" w:cs="宋体"/>
          <w:color w:val="auto"/>
          <w:sz w:val="22"/>
          <w:szCs w:val="22"/>
          <w:highlight w:val="none"/>
        </w:rPr>
        <w:t>二-3财务状况报告（财务报告、或资信证明、或投标担保函）</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（采购人或采购代理机构）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）投标人提供财务报告的</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□企业适用：现附上我方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□事业单位适用：现附上我方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财务报告复印件，包括资产负债表、收入支出表（或收入费用表）、财政补助收入支出表（若有）、会计师事务所营业执照和注册会计师资格证书，上述证明材料真实有效，否则我方负全部责任。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□社会团体、民办非企适用：现附上我方</w:t>
      </w:r>
      <w:r>
        <w:rPr>
          <w:rFonts w:hint="eastAsia" w:ascii="宋体" w:hAnsi="宋体" w:cs="宋体"/>
          <w:color w:val="auto"/>
          <w:kern w:val="0"/>
          <w:sz w:val="24"/>
          <w:highlight w:val="none"/>
          <w:u w:val="single"/>
        </w:rPr>
        <w:t>（填写“具体的年度、或半年度、或季度”）</w:t>
      </w:r>
      <w:r>
        <w:rPr>
          <w:rFonts w:hint="eastAsia" w:ascii="宋体" w:hAnsi="宋体" w:cs="宋体"/>
          <w:color w:val="auto"/>
          <w:kern w:val="0"/>
          <w:sz w:val="24"/>
          <w:highlight w:val="none"/>
        </w:rPr>
        <w:t>财务报告复印件，包括资产负债表、业务活动表、现金流量表、会计师事务所营业执照和注册会计师资格证书，上述证明材料真实有效，否则我方负全部责任。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）投标人提供资信证明的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 ）投标人提供投标担保函的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现附上由财政部门认可的政府采购专业担保机构：</w:t>
      </w:r>
      <w:r>
        <w:rPr>
          <w:rFonts w:hint="eastAsia" w:ascii="宋体" w:hAnsi="宋体" w:cs="宋体"/>
          <w:color w:val="auto"/>
          <w:highlight w:val="none"/>
          <w:u w:val="single"/>
        </w:rPr>
        <w:t>（填写“担保机构全称”）</w:t>
      </w:r>
      <w:r>
        <w:rPr>
          <w:rFonts w:hint="eastAsia" w:ascii="宋体" w:hAnsi="宋体" w:cs="宋体"/>
          <w:color w:val="auto"/>
          <w:highlight w:val="none"/>
        </w:rPr>
        <w:t>出具的投标担保函复印件，上述证明材料真实有效，否则我方负全部责任。</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2、投标人提供的财务报告复印件（成立年限按照投标截止时间推算）应符合下列规定：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2.1成立年限满1年及以上的投标人，提供经审计的招标文件规定的年度财务报告。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2.2成立年限满半年但不足1年的投标人，提供该半年度中任一季度的季度财务报告或该半年度的半年度财务报告。</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pStyle w:val="17"/>
        <w:widowControl/>
        <w:jc w:val="center"/>
        <w:rPr>
          <w:color w:val="auto"/>
          <w:highlight w:val="none"/>
        </w:rPr>
      </w:pPr>
      <w:r>
        <w:rPr>
          <w:rFonts w:hint="eastAsia" w:ascii="宋体" w:hAnsi="宋体" w:cs="宋体"/>
          <w:color w:val="auto"/>
          <w:sz w:val="28"/>
          <w:szCs w:val="28"/>
          <w:highlight w:val="none"/>
        </w:rPr>
        <w:t>二</w:t>
      </w:r>
      <w:r>
        <w:rPr>
          <w:rStyle w:val="25"/>
          <w:rFonts w:hint="eastAsia" w:ascii="宋体" w:hAnsi="宋体" w:cs="宋体"/>
          <w:color w:val="auto"/>
          <w:sz w:val="21"/>
          <w:szCs w:val="21"/>
          <w:highlight w:val="none"/>
        </w:rPr>
        <w:t>-4依法缴纳税收证明材料</w:t>
      </w:r>
    </w:p>
    <w:p>
      <w:pPr>
        <w:pStyle w:val="17"/>
        <w:widowControl/>
        <w:rPr>
          <w:color w:val="auto"/>
          <w:highlight w:val="none"/>
        </w:rPr>
      </w:pPr>
      <w:r>
        <w:rPr>
          <w:rFonts w:hint="eastAsia" w:ascii="宋体" w:hAnsi="宋体" w:cs="宋体"/>
          <w:color w:val="auto"/>
          <w:sz w:val="21"/>
          <w:szCs w:val="21"/>
          <w:highlight w:val="none"/>
        </w:rPr>
        <w:t> </w:t>
      </w:r>
    </w:p>
    <w:p>
      <w:pPr>
        <w:pStyle w:val="17"/>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7"/>
        <w:widowControl/>
        <w:ind w:firstLine="420"/>
        <w:rPr>
          <w:color w:val="auto"/>
          <w:highlight w:val="none"/>
        </w:rPr>
      </w:pPr>
      <w:r>
        <w:rPr>
          <w:rFonts w:hint="eastAsia" w:ascii="宋体" w:hAnsi="宋体" w:cs="宋体"/>
          <w:color w:val="auto"/>
          <w:sz w:val="21"/>
          <w:szCs w:val="21"/>
          <w:highlight w:val="none"/>
        </w:rPr>
        <w:t>1、依法缴纳税收的投标人</w:t>
      </w:r>
    </w:p>
    <w:p>
      <w:pPr>
        <w:pStyle w:val="17"/>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7"/>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7"/>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7"/>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w:t>
      </w:r>
      <w:r>
        <w:rPr>
          <w:rFonts w:hint="eastAsia" w:ascii="宋体" w:hAnsi="宋体" w:cs="宋体"/>
          <w:color w:val="auto"/>
          <w:sz w:val="21"/>
          <w:szCs w:val="21"/>
          <w:highlight w:val="none"/>
          <w:u w:val="single"/>
        </w:rPr>
        <w:t>（包括但不限于税务机关出具的专用收据、税收缴纳证明或税收代缴银行的缴款收讫凭证）等</w:t>
      </w:r>
      <w:r>
        <w:rPr>
          <w:rFonts w:hint="eastAsia" w:ascii="宋体" w:hAnsi="宋体" w:cs="宋体"/>
          <w:color w:val="auto"/>
          <w:sz w:val="21"/>
          <w:szCs w:val="21"/>
          <w:highlight w:val="none"/>
        </w:rPr>
        <w:t>税收凭据复印件，上述证明材料真实有效，否则我方负全部责任。</w:t>
      </w:r>
    </w:p>
    <w:p>
      <w:pPr>
        <w:pStyle w:val="17"/>
        <w:widowControl/>
        <w:ind w:firstLine="420"/>
        <w:rPr>
          <w:color w:val="auto"/>
          <w:highlight w:val="none"/>
        </w:rPr>
      </w:pPr>
      <w:r>
        <w:rPr>
          <w:rFonts w:hint="eastAsia" w:ascii="宋体" w:hAnsi="宋体" w:cs="宋体"/>
          <w:color w:val="auto"/>
          <w:sz w:val="21"/>
          <w:szCs w:val="21"/>
          <w:highlight w:val="none"/>
        </w:rPr>
        <w:t>2、依法免税的投标人</w:t>
      </w:r>
    </w:p>
    <w:p>
      <w:pPr>
        <w:pStyle w:val="17"/>
        <w:widowControl/>
        <w:ind w:firstLine="420"/>
        <w:rPr>
          <w:color w:val="auto"/>
          <w:highlight w:val="none"/>
        </w:rPr>
      </w:pPr>
      <w:r>
        <w:rPr>
          <w:rFonts w:hint="eastAsia" w:ascii="宋体" w:hAnsi="宋体" w:cs="宋体"/>
          <w:color w:val="auto"/>
          <w:sz w:val="21"/>
          <w:szCs w:val="21"/>
          <w:highlight w:val="none"/>
        </w:rPr>
        <w:t>（ ）现附上我方依法免税证明材料复印件，上述证明材料真实有效，否则我方负全部责任。</w:t>
      </w:r>
    </w:p>
    <w:p>
      <w:pPr>
        <w:pStyle w:val="17"/>
        <w:widowControl/>
        <w:rPr>
          <w:color w:val="auto"/>
          <w:highlight w:val="none"/>
        </w:rPr>
      </w:pPr>
      <w:r>
        <w:rPr>
          <w:rFonts w:ascii="Calibri" w:hAnsi="Calibri" w:cs="Calibri"/>
          <w:color w:val="auto"/>
          <w:sz w:val="21"/>
          <w:szCs w:val="21"/>
          <w:highlight w:val="none"/>
        </w:rPr>
        <w:t> </w:t>
      </w:r>
    </w:p>
    <w:p>
      <w:pPr>
        <w:pStyle w:val="17"/>
        <w:widowControl/>
        <w:rPr>
          <w:color w:val="auto"/>
          <w:highlight w:val="none"/>
        </w:rPr>
      </w:pPr>
      <w:r>
        <w:rPr>
          <w:rFonts w:hint="eastAsia" w:ascii="宋体" w:hAnsi="宋体" w:cs="宋体"/>
          <w:color w:val="auto"/>
          <w:sz w:val="21"/>
          <w:szCs w:val="21"/>
          <w:highlight w:val="none"/>
        </w:rPr>
        <w:t>※注意：</w:t>
      </w:r>
    </w:p>
    <w:p>
      <w:pPr>
        <w:pStyle w:val="17"/>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7"/>
        <w:widowControl/>
        <w:rPr>
          <w:color w:val="auto"/>
          <w:highlight w:val="none"/>
        </w:rPr>
      </w:pPr>
      <w:r>
        <w:rPr>
          <w:rFonts w:hint="eastAsia" w:ascii="宋体" w:hAnsi="宋体" w:cs="宋体"/>
          <w:color w:val="auto"/>
          <w:sz w:val="21"/>
          <w:szCs w:val="21"/>
          <w:highlight w:val="none"/>
        </w:rPr>
        <w:t>2、投标人提供的税收凭据复印件应符合下列规定：</w:t>
      </w:r>
    </w:p>
    <w:p>
      <w:pPr>
        <w:pStyle w:val="17"/>
        <w:widowControl/>
        <w:rPr>
          <w:color w:val="auto"/>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pPr>
        <w:pStyle w:val="17"/>
        <w:widowControl/>
        <w:rPr>
          <w:color w:val="auto"/>
          <w:highlight w:val="none"/>
        </w:rPr>
      </w:pPr>
      <w:r>
        <w:rPr>
          <w:rFonts w:hint="eastAsia" w:ascii="宋体" w:hAnsi="宋体" w:cs="宋体"/>
          <w:color w:val="auto"/>
          <w:sz w:val="21"/>
          <w:szCs w:val="21"/>
          <w:highlight w:val="none"/>
        </w:rPr>
        <w:t>2.2投标截止时间的当月成立且已依法缴纳税收的投标人，提供投标截止时间当月的税收凭据复印件。</w:t>
      </w:r>
    </w:p>
    <w:p>
      <w:pPr>
        <w:pStyle w:val="17"/>
        <w:widowControl/>
        <w:rPr>
          <w:color w:val="auto"/>
          <w:highlight w:val="none"/>
        </w:rPr>
      </w:pPr>
      <w:r>
        <w:rPr>
          <w:rFonts w:hint="eastAsia" w:ascii="宋体" w:hAnsi="宋体" w:cs="宋体"/>
          <w:color w:val="auto"/>
          <w:sz w:val="21"/>
          <w:szCs w:val="21"/>
          <w:highlight w:val="none"/>
        </w:rPr>
        <w:t>2.3投标截止时间的当月成立但因税务机关原因导致其尚未依法缴纳税收的投标人，提供依法缴纳税收承诺书（格式自拟），该承诺书视同税收凭据。</w:t>
      </w:r>
    </w:p>
    <w:p>
      <w:pPr>
        <w:pStyle w:val="17"/>
        <w:widowControl/>
        <w:rPr>
          <w:color w:val="auto"/>
          <w:highlight w:val="none"/>
        </w:rPr>
      </w:pPr>
    </w:p>
    <w:p>
      <w:pPr>
        <w:pStyle w:val="17"/>
        <w:widowControl/>
        <w:rPr>
          <w:color w:val="auto"/>
          <w:highlight w:val="none"/>
        </w:rPr>
      </w:pPr>
      <w:r>
        <w:rPr>
          <w:rFonts w:ascii="Calibri" w:hAnsi="Calibri" w:cs="Calibri"/>
          <w:color w:val="auto"/>
          <w:sz w:val="21"/>
          <w:szCs w:val="21"/>
          <w:highlight w:val="none"/>
        </w:rPr>
        <w:t> </w:t>
      </w:r>
    </w:p>
    <w:p>
      <w:pPr>
        <w:pStyle w:val="17"/>
        <w:widowControl/>
        <w:rPr>
          <w:color w:val="auto"/>
          <w:highlight w:val="none"/>
        </w:rPr>
      </w:pPr>
      <w:r>
        <w:rPr>
          <w:rFonts w:ascii="Calibri" w:hAnsi="Calibri" w:cs="Calibri"/>
          <w:color w:val="auto"/>
          <w:sz w:val="21"/>
          <w:szCs w:val="21"/>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rPr>
          <w:color w:val="auto"/>
          <w:highlight w:val="none"/>
        </w:rPr>
      </w:pPr>
      <w:r>
        <w:rPr>
          <w:rFonts w:hint="eastAsia" w:ascii="宋体" w:hAnsi="宋体" w:cs="宋体"/>
          <w:color w:val="auto"/>
          <w:sz w:val="21"/>
          <w:szCs w:val="21"/>
          <w:highlight w:val="none"/>
        </w:rPr>
        <w:t> </w:t>
      </w:r>
    </w:p>
    <w:p>
      <w:pPr>
        <w:pStyle w:val="17"/>
        <w:widowControl/>
        <w:rPr>
          <w:color w:val="auto"/>
          <w:highlight w:val="none"/>
        </w:rPr>
      </w:pPr>
      <w:r>
        <w:rPr>
          <w:rFonts w:hint="eastAsia" w:ascii="宋体" w:hAnsi="宋体" w:cs="宋体"/>
          <w:color w:val="auto"/>
          <w:sz w:val="21"/>
          <w:szCs w:val="21"/>
          <w:highlight w:val="none"/>
        </w:rPr>
        <w:t> </w:t>
      </w:r>
    </w:p>
    <w:p>
      <w:pPr>
        <w:pStyle w:val="17"/>
        <w:widowControl/>
        <w:jc w:val="center"/>
        <w:rPr>
          <w:color w:val="auto"/>
          <w:highlight w:val="none"/>
        </w:rPr>
      </w:pPr>
      <w:r>
        <w:rPr>
          <w:rFonts w:ascii="Calibri" w:hAnsi="Calibri" w:cs="Calibri"/>
          <w:color w:val="auto"/>
          <w:sz w:val="21"/>
          <w:szCs w:val="21"/>
          <w:highlight w:val="none"/>
        </w:rPr>
        <w:br w:type="textWrapping"/>
      </w:r>
      <w:r>
        <w:rPr>
          <w:rStyle w:val="25"/>
          <w:rFonts w:hint="eastAsia" w:ascii="宋体" w:hAnsi="宋体" w:cs="宋体"/>
          <w:color w:val="auto"/>
          <w:sz w:val="21"/>
          <w:szCs w:val="21"/>
          <w:highlight w:val="none"/>
        </w:rPr>
        <w:t>二-5依法缴纳社会保障资金证明材料</w:t>
      </w:r>
    </w:p>
    <w:p>
      <w:pPr>
        <w:pStyle w:val="17"/>
        <w:widowControl/>
        <w:rPr>
          <w:color w:val="auto"/>
          <w:highlight w:val="none"/>
        </w:rPr>
      </w:pPr>
      <w:r>
        <w:rPr>
          <w:rFonts w:hint="eastAsia" w:ascii="宋体" w:hAnsi="宋体" w:cs="宋体"/>
          <w:color w:val="auto"/>
          <w:sz w:val="21"/>
          <w:szCs w:val="21"/>
          <w:highlight w:val="none"/>
        </w:rPr>
        <w:t> </w:t>
      </w:r>
    </w:p>
    <w:p>
      <w:pPr>
        <w:pStyle w:val="17"/>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pPr>
        <w:pStyle w:val="17"/>
        <w:widowControl/>
        <w:ind w:firstLine="420"/>
        <w:rPr>
          <w:color w:val="auto"/>
          <w:highlight w:val="none"/>
        </w:rPr>
      </w:pPr>
      <w:r>
        <w:rPr>
          <w:rFonts w:hint="eastAsia" w:ascii="宋体" w:hAnsi="宋体" w:cs="宋体"/>
          <w:color w:val="auto"/>
          <w:sz w:val="21"/>
          <w:szCs w:val="21"/>
          <w:highlight w:val="none"/>
        </w:rPr>
        <w:t>1、依法缴纳社会保障资金的投标人</w:t>
      </w:r>
    </w:p>
    <w:p>
      <w:pPr>
        <w:pStyle w:val="17"/>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pPr>
        <w:pStyle w:val="17"/>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ind w:firstLine="420"/>
        <w:rPr>
          <w:color w:val="auto"/>
          <w:highlight w:val="none"/>
        </w:rPr>
      </w:pPr>
      <w:r>
        <w:rPr>
          <w:rFonts w:hint="eastAsia" w:ascii="宋体" w:hAnsi="宋体" w:cs="宋体"/>
          <w:color w:val="auto"/>
          <w:sz w:val="21"/>
          <w:szCs w:val="21"/>
          <w:highlight w:val="none"/>
        </w:rPr>
        <w:t>（ ）非法人（包括其他组织、自然人）的</w:t>
      </w:r>
    </w:p>
    <w:p>
      <w:pPr>
        <w:pStyle w:val="17"/>
        <w:widowControl/>
        <w:ind w:firstLine="420"/>
        <w:rPr>
          <w:color w:val="auto"/>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ind w:firstLine="420"/>
        <w:rPr>
          <w:color w:val="auto"/>
          <w:highlight w:val="none"/>
        </w:rPr>
      </w:pPr>
      <w:r>
        <w:rPr>
          <w:rFonts w:hint="eastAsia" w:ascii="宋体" w:hAnsi="宋体" w:cs="宋体"/>
          <w:color w:val="auto"/>
          <w:sz w:val="21"/>
          <w:szCs w:val="21"/>
          <w:highlight w:val="none"/>
        </w:rPr>
        <w:t>2、依法不需要缴纳社会保障资金的投标人</w:t>
      </w:r>
    </w:p>
    <w:p>
      <w:pPr>
        <w:pStyle w:val="17"/>
        <w:widowControl/>
        <w:ind w:firstLine="420"/>
        <w:rPr>
          <w:color w:val="auto"/>
          <w:highlight w:val="none"/>
        </w:rPr>
      </w:pPr>
      <w:r>
        <w:rPr>
          <w:rFonts w:hint="eastAsia" w:ascii="宋体" w:hAnsi="宋体" w:cs="宋体"/>
          <w:color w:val="auto"/>
          <w:sz w:val="21"/>
          <w:szCs w:val="21"/>
          <w:highlight w:val="none"/>
        </w:rPr>
        <w:t>（ ）现附上我方依法不需要缴纳社会保障资金证明材料复印件，上述证明材料真实有效，否则我方负全部责任。</w:t>
      </w:r>
    </w:p>
    <w:p>
      <w:pPr>
        <w:pStyle w:val="17"/>
        <w:widowControl/>
        <w:rPr>
          <w:color w:val="auto"/>
          <w:highlight w:val="none"/>
        </w:rPr>
      </w:pPr>
      <w:r>
        <w:rPr>
          <w:rFonts w:ascii="Calibri" w:hAnsi="Calibri" w:cs="Calibri"/>
          <w:color w:val="auto"/>
          <w:sz w:val="21"/>
          <w:szCs w:val="21"/>
          <w:highlight w:val="none"/>
        </w:rPr>
        <w:t> </w:t>
      </w:r>
    </w:p>
    <w:p>
      <w:pPr>
        <w:pStyle w:val="17"/>
        <w:widowControl/>
        <w:rPr>
          <w:color w:val="auto"/>
          <w:highlight w:val="none"/>
        </w:rPr>
      </w:pPr>
      <w:r>
        <w:rPr>
          <w:rFonts w:hint="eastAsia" w:ascii="宋体" w:hAnsi="宋体" w:cs="宋体"/>
          <w:color w:val="auto"/>
          <w:sz w:val="21"/>
          <w:szCs w:val="21"/>
          <w:highlight w:val="none"/>
        </w:rPr>
        <w:t>※注意：</w:t>
      </w:r>
    </w:p>
    <w:p>
      <w:pPr>
        <w:pStyle w:val="17"/>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pPr>
        <w:pStyle w:val="17"/>
        <w:widowControl/>
        <w:rPr>
          <w:color w:val="auto"/>
          <w:highlight w:val="none"/>
        </w:rPr>
      </w:pPr>
      <w:r>
        <w:rPr>
          <w:rFonts w:hint="eastAsia" w:ascii="宋体" w:hAnsi="宋体" w:cs="宋体"/>
          <w:color w:val="auto"/>
          <w:sz w:val="21"/>
          <w:szCs w:val="21"/>
          <w:highlight w:val="none"/>
        </w:rPr>
        <w:t>2、投标人提供的社会保险凭据复印件应符合下列规定：</w:t>
      </w:r>
    </w:p>
    <w:p>
      <w:pPr>
        <w:pStyle w:val="17"/>
        <w:widowControl/>
        <w:rPr>
          <w:color w:val="auto"/>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pPr>
        <w:pStyle w:val="17"/>
        <w:widowControl/>
        <w:rPr>
          <w:color w:val="auto"/>
          <w:highlight w:val="none"/>
        </w:rPr>
      </w:pPr>
      <w:r>
        <w:rPr>
          <w:rFonts w:hint="eastAsia" w:ascii="宋体" w:hAnsi="宋体" w:cs="宋体"/>
          <w:color w:val="auto"/>
          <w:sz w:val="21"/>
          <w:szCs w:val="21"/>
          <w:highlight w:val="none"/>
        </w:rPr>
        <w:t>2.2投标截止时间的当月成立且已依法缴纳社会保障资金的投标人，提供投标截止时间当月的社会保险凭据复印件。</w:t>
      </w:r>
    </w:p>
    <w:p>
      <w:pPr>
        <w:pStyle w:val="17"/>
        <w:widowControl/>
        <w:rPr>
          <w:color w:val="auto"/>
          <w:highlight w:val="none"/>
        </w:rPr>
      </w:pPr>
      <w:r>
        <w:rPr>
          <w:rFonts w:hint="eastAsia" w:ascii="宋体" w:hAnsi="宋体" w:cs="宋体"/>
          <w:color w:val="auto"/>
          <w:sz w:val="21"/>
          <w:szCs w:val="21"/>
          <w:highlight w:val="none"/>
        </w:rPr>
        <w:t>2.3投标截止时间的当月成立但因税务机关</w:t>
      </w:r>
      <w:r>
        <w:rPr>
          <w:rFonts w:ascii="Calibri" w:hAnsi="Calibri" w:cs="Calibri"/>
          <w:color w:val="auto"/>
          <w:sz w:val="21"/>
          <w:szCs w:val="21"/>
          <w:highlight w:val="none"/>
        </w:rPr>
        <w:t>/</w:t>
      </w:r>
      <w:r>
        <w:rPr>
          <w:rFonts w:hint="eastAsia" w:ascii="宋体" w:hAnsi="宋体" w:cs="宋体"/>
          <w:color w:val="auto"/>
          <w:sz w:val="21"/>
          <w:szCs w:val="21"/>
          <w:highlight w:val="none"/>
        </w:rPr>
        <w:t>社会保障资金管理机关原因导致其尚未依法缴纳社会保障资金的投标人，提供依法缴纳社会保障资金承诺书（格式自拟），该承诺书视同社会保险凭据。</w:t>
      </w:r>
    </w:p>
    <w:p>
      <w:pPr>
        <w:pStyle w:val="17"/>
        <w:widowControl/>
        <w:rPr>
          <w:color w:val="auto"/>
          <w:highlight w:val="none"/>
        </w:rPr>
      </w:pPr>
    </w:p>
    <w:p>
      <w:pPr>
        <w:pStyle w:val="17"/>
        <w:widowControl/>
        <w:rPr>
          <w:color w:val="auto"/>
          <w:highlight w:val="none"/>
        </w:rPr>
      </w:pPr>
      <w:r>
        <w:rPr>
          <w:rFonts w:ascii="Calibri" w:hAnsi="Calibri" w:cs="Calibri"/>
          <w:color w:val="auto"/>
          <w:sz w:val="21"/>
          <w:szCs w:val="21"/>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rPr>
          <w:color w:val="auto"/>
          <w:highlight w:val="none"/>
        </w:rPr>
      </w:pPr>
      <w:r>
        <w:rPr>
          <w:rFonts w:hint="eastAsia" w:ascii="宋体" w:hAnsi="宋体" w:cs="宋体"/>
          <w:color w:val="auto"/>
          <w:sz w:val="21"/>
          <w:szCs w:val="21"/>
          <w:highlight w:val="none"/>
        </w:rPr>
        <w:t> </w:t>
      </w:r>
    </w:p>
    <w:p>
      <w:pPr>
        <w:pStyle w:val="17"/>
        <w:widowControl/>
        <w:spacing w:line="480" w:lineRule="exact"/>
        <w:jc w:val="center"/>
        <w:rPr>
          <w:rStyle w:val="25"/>
          <w:rFonts w:ascii="宋体" w:hAnsi="宋体" w:cs="宋体"/>
          <w:color w:val="auto"/>
          <w:sz w:val="21"/>
          <w:szCs w:val="21"/>
          <w:highlight w:val="none"/>
        </w:rPr>
      </w:pPr>
    </w:p>
    <w:p>
      <w:pPr>
        <w:rPr>
          <w:rStyle w:val="25"/>
          <w:rFonts w:ascii="宋体" w:hAnsi="宋体" w:cs="宋体"/>
          <w:color w:val="auto"/>
          <w:szCs w:val="21"/>
          <w:highlight w:val="none"/>
        </w:rPr>
      </w:pPr>
    </w:p>
    <w:p>
      <w:pPr>
        <w:pStyle w:val="17"/>
        <w:widowControl/>
        <w:spacing w:line="480" w:lineRule="exact"/>
        <w:jc w:val="center"/>
        <w:rPr>
          <w:rFonts w:ascii="宋体" w:hAnsi="宋体" w:cs="宋体"/>
          <w:color w:val="auto"/>
          <w:sz w:val="28"/>
          <w:szCs w:val="28"/>
          <w:highlight w:val="none"/>
        </w:rPr>
      </w:pPr>
      <w:r>
        <w:rPr>
          <w:rStyle w:val="25"/>
          <w:rFonts w:hint="eastAsia" w:ascii="宋体" w:hAnsi="宋体" w:cs="宋体"/>
          <w:color w:val="auto"/>
          <w:sz w:val="21"/>
          <w:szCs w:val="21"/>
          <w:highlight w:val="none"/>
        </w:rPr>
        <w:t>二-6 具备履行合同所必需设备和专业技术能力的声明函（若有）</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kern w:val="0"/>
          <w:szCs w:val="21"/>
          <w:highlight w:val="none"/>
          <w:u w:val="single"/>
        </w:rPr>
        <w:t> （采购人或采购代理机构）</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特此声明。</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※注意：</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1、招标文件未要求投标人提供“具备履行合同所必需的设备和专业技术能力专项证明材料”的，投标人应提供本声明函。</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2、招标文件要求投标人提供“具备履行合同所必需的设备和专业技术能力专项证明材料”的，投标人可不提供本声明函。</w:t>
      </w:r>
    </w:p>
    <w:p>
      <w:pPr>
        <w:pStyle w:val="17"/>
        <w:widowControl/>
        <w:spacing w:line="480" w:lineRule="exact"/>
        <w:ind w:firstLine="420"/>
        <w:rPr>
          <w:rFonts w:ascii="宋体" w:hAnsi="宋体" w:cs="宋体"/>
          <w:color w:val="auto"/>
          <w:highlight w:val="none"/>
        </w:rPr>
      </w:pPr>
      <w:r>
        <w:rPr>
          <w:rFonts w:hint="eastAsia" w:ascii="宋体" w:hAnsi="宋体" w:cs="宋体"/>
          <w:color w:val="auto"/>
          <w:highlight w:val="none"/>
        </w:rPr>
        <w:t>3、请投标人根据实际情况如实声明，否则视为提供虚假材料。</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5"/>
          <w:rFonts w:hint="eastAsia" w:ascii="宋体" w:hAnsi="宋体" w:cs="宋体"/>
          <w:color w:val="auto"/>
          <w:highlight w:val="none"/>
        </w:rPr>
        <w:t>-7参加采购活动前三年内在经营活动中没有重大违法记录书面声明</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特此声明。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请投标人根据实际情况如实声明，否则</w:t>
      </w:r>
      <w:r>
        <w:rPr>
          <w:rFonts w:hint="eastAsia" w:ascii="宋体" w:hAnsi="宋体" w:cs="宋体"/>
          <w:b/>
          <w:bCs/>
          <w:color w:val="auto"/>
          <w:kern w:val="0"/>
          <w:sz w:val="24"/>
          <w:highlight w:val="none"/>
        </w:rPr>
        <w:t>视为提供虚假材料。</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r>
        <w:rPr>
          <w:rFonts w:hint="eastAsia" w:ascii="宋体" w:hAnsi="宋体" w:cs="宋体"/>
          <w:color w:val="auto"/>
          <w:highlight w:val="none"/>
        </w:rPr>
        <w:t>二</w:t>
      </w:r>
      <w:r>
        <w:rPr>
          <w:rStyle w:val="25"/>
          <w:rFonts w:hint="eastAsia" w:ascii="宋体" w:hAnsi="宋体" w:cs="宋体"/>
          <w:color w:val="auto"/>
          <w:highlight w:val="none"/>
        </w:rPr>
        <w:t>-8信用记录查询结果</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1、由资格审查小组通过网站查询并打印投标人的信用记录。</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pStyle w:val="17"/>
        <w:widowControl/>
        <w:spacing w:line="480" w:lineRule="exact"/>
        <w:rPr>
          <w:rFonts w:ascii="宋体" w:hAnsi="宋体" w:cs="宋体"/>
          <w:color w:val="auto"/>
          <w:highlight w:val="none"/>
        </w:rPr>
      </w:pPr>
    </w:p>
    <w:p>
      <w:pPr>
        <w:spacing w:line="400" w:lineRule="exact"/>
        <w:jc w:val="center"/>
        <w:rPr>
          <w:rFonts w:ascii="宋体" w:hAnsi="宋体" w:cs="宋体"/>
          <w:b/>
          <w:color w:val="auto"/>
          <w:sz w:val="24"/>
          <w:highlight w:val="none"/>
          <w:shd w:val="clear" w:color="auto" w:fill="FFFFFF"/>
        </w:rPr>
      </w:pPr>
      <w:r>
        <w:rPr>
          <w:rStyle w:val="25"/>
          <w:rFonts w:hint="eastAsia" w:ascii="宋体" w:hAnsi="宋体" w:cs="宋体"/>
          <w:color w:val="auto"/>
          <w:sz w:val="24"/>
          <w:highlight w:val="none"/>
        </w:rPr>
        <w:t>二-9</w:t>
      </w:r>
      <w:r>
        <w:rPr>
          <w:rFonts w:hint="eastAsia" w:ascii="宋体" w:hAnsi="宋体" w:cs="宋体"/>
          <w:b/>
          <w:color w:val="auto"/>
          <w:sz w:val="24"/>
          <w:highlight w:val="none"/>
          <w:shd w:val="clear" w:color="auto" w:fill="FFFFFF"/>
        </w:rPr>
        <w:t>无行贿犯罪记录承诺函</w:t>
      </w:r>
    </w:p>
    <w:p>
      <w:pPr>
        <w:autoSpaceDN w:val="0"/>
        <w:spacing w:beforeAutospacing="1" w:afterAutospacing="1"/>
        <w:rPr>
          <w:rFonts w:ascii="宋体" w:hAnsi="宋体" w:cs="宋体"/>
          <w:color w:val="auto"/>
          <w:sz w:val="24"/>
          <w:highlight w:val="none"/>
        </w:rPr>
      </w:pPr>
      <w:r>
        <w:rPr>
          <w:rFonts w:hint="eastAsia" w:ascii="宋体" w:hAnsi="宋体" w:cs="宋体"/>
          <w:color w:val="auto"/>
          <w:sz w:val="24"/>
          <w:highlight w:val="none"/>
        </w:rPr>
        <w:t>致：</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 xml:space="preserve"> 公司名称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法定代表人 </w:t>
      </w:r>
      <w:r>
        <w:rPr>
          <w:rFonts w:hint="eastAsia" w:ascii="宋体" w:hAnsi="宋体" w:cs="宋体"/>
          <w:color w:val="auto"/>
          <w:sz w:val="24"/>
          <w:highlight w:val="none"/>
        </w:rPr>
        <w:t>）及（</w:t>
      </w:r>
      <w:r>
        <w:rPr>
          <w:rFonts w:hint="eastAsia" w:ascii="宋体" w:hAnsi="宋体" w:cs="宋体"/>
          <w:color w:val="auto"/>
          <w:sz w:val="24"/>
          <w:highlight w:val="none"/>
          <w:u w:val="single"/>
        </w:rPr>
        <w:t xml:space="preserve">  投标代表 </w:t>
      </w:r>
      <w:r>
        <w:rPr>
          <w:rFonts w:hint="eastAsia" w:ascii="宋体" w:hAnsi="宋体" w:cs="宋体"/>
          <w:color w:val="auto"/>
          <w:sz w:val="24"/>
          <w:highlight w:val="none"/>
        </w:rPr>
        <w:t>）承诺在参加采购经营活动中没有行贿犯罪记录，否则产生不利后果由我方承担责任。</w:t>
      </w:r>
    </w:p>
    <w:p>
      <w:pPr>
        <w:autoSpaceDN w:val="0"/>
        <w:spacing w:beforeAutospacing="1" w:afterAutospacing="1"/>
        <w:ind w:firstLine="420"/>
        <w:rPr>
          <w:rFonts w:ascii="宋体" w:hAnsi="宋体" w:cs="宋体"/>
          <w:color w:val="auto"/>
          <w:sz w:val="24"/>
          <w:highlight w:val="none"/>
        </w:rPr>
      </w:pPr>
      <w:r>
        <w:rPr>
          <w:rFonts w:hint="eastAsia" w:ascii="宋体" w:hAnsi="宋体" w:cs="宋体"/>
          <w:color w:val="auto"/>
          <w:sz w:val="24"/>
          <w:highlight w:val="none"/>
        </w:rPr>
        <w:t>特此承诺。</w:t>
      </w:r>
    </w:p>
    <w:p>
      <w:pPr>
        <w:autoSpaceDN w:val="0"/>
        <w:spacing w:beforeAutospacing="1" w:afterAutospacing="1"/>
        <w:rPr>
          <w:rFonts w:ascii="宋体" w:hAnsi="宋体" w:cs="宋体"/>
          <w:color w:val="auto"/>
          <w:sz w:val="24"/>
          <w:highlight w:val="none"/>
        </w:rPr>
      </w:pP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★注意：</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1、纸质响应文件正本中的本材料应为原件。</w:t>
      </w:r>
    </w:p>
    <w:p>
      <w:pPr>
        <w:shd w:val="solid" w:color="FFFFFF" w:fill="auto"/>
        <w:autoSpaceDN w:val="0"/>
        <w:spacing w:beforeAutospacing="1" w:afterAutospacing="1" w:line="340" w:lineRule="exac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2、请</w:t>
      </w:r>
      <w:r>
        <w:rPr>
          <w:rFonts w:hint="eastAsia" w:ascii="宋体" w:hAnsi="宋体" w:cs="宋体"/>
          <w:color w:val="auto"/>
          <w:sz w:val="24"/>
          <w:highlight w:val="none"/>
        </w:rPr>
        <w:t>投标人</w:t>
      </w:r>
      <w:r>
        <w:rPr>
          <w:rFonts w:hint="eastAsia" w:ascii="宋体" w:hAnsi="宋体" w:cs="宋体"/>
          <w:color w:val="auto"/>
          <w:sz w:val="24"/>
          <w:highlight w:val="none"/>
          <w:shd w:val="clear" w:color="auto" w:fill="FFFFFF"/>
        </w:rPr>
        <w:t>根据实际情况如实声明，否则</w:t>
      </w:r>
      <w:r>
        <w:rPr>
          <w:rFonts w:hint="eastAsia" w:ascii="宋体" w:hAnsi="宋体" w:cs="宋体"/>
          <w:b/>
          <w:color w:val="auto"/>
          <w:sz w:val="24"/>
          <w:highlight w:val="none"/>
          <w:shd w:val="clear" w:color="auto" w:fill="FFFFFF"/>
        </w:rPr>
        <w:t>视为提供虚假材料。</w:t>
      </w:r>
    </w:p>
    <w:p>
      <w:pPr>
        <w:pStyle w:val="17"/>
        <w:widowControl/>
        <w:spacing w:line="480" w:lineRule="exact"/>
        <w:jc w:val="center"/>
        <w:rPr>
          <w:rFonts w:ascii="宋体" w:hAnsi="宋体" w:cs="宋体"/>
          <w:color w:val="auto"/>
          <w:highlight w:val="none"/>
        </w:rPr>
      </w:pPr>
    </w:p>
    <w:p>
      <w:pPr>
        <w:pStyle w:val="17"/>
        <w:widowControl/>
        <w:spacing w:line="480" w:lineRule="exact"/>
        <w:rPr>
          <w:rFonts w:ascii="宋体" w:hAnsi="宋体" w:cs="宋体"/>
          <w:color w:val="auto"/>
          <w:highlight w:val="none"/>
        </w:rPr>
      </w:pPr>
      <w:r>
        <w:rPr>
          <w:rFonts w:hint="eastAsia" w:ascii="宋体" w:hAnsi="宋体" w:cs="宋体"/>
          <w:color w:val="auto"/>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pStyle w:val="17"/>
        <w:widowControl/>
        <w:spacing w:line="480" w:lineRule="exact"/>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jc w:val="center"/>
        <w:rPr>
          <w:rFonts w:ascii="宋体" w:hAnsi="宋体" w:cs="宋体"/>
          <w:color w:val="auto"/>
          <w:highlight w:val="none"/>
        </w:rPr>
      </w:pPr>
    </w:p>
    <w:p>
      <w:pPr>
        <w:pStyle w:val="17"/>
        <w:widowControl/>
        <w:spacing w:line="480" w:lineRule="exact"/>
        <w:rPr>
          <w:rFonts w:ascii="宋体" w:hAnsi="宋体" w:cs="宋体"/>
          <w:color w:val="auto"/>
          <w:highlight w:val="none"/>
        </w:rPr>
      </w:pPr>
    </w:p>
    <w:p>
      <w:pPr>
        <w:widowControl/>
        <w:spacing w:before="150" w:after="150"/>
        <w:jc w:val="center"/>
        <w:outlineLvl w:val="3"/>
        <w:rPr>
          <w:rFonts w:ascii="宋体" w:hAnsi="宋体" w:cs="宋体"/>
          <w:b/>
          <w:bCs/>
          <w:color w:val="auto"/>
          <w:kern w:val="0"/>
          <w:sz w:val="24"/>
          <w:highlight w:val="none"/>
        </w:rPr>
      </w:pPr>
      <w:r>
        <w:rPr>
          <w:rFonts w:hint="eastAsia" w:ascii="宋体" w:hAnsi="宋体" w:cs="宋体"/>
          <w:b/>
          <w:bCs/>
          <w:color w:val="auto"/>
          <w:kern w:val="0"/>
          <w:sz w:val="24"/>
          <w:highlight w:val="none"/>
        </w:rPr>
        <w:t>二-10中小企业声明函</w:t>
      </w:r>
    </w:p>
    <w:p>
      <w:pPr>
        <w:widowControl/>
        <w:spacing w:before="100" w:beforeAutospacing="1" w:after="240"/>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 （采购文件中明确的所属行业 ）行业；</w:t>
      </w:r>
      <w:r>
        <w:rPr>
          <w:rFonts w:hint="eastAsia" w:ascii="宋体" w:hAnsi="宋体" w:cs="宋体"/>
          <w:color w:val="auto"/>
          <w:kern w:val="0"/>
          <w:sz w:val="24"/>
          <w:highlight w:val="none"/>
        </w:rPr>
        <w:t>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企业名称（盖章）：</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240"/>
        <w:jc w:val="left"/>
        <w:rPr>
          <w:rFonts w:ascii="宋体" w:hAnsi="宋体" w:cs="宋体"/>
          <w:color w:val="auto"/>
          <w:kern w:val="0"/>
          <w:sz w:val="24"/>
          <w:highlight w:val="none"/>
        </w:rPr>
      </w:pPr>
    </w:p>
    <w:p>
      <w:pPr>
        <w:pageBreakBefore/>
        <w:widowControl/>
        <w:spacing w:before="150" w:after="150"/>
        <w:jc w:val="center"/>
        <w:outlineLvl w:val="4"/>
        <w:rPr>
          <w:rFonts w:ascii="宋体" w:hAnsi="宋体" w:cs="宋体"/>
          <w:b/>
          <w:bCs/>
          <w:color w:val="auto"/>
          <w:kern w:val="0"/>
          <w:sz w:val="20"/>
          <w:szCs w:val="20"/>
          <w:highlight w:val="none"/>
        </w:rPr>
      </w:pPr>
      <w:r>
        <w:rPr>
          <w:rFonts w:hint="eastAsia" w:ascii="宋体" w:hAnsi="宋体" w:cs="宋体"/>
          <w:b/>
          <w:bCs/>
          <w:color w:val="auto"/>
          <w:kern w:val="0"/>
          <w:sz w:val="24"/>
          <w:highlight w:val="none"/>
        </w:rPr>
        <w:t>中小企业声明函（工程、服务）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Cs w:val="21"/>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 </w:t>
      </w:r>
      <w:r>
        <w:rPr>
          <w:rFonts w:hint="eastAsia" w:ascii="宋体" w:hAnsi="宋体" w:cs="宋体"/>
          <w:color w:val="auto"/>
          <w:kern w:val="0"/>
          <w:szCs w:val="21"/>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Cs w:val="21"/>
          <w:highlight w:val="none"/>
        </w:rPr>
      </w:pP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残疾人福利性单位声明函</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（以资格条件落实中小企业扶持政策时适用，若有）</w:t>
      </w:r>
    </w:p>
    <w:p>
      <w:pPr>
        <w:widowControl/>
        <w:spacing w:before="75" w:after="75"/>
        <w:jc w:val="left"/>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 w:val="24"/>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 w:val="24"/>
          <w:highlight w:val="none"/>
        </w:rPr>
        <w:t>货物（不包括使用非残疾人福利性单位注册商标的货物）。（说明：只有部分货物由残疾人福利企业制造的，在该货物后标※）</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）由本投标人承建的（填写“所投采购包、品目号”）工程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）由本投标人承接的（填写“所投采购包、品目号”）服务；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2、若《残疾人福利性单位声明函》内容不真实，</w:t>
      </w:r>
      <w:r>
        <w:rPr>
          <w:rFonts w:hint="eastAsia" w:ascii="宋体" w:hAnsi="宋体" w:cs="宋体"/>
          <w:b/>
          <w:bCs/>
          <w:color w:val="auto"/>
          <w:kern w:val="0"/>
          <w:sz w:val="24"/>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75" w:after="75"/>
        <w:jc w:val="left"/>
        <w:rPr>
          <w:rFonts w:ascii="宋体" w:hAnsi="宋体" w:cs="宋体"/>
          <w:color w:val="auto"/>
          <w:kern w:val="0"/>
          <w:sz w:val="24"/>
          <w:highlight w:val="none"/>
        </w:rPr>
      </w:pP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18"/>
        <w:rPr>
          <w:rFonts w:ascii="宋体" w:hAnsi="宋体" w:cs="宋体"/>
          <w:color w:val="auto"/>
          <w:sz w:val="24"/>
          <w:szCs w:val="24"/>
          <w:highlight w:val="none"/>
        </w:rPr>
      </w:pPr>
    </w:p>
    <w:p>
      <w:pPr>
        <w:rPr>
          <w:rFonts w:ascii="宋体" w:hAnsi="宋体" w:cs="宋体"/>
          <w:color w:val="auto"/>
          <w:kern w:val="0"/>
          <w:sz w:val="24"/>
          <w:highlight w:val="none"/>
        </w:rPr>
      </w:pPr>
    </w:p>
    <w:p>
      <w:pPr>
        <w:pStyle w:val="18"/>
        <w:rPr>
          <w:rFonts w:ascii="宋体" w:hAnsi="宋体" w:cs="宋体"/>
          <w:color w:val="auto"/>
          <w:sz w:val="24"/>
          <w:szCs w:val="24"/>
          <w:highlight w:val="none"/>
        </w:rPr>
      </w:pPr>
    </w:p>
    <w:p>
      <w:pPr>
        <w:rPr>
          <w:rFonts w:ascii="宋体" w:hAnsi="宋体" w:cs="宋体"/>
          <w:color w:val="auto"/>
          <w:kern w:val="0"/>
          <w:sz w:val="24"/>
          <w:highlight w:val="none"/>
        </w:rPr>
      </w:pPr>
    </w:p>
    <w:p>
      <w:pPr>
        <w:pStyle w:val="18"/>
        <w:rPr>
          <w:rFonts w:ascii="宋体" w:hAnsi="宋体" w:cs="宋体"/>
          <w:color w:val="auto"/>
          <w:sz w:val="24"/>
          <w:szCs w:val="24"/>
          <w:highlight w:val="none"/>
        </w:rPr>
      </w:pPr>
    </w:p>
    <w:p>
      <w:pPr>
        <w:rPr>
          <w:rFonts w:ascii="宋体" w:hAnsi="宋体" w:cs="宋体"/>
          <w:color w:val="auto"/>
          <w:kern w:val="0"/>
          <w:sz w:val="24"/>
          <w:highlight w:val="none"/>
        </w:rPr>
      </w:pPr>
    </w:p>
    <w:p>
      <w:pPr>
        <w:pStyle w:val="18"/>
        <w:rPr>
          <w:rFonts w:ascii="宋体" w:hAnsi="宋体" w:cs="宋体"/>
          <w:color w:val="auto"/>
          <w:highlight w:val="none"/>
        </w:rPr>
      </w:pP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附：                          </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二-11联合体协议</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兹有</w:t>
      </w:r>
      <w:r>
        <w:rPr>
          <w:rFonts w:hint="eastAsia" w:ascii="宋体" w:hAnsi="宋体" w:cs="宋体"/>
          <w:color w:val="auto"/>
          <w:kern w:val="0"/>
          <w:szCs w:val="21"/>
          <w:highlight w:val="none"/>
          <w:u w:val="single"/>
        </w:rPr>
        <w:t>（填写“联合体中各方的全称”，各方的全称之间请用“、”分割）</w:t>
      </w:r>
      <w:r>
        <w:rPr>
          <w:rFonts w:hint="eastAsia" w:ascii="宋体" w:hAnsi="宋体" w:cs="宋体"/>
          <w:color w:val="auto"/>
          <w:kern w:val="0"/>
          <w:szCs w:val="21"/>
          <w:highlight w:val="none"/>
        </w:rPr>
        <w:t>自愿组成联合体，共同参加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）的投标。现就联合体参加本项目投标的有关事宜达成下列协议：</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一、联合体各方应承担的工作和义务具体如下：</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（成员一的全称）</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（填写“工作及义务的具体内容”） </w:t>
      </w: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 w:val="24"/>
          <w:highlight w:val="none"/>
        </w:rPr>
        <w:t>二、联合体各方的合同金额占比，具体如下：</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1.牵头方（</w:t>
      </w:r>
      <w:r>
        <w:rPr>
          <w:rFonts w:hint="eastAsia" w:ascii="宋体" w:hAnsi="宋体" w:cs="宋体"/>
          <w:color w:val="auto"/>
          <w:kern w:val="0"/>
          <w:szCs w:val="21"/>
          <w:highlight w:val="none"/>
          <w:u w:val="single"/>
        </w:rPr>
        <w:t xml:space="preserve">  全称 </w:t>
      </w:r>
      <w:r>
        <w:rPr>
          <w:rFonts w:hint="eastAsia" w:ascii="宋体" w:hAnsi="宋体" w:cs="宋体"/>
          <w:color w:val="auto"/>
          <w:kern w:val="0"/>
          <w:szCs w:val="21"/>
          <w:highlight w:val="none"/>
        </w:rPr>
        <w:t>）的合同金额占合同总额的＿%；</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2.成员方：</w:t>
      </w:r>
    </w:p>
    <w:p>
      <w:pPr>
        <w:widowControl/>
        <w:spacing w:before="100" w:beforeAutospacing="1" w:after="100" w:afterAutospacing="1"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2.1（</w:t>
      </w:r>
      <w:r>
        <w:rPr>
          <w:rFonts w:hint="eastAsia" w:ascii="宋体" w:hAnsi="宋体" w:cs="宋体"/>
          <w:color w:val="auto"/>
          <w:kern w:val="0"/>
          <w:szCs w:val="21"/>
          <w:highlight w:val="none"/>
          <w:u w:val="single"/>
        </w:rPr>
        <w:t xml:space="preserve"> 成员1的全称 </w:t>
      </w:r>
      <w:r>
        <w:rPr>
          <w:rFonts w:hint="eastAsia" w:ascii="宋体" w:hAnsi="宋体" w:cs="宋体"/>
          <w:color w:val="auto"/>
          <w:kern w:val="0"/>
          <w:szCs w:val="21"/>
          <w:highlight w:val="none"/>
        </w:rPr>
        <w:t>）的合同金额占合同总额的＿%；</w:t>
      </w:r>
    </w:p>
    <w:p>
      <w:pPr>
        <w:widowControl/>
        <w:spacing w:before="75" w:after="75" w:line="360" w:lineRule="auto"/>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三、联合体各方约定：</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1、由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2、联合体各方约定由</w:t>
      </w:r>
      <w:r>
        <w:rPr>
          <w:rFonts w:hint="eastAsia" w:ascii="宋体" w:hAnsi="宋体" w:cs="宋体"/>
          <w:color w:val="auto"/>
          <w:kern w:val="0"/>
          <w:szCs w:val="21"/>
          <w:highlight w:val="none"/>
          <w:u w:val="single"/>
        </w:rPr>
        <w:t>（填写“牵头方的全称”）</w:t>
      </w:r>
      <w:r>
        <w:rPr>
          <w:rFonts w:hint="eastAsia" w:ascii="宋体" w:hAnsi="宋体" w:cs="宋体"/>
          <w:color w:val="auto"/>
          <w:kern w:val="0"/>
          <w:szCs w:val="21"/>
          <w:highlight w:val="none"/>
        </w:rPr>
        <w:t>代表联合体办理投标保证金事宜。</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3、</w:t>
      </w:r>
      <w:r>
        <w:rPr>
          <w:rFonts w:hint="eastAsia" w:ascii="宋体" w:hAnsi="宋体" w:cs="宋体"/>
          <w:color w:val="auto"/>
          <w:kern w:val="0"/>
          <w:sz w:val="24"/>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kern w:val="0"/>
          <w:szCs w:val="21"/>
          <w:highlight w:val="none"/>
          <w:u w:val="single"/>
        </w:rPr>
        <w:t>（应填写“其中一方的全称”，如：联合体确定以成员一的条件参与商务部分的评标，则填写“成员一的全称”…；否则填写“无”）</w:t>
      </w:r>
      <w:r>
        <w:rPr>
          <w:rFonts w:hint="eastAsia" w:ascii="宋体" w:hAnsi="宋体" w:cs="宋体"/>
          <w:color w:val="auto"/>
          <w:kern w:val="0"/>
          <w:szCs w:val="21"/>
          <w:highlight w:val="none"/>
        </w:rPr>
        <w:t>的条件参与商务部分的评标。</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五、本协议自签署之日起生效，政府采购合同履行完毕后自动失效。</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六、本协议一式</w:t>
      </w:r>
      <w:r>
        <w:rPr>
          <w:rFonts w:hint="eastAsia" w:ascii="宋体" w:hAnsi="宋体" w:cs="宋体"/>
          <w:color w:val="auto"/>
          <w:kern w:val="0"/>
          <w:szCs w:val="21"/>
          <w:highlight w:val="none"/>
          <w:u w:val="single"/>
        </w:rPr>
        <w:t>（填写具体份数）</w:t>
      </w:r>
      <w:r>
        <w:rPr>
          <w:rFonts w:hint="eastAsia" w:ascii="宋体" w:hAnsi="宋体" w:cs="宋体"/>
          <w:color w:val="auto"/>
          <w:kern w:val="0"/>
          <w:szCs w:val="21"/>
          <w:highlight w:val="none"/>
        </w:rPr>
        <w:t>份，联合体各方各执一份，投标文件中提交一份。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（以下无正文）</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牵头方：</w:t>
      </w:r>
      <w:r>
        <w:rPr>
          <w:rFonts w:hint="eastAsia" w:ascii="宋体" w:hAnsi="宋体" w:cs="宋体"/>
          <w:color w:val="auto"/>
          <w:kern w:val="0"/>
          <w:szCs w:val="21"/>
          <w:highlight w:val="none"/>
          <w:u w:val="single"/>
        </w:rPr>
        <w:t>（全称并加盖单位公章）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成员一：</w:t>
      </w:r>
      <w:r>
        <w:rPr>
          <w:rFonts w:hint="eastAsia" w:ascii="宋体" w:hAnsi="宋体" w:cs="宋体"/>
          <w:color w:val="auto"/>
          <w:kern w:val="0"/>
          <w:szCs w:val="21"/>
          <w:highlight w:val="none"/>
          <w:u w:val="single"/>
        </w:rPr>
        <w:t>（全称并加盖成员一的单位公章）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成员**：</w:t>
      </w:r>
      <w:r>
        <w:rPr>
          <w:rFonts w:hint="eastAsia" w:ascii="宋体" w:hAnsi="宋体" w:cs="宋体"/>
          <w:color w:val="auto"/>
          <w:kern w:val="0"/>
          <w:szCs w:val="21"/>
          <w:highlight w:val="none"/>
          <w:u w:val="single"/>
        </w:rPr>
        <w:t>（全称并加盖成员**的单位公章）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（签字或盖章）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签署日期：</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1、招标文件接受联合体投标且投标人为联合体的，投标人应提供本协议；否则无须提供。</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2、本协议由委托代理人签字或盖章的，应按照本章载明的格式提供“单位授权书”。</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3、在以联合体形式落实中小企业预留份额项目中，投标人除了要提供《中小企业声明函》，还需提供本协议。 </w:t>
      </w:r>
    </w:p>
    <w:p>
      <w:pPr>
        <w:widowControl/>
        <w:spacing w:before="100" w:beforeAutospacing="1" w:after="100" w:afterAutospacing="1"/>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二-12分包意向协议</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甲方（总包方）：</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（即本项目的投标人）</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乙方（分包方）：</w:t>
      </w:r>
      <w:r>
        <w:rPr>
          <w:rFonts w:hint="eastAsia" w:ascii="宋体" w:hAnsi="宋体" w:cs="宋体"/>
          <w:color w:val="auto"/>
          <w:kern w:val="0"/>
          <w:szCs w:val="21"/>
          <w:highlight w:val="none"/>
          <w:u w:val="single"/>
        </w:rPr>
        <w:t>             </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color w:val="auto"/>
          <w:kern w:val="0"/>
          <w:szCs w:val="21"/>
          <w:highlight w:val="none"/>
        </w:rPr>
        <w:t>兹有甲方参加</w:t>
      </w:r>
      <w:r>
        <w:rPr>
          <w:rFonts w:hint="eastAsia" w:ascii="宋体" w:hAnsi="宋体" w:cs="宋体"/>
          <w:color w:val="auto"/>
          <w:kern w:val="0"/>
          <w:szCs w:val="21"/>
          <w:highlight w:val="none"/>
          <w:u w:val="single"/>
        </w:rPr>
        <w:t xml:space="preserve">（填写“项目名称”） </w:t>
      </w:r>
      <w:r>
        <w:rPr>
          <w:rFonts w:hint="eastAsia" w:ascii="宋体" w:hAnsi="宋体" w:cs="宋体"/>
          <w:color w:val="auto"/>
          <w:kern w:val="0"/>
          <w:szCs w:val="21"/>
          <w:highlight w:val="none"/>
        </w:rPr>
        <w:t>项目（项目编号：</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）的政府采购活动。甲方期望将采购项目的部分采购标的分包给乙方完成，而乙方保证能够向甲方提供本</w:t>
      </w:r>
      <w:r>
        <w:rPr>
          <w:rFonts w:hint="eastAsia" w:ascii="宋体" w:hAnsi="宋体" w:cs="宋体"/>
          <w:color w:val="auto"/>
          <w:kern w:val="0"/>
          <w:sz w:val="24"/>
          <w:highlight w:val="none"/>
        </w:rPr>
        <w:t>协议</w:t>
      </w:r>
      <w:r>
        <w:rPr>
          <w:rFonts w:hint="eastAsia" w:ascii="宋体" w:hAnsi="宋体" w:cs="宋体"/>
          <w:color w:val="auto"/>
          <w:kern w:val="0"/>
          <w:szCs w:val="21"/>
          <w:highlight w:val="none"/>
        </w:rPr>
        <w:t>项下的</w:t>
      </w:r>
      <w:r>
        <w:rPr>
          <w:rFonts w:hint="eastAsia" w:ascii="宋体" w:hAnsi="宋体" w:cs="宋体"/>
          <w:color w:val="auto"/>
          <w:kern w:val="0"/>
          <w:sz w:val="24"/>
          <w:highlight w:val="none"/>
        </w:rPr>
        <w:t>采购标的，甲、乙双方就合同分包的有关事宜达成下列协议：</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一、分包标的</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u w:val="single"/>
        </w:rPr>
        <w:t>（根据双方的意向填写，可以是表格或文字描述）</w:t>
      </w:r>
      <w:r>
        <w:rPr>
          <w:rFonts w:hint="eastAsia" w:ascii="宋体" w:hAnsi="宋体" w:cs="宋体"/>
          <w:color w:val="auto"/>
          <w:kern w:val="0"/>
          <w:szCs w:val="21"/>
          <w:highlight w:val="none"/>
        </w:rPr>
        <w:t>。</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二、分包合同金额占比</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分包合同价占投标总价的比例：　　%</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b/>
          <w:bCs/>
          <w:color w:val="auto"/>
          <w:kern w:val="0"/>
          <w:szCs w:val="21"/>
          <w:highlight w:val="none"/>
        </w:rPr>
        <w:t>三、其他条款</w:t>
      </w:r>
    </w:p>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 甲方：</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单</w:t>
            </w:r>
            <w:r>
              <w:rPr>
                <w:rFonts w:hint="eastAsia" w:ascii="宋体" w:hAnsi="宋体" w:cs="宋体"/>
                <w:color w:val="auto"/>
                <w:spacing w:val="-15"/>
                <w:kern w:val="0"/>
                <w:szCs w:val="21"/>
                <w:highlight w:val="none"/>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c>
          <w:tcPr>
            <w:tcW w:w="4065" w:type="dxa"/>
            <w:tcMar>
              <w:top w:w="0" w:type="dxa"/>
              <w:left w:w="105" w:type="dxa"/>
              <w:bottom w:w="0" w:type="dxa"/>
              <w:right w:w="105" w:type="dxa"/>
            </w:tcMar>
            <w:vAlign w:val="center"/>
          </w:tcPr>
          <w:p>
            <w:pPr>
              <w:widowControl/>
              <w:spacing w:line="400" w:lineRule="exact"/>
              <w:rPr>
                <w:rFonts w:ascii="宋体" w:hAnsi="宋体" w:cs="宋体"/>
                <w:color w:val="auto"/>
                <w:kern w:val="0"/>
                <w:sz w:val="24"/>
                <w:highlight w:val="none"/>
              </w:rPr>
            </w:pPr>
            <w:r>
              <w:rPr>
                <w:rFonts w:hint="eastAsia" w:ascii="宋体" w:hAnsi="宋体" w:cs="宋体"/>
                <w:color w:val="auto"/>
                <w:kern w:val="0"/>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310" w:type="dxa"/>
            <w:gridSpan w:val="2"/>
            <w:tcMar>
              <w:top w:w="0" w:type="dxa"/>
              <w:left w:w="105" w:type="dxa"/>
              <w:bottom w:w="0" w:type="dxa"/>
              <w:right w:w="105" w:type="dxa"/>
            </w:tcMar>
          </w:tcPr>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签订地点：</w:t>
            </w:r>
            <w:r>
              <w:rPr>
                <w:rFonts w:hint="eastAsia" w:ascii="宋体" w:hAnsi="宋体" w:cs="宋体"/>
                <w:color w:val="auto"/>
                <w:kern w:val="0"/>
                <w:szCs w:val="21"/>
                <w:highlight w:val="none"/>
                <w:u w:val="single"/>
              </w:rPr>
              <w:t>                </w:t>
            </w:r>
          </w:p>
          <w:p>
            <w:pPr>
              <w:widowControl/>
              <w:spacing w:line="400" w:lineRule="exact"/>
              <w:ind w:left="3045"/>
              <w:jc w:val="left"/>
              <w:rPr>
                <w:rFonts w:ascii="宋体" w:hAnsi="宋体" w:cs="宋体"/>
                <w:color w:val="auto"/>
                <w:kern w:val="0"/>
                <w:sz w:val="24"/>
                <w:highlight w:val="none"/>
              </w:rPr>
            </w:pPr>
            <w:r>
              <w:rPr>
                <w:rFonts w:hint="eastAsia" w:ascii="宋体" w:hAnsi="宋体" w:cs="宋体"/>
                <w:color w:val="auto"/>
                <w:kern w:val="0"/>
                <w:szCs w:val="21"/>
                <w:highlight w:val="none"/>
              </w:rPr>
              <w:t>签订日期：    年   月   日</w:t>
            </w:r>
          </w:p>
        </w:tc>
      </w:tr>
    </w:tbl>
    <w:p>
      <w:pPr>
        <w:widowControl/>
        <w:spacing w:line="400" w:lineRule="exact"/>
        <w:jc w:val="left"/>
        <w:rPr>
          <w:rFonts w:ascii="宋体" w:hAnsi="宋体" w:cs="宋体"/>
          <w:color w:val="auto"/>
          <w:kern w:val="0"/>
          <w:sz w:val="24"/>
          <w:highlight w:val="none"/>
        </w:rPr>
      </w:pPr>
      <w:r>
        <w:rPr>
          <w:rFonts w:hint="eastAsia" w:ascii="宋体" w:hAnsi="宋体" w:cs="宋体"/>
          <w:b/>
          <w:bCs/>
          <w:color w:val="auto"/>
          <w:kern w:val="0"/>
          <w:szCs w:val="21"/>
          <w:highlight w:val="none"/>
        </w:rPr>
        <w:t>※注意：</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1.招标文件接受合同分包且投标人拟将合同分包的，应提供本协议；否则无须提供。</w:t>
      </w:r>
    </w:p>
    <w:p>
      <w:pPr>
        <w:widowControl/>
        <w:spacing w:line="400" w:lineRule="exact"/>
        <w:ind w:firstLine="435"/>
        <w:jc w:val="left"/>
        <w:rPr>
          <w:rFonts w:ascii="宋体" w:hAnsi="宋体" w:cs="宋体"/>
          <w:color w:val="auto"/>
          <w:kern w:val="0"/>
          <w:sz w:val="24"/>
          <w:highlight w:val="none"/>
        </w:rPr>
      </w:pPr>
      <w:r>
        <w:rPr>
          <w:rFonts w:hint="eastAsia" w:ascii="宋体" w:hAnsi="宋体" w:cs="宋体"/>
          <w:b/>
          <w:bCs/>
          <w:color w:val="auto"/>
          <w:kern w:val="0"/>
          <w:szCs w:val="21"/>
          <w:highlight w:val="none"/>
        </w:rPr>
        <w:t>2.本协议由委托代理人签字或盖章的，应按照本章载明的格式提供“单位授权书”。</w:t>
      </w:r>
    </w:p>
    <w:p>
      <w:pPr>
        <w:widowControl/>
        <w:spacing w:line="400" w:lineRule="exact"/>
        <w:ind w:firstLine="435"/>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3.在以合同分包形式落实中小企业预留份额项目中，投标人除了要提供《中小企业声明函》，还需提供本协议。 </w:t>
      </w:r>
    </w:p>
    <w:p>
      <w:pPr>
        <w:pStyle w:val="18"/>
        <w:rPr>
          <w:rFonts w:ascii="宋体" w:hAnsi="宋体" w:cs="宋体"/>
          <w:color w:val="auto"/>
          <w:szCs w:val="21"/>
          <w:highlight w:val="none"/>
        </w:rPr>
      </w:pPr>
    </w:p>
    <w:p>
      <w:pPr>
        <w:rPr>
          <w:rFonts w:ascii="宋体" w:hAnsi="宋体" w:cs="宋体"/>
          <w:b/>
          <w:bCs/>
          <w:color w:val="auto"/>
          <w:kern w:val="0"/>
          <w:szCs w:val="21"/>
          <w:highlight w:val="none"/>
        </w:rPr>
      </w:pPr>
    </w:p>
    <w:p>
      <w:pPr>
        <w:pStyle w:val="18"/>
        <w:rPr>
          <w:rFonts w:ascii="宋体" w:hAnsi="宋体" w:cs="宋体"/>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二-13其他资格证明文件（若有）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二</w:t>
      </w:r>
      <w:r>
        <w:rPr>
          <w:rFonts w:hint="eastAsia" w:ascii="宋体" w:hAnsi="宋体" w:cs="宋体"/>
          <w:b/>
          <w:bCs/>
          <w:color w:val="auto"/>
          <w:kern w:val="0"/>
          <w:szCs w:val="21"/>
          <w:highlight w:val="none"/>
        </w:rPr>
        <w:t>-13-①具备履行合同所必需设备和专业技术能力专项证明材料（若有）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（采购人或采购代理机构）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2、投标人提供的相应证明材料复印件均应符合：内容完整、清晰、整洁，并由投标人加盖其单位公章。</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（全称并加盖单位公章）</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投标人代表签字：</w:t>
      </w:r>
      <w:r>
        <w:rPr>
          <w:rFonts w:hint="eastAsia" w:ascii="宋体" w:hAnsi="宋体" w:cs="宋体"/>
          <w:color w:val="auto"/>
          <w:highlight w:val="none"/>
          <w:u w:val="single"/>
        </w:rPr>
        <w:t>         </w:t>
      </w:r>
    </w:p>
    <w:p>
      <w:pPr>
        <w:pStyle w:val="17"/>
        <w:widowControl/>
        <w:spacing w:line="480" w:lineRule="exact"/>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二-13-②招标文件规定的其他资格证明文件（若有）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三、投标保证金</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1、在此项下提交的</w:t>
      </w:r>
      <w:r>
        <w:rPr>
          <w:rFonts w:hint="eastAsia" w:ascii="宋体" w:hAnsi="宋体" w:cs="宋体"/>
          <w:b/>
          <w:bCs/>
          <w:color w:val="auto"/>
          <w:kern w:val="0"/>
          <w:szCs w:val="21"/>
          <w:highlight w:val="none"/>
        </w:rPr>
        <w:t>“投标保证金”</w:t>
      </w:r>
      <w:r>
        <w:rPr>
          <w:rFonts w:hint="eastAsia" w:ascii="宋体" w:hAnsi="宋体" w:cs="宋体"/>
          <w:color w:val="auto"/>
          <w:kern w:val="0"/>
          <w:szCs w:val="21"/>
          <w:highlight w:val="none"/>
        </w:rPr>
        <w:t>材料可使用转账凭证复印件。</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2、投标保证金是否已提交的认定按照招标文件第三章规定执行。</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75" w:after="75"/>
        <w:rPr>
          <w:rFonts w:ascii="宋体" w:hAnsi="宋体" w:cs="宋体"/>
          <w:b/>
          <w:bCs/>
          <w:color w:val="auto"/>
          <w:kern w:val="0"/>
          <w:sz w:val="24"/>
          <w:highlight w:val="none"/>
        </w:rPr>
      </w:pPr>
      <w:r>
        <w:rPr>
          <w:rFonts w:hint="eastAsia" w:ascii="宋体" w:hAnsi="宋体" w:cs="宋体"/>
          <w:b/>
          <w:bCs/>
          <w:color w:val="auto"/>
          <w:kern w:val="0"/>
          <w:sz w:val="24"/>
          <w:highlight w:val="none"/>
        </w:rPr>
        <w:t>封面格式</w:t>
      </w:r>
    </w:p>
    <w:p>
      <w:pPr>
        <w:pStyle w:val="34"/>
        <w:rPr>
          <w:rFonts w:ascii="宋体" w:hAnsi="宋体" w:cs="宋体"/>
          <w:b/>
          <w:bCs/>
          <w:color w:val="auto"/>
          <w:sz w:val="24"/>
          <w:highlight w:val="none"/>
        </w:rPr>
      </w:pPr>
    </w:p>
    <w:p>
      <w:pPr>
        <w:pStyle w:val="7"/>
        <w:rPr>
          <w:rFonts w:ascii="宋体" w:hAnsi="宋体" w:cs="宋体"/>
          <w:color w:val="auto"/>
          <w:highlight w:val="none"/>
        </w:rPr>
      </w:pP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投标文件</w:t>
      </w:r>
    </w:p>
    <w:p>
      <w:pPr>
        <w:widowControl/>
        <w:spacing w:before="75" w:after="75"/>
        <w:jc w:val="center"/>
        <w:rPr>
          <w:rFonts w:ascii="宋体" w:hAnsi="宋体" w:cs="宋体"/>
          <w:color w:val="auto"/>
          <w:kern w:val="0"/>
          <w:sz w:val="52"/>
          <w:szCs w:val="52"/>
          <w:highlight w:val="none"/>
        </w:rPr>
      </w:pPr>
      <w:r>
        <w:rPr>
          <w:rFonts w:hint="eastAsia" w:ascii="宋体" w:hAnsi="宋体" w:cs="宋体"/>
          <w:b/>
          <w:bCs/>
          <w:color w:val="auto"/>
          <w:kern w:val="0"/>
          <w:sz w:val="52"/>
          <w:szCs w:val="52"/>
          <w:highlight w:val="none"/>
        </w:rPr>
        <w:t>（报价部分）</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（填写正本或副本）</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项目名称：（由投标人填写）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项目编号：（由投标人填写）</w:t>
      </w:r>
    </w:p>
    <w:p>
      <w:pPr>
        <w:widowControl/>
        <w:spacing w:before="75" w:after="75"/>
        <w:ind w:firstLine="1920"/>
        <w:jc w:val="left"/>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所投合同包：（由投标人填写）</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投标人：（填写“全称”）</w:t>
      </w:r>
    </w:p>
    <w:p>
      <w:pPr>
        <w:widowControl/>
        <w:spacing w:before="75" w:after="75"/>
        <w:jc w:val="center"/>
        <w:rPr>
          <w:rFonts w:ascii="宋体" w:hAnsi="宋体" w:cs="宋体"/>
          <w:color w:val="auto"/>
          <w:kern w:val="0"/>
          <w:sz w:val="32"/>
          <w:szCs w:val="32"/>
          <w:highlight w:val="none"/>
        </w:rPr>
      </w:pPr>
      <w:r>
        <w:rPr>
          <w:rFonts w:hint="eastAsia" w:ascii="宋体" w:hAnsi="宋体" w:cs="宋体"/>
          <w:b/>
          <w:bCs/>
          <w:color w:val="auto"/>
          <w:kern w:val="0"/>
          <w:sz w:val="32"/>
          <w:szCs w:val="32"/>
          <w:highlight w:val="none"/>
        </w:rPr>
        <w:t>（由投标人填写）年（由投标人填写）月</w:t>
      </w:r>
    </w:p>
    <w:p>
      <w:pPr>
        <w:widowControl/>
        <w:spacing w:before="75" w:after="75"/>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 </w:t>
      </w:r>
    </w:p>
    <w:p>
      <w:pPr>
        <w:pStyle w:val="2"/>
        <w:rPr>
          <w:rFonts w:ascii="宋体" w:hAnsi="宋体" w:cs="宋体"/>
          <w:color w:val="auto"/>
          <w:kern w:val="0"/>
          <w:sz w:val="32"/>
          <w:szCs w:val="32"/>
          <w:highlight w:val="none"/>
        </w:rPr>
      </w:pPr>
    </w:p>
    <w:p>
      <w:pPr>
        <w:rPr>
          <w:rFonts w:ascii="宋体" w:hAnsi="宋体" w:cs="宋体"/>
          <w:color w:val="auto"/>
          <w:highlight w:val="none"/>
        </w:rPr>
      </w:pPr>
    </w:p>
    <w:p>
      <w:pPr>
        <w:rPr>
          <w:rFonts w:ascii="宋体" w:hAnsi="宋体" w:cs="宋体"/>
          <w:color w:val="auto"/>
          <w:highlight w:val="none"/>
        </w:rPr>
      </w:pPr>
    </w:p>
    <w:p>
      <w:pPr>
        <w:pStyle w:val="17"/>
        <w:widowControl/>
        <w:jc w:val="center"/>
        <w:rPr>
          <w:rFonts w:ascii="宋体" w:hAnsi="宋体" w:cs="宋体"/>
          <w:color w:val="auto"/>
          <w:highlight w:val="none"/>
        </w:rPr>
      </w:pPr>
      <w:r>
        <w:rPr>
          <w:rStyle w:val="25"/>
          <w:rFonts w:hint="eastAsia" w:ascii="宋体" w:hAnsi="宋体" w:cs="宋体"/>
          <w:color w:val="auto"/>
          <w:sz w:val="21"/>
          <w:szCs w:val="21"/>
          <w:highlight w:val="none"/>
        </w:rPr>
        <w:t>一、开标一览表</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pPr>
        <w:pStyle w:val="17"/>
        <w:widowControl/>
        <w:jc w:val="right"/>
        <w:rPr>
          <w:rFonts w:ascii="宋体" w:hAnsi="宋体" w:cs="宋体"/>
          <w:color w:val="auto"/>
          <w:sz w:val="21"/>
          <w:szCs w:val="21"/>
          <w:highlight w:val="none"/>
        </w:rPr>
      </w:pPr>
      <w:r>
        <w:rPr>
          <w:rFonts w:hint="eastAsia" w:ascii="宋体" w:hAnsi="宋体" w:cs="宋体"/>
          <w:color w:val="auto"/>
          <w:sz w:val="21"/>
          <w:szCs w:val="21"/>
          <w:highlight w:val="none"/>
        </w:rPr>
        <w:t>货币及单位：人民币元</w:t>
      </w:r>
    </w:p>
    <w:tbl>
      <w:tblPr>
        <w:tblStyle w:val="21"/>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58"/>
        <w:gridCol w:w="1200"/>
        <w:gridCol w:w="1730"/>
        <w:gridCol w:w="854"/>
        <w:gridCol w:w="935"/>
        <w:gridCol w:w="118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583" w:type="dxa"/>
            <w:noWrap/>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合同包</w:t>
            </w:r>
          </w:p>
        </w:tc>
        <w:tc>
          <w:tcPr>
            <w:tcW w:w="1558"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1200"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单价</w:t>
            </w:r>
          </w:p>
        </w:tc>
        <w:tc>
          <w:tcPr>
            <w:tcW w:w="1730"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投标报价总价</w:t>
            </w:r>
          </w:p>
        </w:tc>
        <w:tc>
          <w:tcPr>
            <w:tcW w:w="854"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地点</w:t>
            </w:r>
          </w:p>
        </w:tc>
        <w:tc>
          <w:tcPr>
            <w:tcW w:w="935"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交货</w:t>
            </w:r>
          </w:p>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时间</w:t>
            </w:r>
          </w:p>
        </w:tc>
        <w:tc>
          <w:tcPr>
            <w:tcW w:w="1188"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1004" w:type="dxa"/>
            <w:noWrap/>
            <w:vAlign w:val="center"/>
          </w:tcPr>
          <w:p>
            <w:pPr>
              <w:pStyle w:val="17"/>
              <w:widowControl/>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583" w:type="dxa"/>
            <w:noWrap/>
            <w:vAlign w:val="center"/>
          </w:tcPr>
          <w:p>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58" w:type="dxa"/>
            <w:noWrap/>
            <w:vAlign w:val="center"/>
          </w:tcPr>
          <w:p>
            <w:pPr>
              <w:pStyle w:val="17"/>
              <w:widowControl/>
              <w:jc w:val="center"/>
              <w:rPr>
                <w:rFonts w:ascii="宋体" w:hAnsi="宋体" w:cs="宋体"/>
                <w:color w:val="auto"/>
                <w:sz w:val="21"/>
                <w:szCs w:val="21"/>
                <w:highlight w:val="none"/>
              </w:rPr>
            </w:pPr>
          </w:p>
          <w:p>
            <w:pPr>
              <w:pStyle w:val="17"/>
              <w:widowControl/>
              <w:jc w:val="center"/>
              <w:rPr>
                <w:rFonts w:ascii="宋体" w:hAnsi="宋体" w:cs="宋体"/>
                <w:color w:val="auto"/>
                <w:sz w:val="21"/>
                <w:szCs w:val="21"/>
                <w:highlight w:val="none"/>
              </w:rPr>
            </w:pPr>
          </w:p>
        </w:tc>
        <w:tc>
          <w:tcPr>
            <w:tcW w:w="1200" w:type="dxa"/>
            <w:noWrap/>
            <w:vAlign w:val="center"/>
          </w:tcPr>
          <w:p>
            <w:pPr>
              <w:pStyle w:val="17"/>
              <w:widowControl/>
              <w:jc w:val="center"/>
              <w:rPr>
                <w:rFonts w:ascii="宋体" w:hAnsi="宋体" w:cs="宋体"/>
                <w:color w:val="auto"/>
                <w:sz w:val="21"/>
                <w:szCs w:val="21"/>
                <w:highlight w:val="none"/>
              </w:rPr>
            </w:pPr>
          </w:p>
        </w:tc>
        <w:tc>
          <w:tcPr>
            <w:tcW w:w="1730" w:type="dxa"/>
            <w:noWrap/>
            <w:vAlign w:val="center"/>
          </w:tcPr>
          <w:p>
            <w:pPr>
              <w:pStyle w:val="17"/>
              <w:widowControl/>
              <w:jc w:val="center"/>
              <w:rPr>
                <w:rFonts w:ascii="宋体" w:hAnsi="宋体" w:cs="宋体"/>
                <w:color w:val="auto"/>
                <w:sz w:val="21"/>
                <w:szCs w:val="21"/>
                <w:highlight w:val="none"/>
              </w:rPr>
            </w:pPr>
          </w:p>
        </w:tc>
        <w:tc>
          <w:tcPr>
            <w:tcW w:w="854" w:type="dxa"/>
            <w:noWrap/>
            <w:vAlign w:val="center"/>
          </w:tcPr>
          <w:p>
            <w:pPr>
              <w:pStyle w:val="17"/>
              <w:widowControl/>
              <w:jc w:val="center"/>
              <w:rPr>
                <w:rFonts w:ascii="宋体" w:hAnsi="宋体" w:cs="宋体"/>
                <w:color w:val="auto"/>
                <w:sz w:val="21"/>
                <w:szCs w:val="21"/>
                <w:highlight w:val="none"/>
              </w:rPr>
            </w:pPr>
          </w:p>
        </w:tc>
        <w:tc>
          <w:tcPr>
            <w:tcW w:w="935" w:type="dxa"/>
            <w:noWrap/>
            <w:vAlign w:val="center"/>
          </w:tcPr>
          <w:p>
            <w:pPr>
              <w:pStyle w:val="17"/>
              <w:widowControl/>
              <w:jc w:val="center"/>
              <w:rPr>
                <w:rFonts w:ascii="宋体" w:hAnsi="宋体" w:cs="宋体"/>
                <w:color w:val="auto"/>
                <w:sz w:val="21"/>
                <w:szCs w:val="21"/>
                <w:highlight w:val="none"/>
              </w:rPr>
            </w:pPr>
          </w:p>
        </w:tc>
        <w:tc>
          <w:tcPr>
            <w:tcW w:w="1188" w:type="dxa"/>
            <w:noWrap/>
            <w:vAlign w:val="center"/>
          </w:tcPr>
          <w:p>
            <w:pPr>
              <w:pStyle w:val="17"/>
              <w:widowControl/>
              <w:jc w:val="center"/>
              <w:rPr>
                <w:rFonts w:ascii="宋体" w:hAnsi="宋体" w:cs="宋体"/>
                <w:color w:val="auto"/>
                <w:sz w:val="21"/>
                <w:szCs w:val="21"/>
                <w:highlight w:val="none"/>
              </w:rPr>
            </w:pPr>
          </w:p>
        </w:tc>
        <w:tc>
          <w:tcPr>
            <w:tcW w:w="1004" w:type="dxa"/>
            <w:noWrap/>
            <w:vAlign w:val="center"/>
          </w:tcPr>
          <w:p>
            <w:pPr>
              <w:pStyle w:val="17"/>
              <w:widowControl/>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ign w:val="center"/>
          </w:tcPr>
          <w:p>
            <w:pPr>
              <w:spacing w:line="500" w:lineRule="exact"/>
              <w:jc w:val="center"/>
              <w:rPr>
                <w:rFonts w:ascii="宋体" w:hAnsi="宋体" w:cs="宋体"/>
                <w:color w:val="auto"/>
                <w:sz w:val="24"/>
                <w:highlight w:val="none"/>
              </w:rPr>
            </w:pPr>
          </w:p>
        </w:tc>
        <w:tc>
          <w:tcPr>
            <w:tcW w:w="1558" w:type="dxa"/>
            <w:noWrap/>
            <w:vAlign w:val="center"/>
          </w:tcPr>
          <w:p>
            <w:pPr>
              <w:spacing w:line="500" w:lineRule="exact"/>
              <w:jc w:val="center"/>
              <w:rPr>
                <w:rFonts w:ascii="宋体" w:hAnsi="宋体" w:cs="宋体"/>
                <w:color w:val="auto"/>
                <w:sz w:val="24"/>
                <w:highlight w:val="none"/>
              </w:rPr>
            </w:pPr>
          </w:p>
        </w:tc>
        <w:tc>
          <w:tcPr>
            <w:tcW w:w="1200" w:type="dxa"/>
            <w:noWrap/>
            <w:vAlign w:val="center"/>
          </w:tcPr>
          <w:p>
            <w:pPr>
              <w:spacing w:line="500" w:lineRule="exact"/>
              <w:jc w:val="center"/>
              <w:rPr>
                <w:rFonts w:ascii="宋体" w:hAnsi="宋体" w:cs="宋体"/>
                <w:color w:val="auto"/>
                <w:sz w:val="24"/>
                <w:highlight w:val="none"/>
              </w:rPr>
            </w:pPr>
          </w:p>
        </w:tc>
        <w:tc>
          <w:tcPr>
            <w:tcW w:w="1730" w:type="dxa"/>
            <w:noWrap/>
            <w:vAlign w:val="center"/>
          </w:tcPr>
          <w:p>
            <w:pPr>
              <w:spacing w:line="500" w:lineRule="exact"/>
              <w:jc w:val="center"/>
              <w:rPr>
                <w:rFonts w:ascii="宋体" w:hAnsi="宋体" w:cs="宋体"/>
                <w:color w:val="auto"/>
                <w:sz w:val="24"/>
                <w:highlight w:val="none"/>
              </w:rPr>
            </w:pPr>
          </w:p>
        </w:tc>
        <w:tc>
          <w:tcPr>
            <w:tcW w:w="854" w:type="dxa"/>
            <w:noWrap/>
            <w:vAlign w:val="center"/>
          </w:tcPr>
          <w:p>
            <w:pPr>
              <w:spacing w:line="500" w:lineRule="exact"/>
              <w:rPr>
                <w:rFonts w:ascii="宋体" w:hAnsi="宋体" w:cs="宋体"/>
                <w:color w:val="auto"/>
                <w:sz w:val="24"/>
                <w:highlight w:val="none"/>
              </w:rPr>
            </w:pPr>
          </w:p>
        </w:tc>
        <w:tc>
          <w:tcPr>
            <w:tcW w:w="935" w:type="dxa"/>
            <w:noWrap/>
            <w:vAlign w:val="center"/>
          </w:tcPr>
          <w:p>
            <w:pPr>
              <w:spacing w:line="500" w:lineRule="exact"/>
              <w:rPr>
                <w:rFonts w:ascii="宋体" w:hAnsi="宋体" w:cs="宋体"/>
                <w:color w:val="auto"/>
                <w:sz w:val="24"/>
                <w:highlight w:val="none"/>
              </w:rPr>
            </w:pPr>
          </w:p>
        </w:tc>
        <w:tc>
          <w:tcPr>
            <w:tcW w:w="1188" w:type="dxa"/>
            <w:noWrap/>
            <w:vAlign w:val="center"/>
          </w:tcPr>
          <w:p>
            <w:pPr>
              <w:spacing w:line="500" w:lineRule="exact"/>
              <w:rPr>
                <w:rFonts w:ascii="宋体" w:hAnsi="宋体" w:cs="宋体"/>
                <w:color w:val="auto"/>
                <w:sz w:val="24"/>
                <w:highlight w:val="none"/>
              </w:rPr>
            </w:pPr>
          </w:p>
        </w:tc>
        <w:tc>
          <w:tcPr>
            <w:tcW w:w="1004" w:type="dxa"/>
            <w:noWrap/>
            <w:vAlign w:val="center"/>
          </w:tcPr>
          <w:p>
            <w:pPr>
              <w:spacing w:line="500" w:lineRule="exact"/>
              <w:rPr>
                <w:rFonts w:ascii="宋体" w:hAnsi="宋体" w:cs="宋体"/>
                <w:color w:val="auto"/>
                <w:sz w:val="24"/>
                <w:highlight w:val="none"/>
              </w:rPr>
            </w:pPr>
          </w:p>
        </w:tc>
      </w:tr>
    </w:tbl>
    <w:p>
      <w:pPr>
        <w:pStyle w:val="17"/>
        <w:widowControl/>
        <w:jc w:val="right"/>
        <w:rPr>
          <w:rFonts w:ascii="宋体" w:hAnsi="宋体" w:cs="宋体"/>
          <w:color w:val="auto"/>
          <w:sz w:val="21"/>
          <w:szCs w:val="21"/>
          <w:highlight w:val="none"/>
        </w:rPr>
      </w:pPr>
    </w:p>
    <w:p>
      <w:pPr>
        <w:pStyle w:val="17"/>
        <w:widowControl/>
        <w:rPr>
          <w:rFonts w:ascii="宋体" w:hAnsi="宋体" w:cs="宋体"/>
          <w:color w:val="auto"/>
          <w:highlight w:val="none"/>
        </w:rPr>
      </w:pPr>
      <w:r>
        <w:rPr>
          <w:rFonts w:hint="eastAsia" w:ascii="宋体" w:hAnsi="宋体" w:cs="宋体"/>
          <w:color w:val="auto"/>
          <w:sz w:val="21"/>
          <w:szCs w:val="21"/>
          <w:highlight w:val="none"/>
        </w:rPr>
        <w:t>★注意：</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1、本表应按照下列规定填写：</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1.1投标人应按照本表格式填写所投的合同包的“投标报价”。</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1.2本表中列示的“合同包”应与《投标分项报价表》中列示的“合同包”保持一致，即：若本表中列示的“合同包”为“1”时，《投标分项报价表》中列示的“合同包”亦应为“1”，以此类推。</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1.3“大写金额”指“投标报价”应用“壹、贰、叁、肆、伍、陆、柒、捌、玖、拾、佰、仟、万、亿、元、角、分、零”等进行填写。</w:t>
      </w:r>
    </w:p>
    <w:p>
      <w:pPr>
        <w:pStyle w:val="17"/>
        <w:widowControl/>
        <w:rPr>
          <w:rFonts w:ascii="宋体" w:hAnsi="宋体" w:cs="宋体"/>
          <w:color w:val="auto"/>
          <w:highlight w:val="none"/>
        </w:rPr>
      </w:pP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jc w:val="center"/>
        <w:rPr>
          <w:rStyle w:val="25"/>
          <w:rFonts w:ascii="宋体" w:hAnsi="宋体" w:cs="宋体"/>
          <w:color w:val="auto"/>
          <w:sz w:val="21"/>
          <w:szCs w:val="21"/>
          <w:highlight w:val="none"/>
        </w:rPr>
      </w:pPr>
    </w:p>
    <w:p>
      <w:pPr>
        <w:pStyle w:val="17"/>
        <w:widowControl/>
        <w:jc w:val="center"/>
        <w:rPr>
          <w:rStyle w:val="25"/>
          <w:rFonts w:ascii="宋体" w:hAnsi="宋体" w:cs="宋体"/>
          <w:color w:val="auto"/>
          <w:sz w:val="21"/>
          <w:szCs w:val="21"/>
          <w:highlight w:val="none"/>
        </w:rPr>
      </w:pPr>
    </w:p>
    <w:p>
      <w:pPr>
        <w:pStyle w:val="17"/>
        <w:widowControl/>
        <w:jc w:val="center"/>
        <w:rPr>
          <w:rStyle w:val="25"/>
          <w:rFonts w:ascii="宋体" w:hAnsi="宋体" w:cs="宋体"/>
          <w:color w:val="auto"/>
          <w:sz w:val="21"/>
          <w:szCs w:val="21"/>
          <w:highlight w:val="none"/>
        </w:rPr>
      </w:pPr>
    </w:p>
    <w:p>
      <w:pPr>
        <w:pStyle w:val="17"/>
        <w:widowControl/>
        <w:jc w:val="center"/>
        <w:rPr>
          <w:rStyle w:val="25"/>
          <w:rFonts w:ascii="宋体" w:hAnsi="宋体" w:cs="宋体"/>
          <w:color w:val="auto"/>
          <w:sz w:val="21"/>
          <w:szCs w:val="21"/>
          <w:highlight w:val="none"/>
        </w:rPr>
      </w:pPr>
    </w:p>
    <w:p>
      <w:pPr>
        <w:pStyle w:val="17"/>
        <w:widowControl/>
        <w:jc w:val="center"/>
        <w:rPr>
          <w:rStyle w:val="25"/>
          <w:rFonts w:ascii="宋体" w:hAnsi="宋体" w:cs="宋体"/>
          <w:color w:val="auto"/>
          <w:sz w:val="21"/>
          <w:szCs w:val="21"/>
          <w:highlight w:val="none"/>
        </w:rPr>
      </w:pPr>
    </w:p>
    <w:p>
      <w:pPr>
        <w:pStyle w:val="17"/>
        <w:widowControl/>
        <w:jc w:val="center"/>
        <w:rPr>
          <w:rStyle w:val="25"/>
          <w:rFonts w:ascii="宋体" w:hAnsi="宋体" w:cs="宋体"/>
          <w:color w:val="auto"/>
          <w:sz w:val="21"/>
          <w:szCs w:val="21"/>
          <w:highlight w:val="none"/>
        </w:rPr>
      </w:pPr>
    </w:p>
    <w:p>
      <w:pPr>
        <w:pStyle w:val="17"/>
        <w:widowControl/>
        <w:jc w:val="center"/>
        <w:rPr>
          <w:rFonts w:ascii="宋体" w:hAnsi="宋体" w:cs="宋体"/>
          <w:color w:val="auto"/>
          <w:highlight w:val="none"/>
        </w:rPr>
      </w:pPr>
      <w:r>
        <w:rPr>
          <w:rStyle w:val="25"/>
          <w:rFonts w:hint="eastAsia" w:ascii="宋体" w:hAnsi="宋体" w:cs="宋体"/>
          <w:color w:val="auto"/>
          <w:sz w:val="21"/>
          <w:szCs w:val="21"/>
          <w:highlight w:val="none"/>
        </w:rPr>
        <w:t>二、投标分项报价表</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w:t>
      </w:r>
    </w:p>
    <w:p>
      <w:pPr>
        <w:pStyle w:val="17"/>
        <w:widowControl/>
        <w:spacing w:line="340" w:lineRule="exact"/>
        <w:jc w:val="right"/>
        <w:rPr>
          <w:rFonts w:ascii="宋体" w:hAnsi="宋体" w:cs="宋体"/>
          <w:color w:val="auto"/>
          <w:highlight w:val="none"/>
        </w:rPr>
      </w:pPr>
      <w:r>
        <w:rPr>
          <w:rFonts w:hint="eastAsia" w:ascii="宋体" w:hAnsi="宋体" w:cs="宋体"/>
          <w:color w:val="auto"/>
          <w:sz w:val="21"/>
          <w:szCs w:val="21"/>
          <w:highlight w:val="none"/>
        </w:rPr>
        <w:t>货币及单位：人民币元</w:t>
      </w:r>
    </w:p>
    <w:tbl>
      <w:tblPr>
        <w:tblStyle w:val="21"/>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合同包</w:t>
            </w:r>
          </w:p>
        </w:tc>
        <w:tc>
          <w:tcPr>
            <w:tcW w:w="926"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品目号</w:t>
            </w:r>
          </w:p>
        </w:tc>
        <w:tc>
          <w:tcPr>
            <w:tcW w:w="1468"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投标标的</w:t>
            </w:r>
          </w:p>
        </w:tc>
        <w:tc>
          <w:tcPr>
            <w:tcW w:w="1206"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规格</w:t>
            </w:r>
          </w:p>
        </w:tc>
        <w:tc>
          <w:tcPr>
            <w:tcW w:w="821"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来源地</w:t>
            </w:r>
          </w:p>
        </w:tc>
        <w:tc>
          <w:tcPr>
            <w:tcW w:w="962"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单价</w:t>
            </w:r>
          </w:p>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559"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数量</w:t>
            </w:r>
          </w:p>
        </w:tc>
        <w:tc>
          <w:tcPr>
            <w:tcW w:w="1058"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总价</w:t>
            </w:r>
          </w:p>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（现场）</w:t>
            </w:r>
          </w:p>
        </w:tc>
        <w:tc>
          <w:tcPr>
            <w:tcW w:w="780"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r>
              <w:rPr>
                <w:rFonts w:hint="eastAsia" w:ascii="宋体" w:hAnsi="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restart"/>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p>
            <w:pPr>
              <w:spacing w:line="340" w:lineRule="exact"/>
              <w:rPr>
                <w:rFonts w:ascii="宋体" w:hAnsi="宋体" w:cs="宋体"/>
                <w:color w:val="auto"/>
                <w:highlight w:val="none"/>
              </w:rPr>
            </w:pPr>
          </w:p>
          <w:p>
            <w:pPr>
              <w:pStyle w:val="34"/>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vAlign w:val="center"/>
          </w:tcPr>
          <w:p>
            <w:pPr>
              <w:pStyle w:val="17"/>
              <w:widowControl/>
              <w:spacing w:line="340" w:lineRule="exact"/>
              <w:rPr>
                <w:rFonts w:ascii="宋体" w:hAnsi="宋体" w:cs="宋体"/>
                <w:color w:val="auto"/>
                <w:sz w:val="21"/>
                <w:szCs w:val="21"/>
                <w:highlight w:val="none"/>
              </w:rPr>
            </w:pPr>
          </w:p>
        </w:tc>
        <w:tc>
          <w:tcPr>
            <w:tcW w:w="1206"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821"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962"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559"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1058"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780"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926"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sz w:val="21"/>
                <w:szCs w:val="21"/>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34"/>
              <w:spacing w:line="340" w:lineRule="exact"/>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ascii="宋体" w:hAnsi="宋体" w:cs="宋体"/>
                <w:color w:val="auto"/>
                <w:sz w:val="24"/>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7"/>
              <w:widowControl/>
              <w:spacing w:line="340" w:lineRule="exact"/>
              <w:jc w:val="center"/>
              <w:rPr>
                <w:rFonts w:ascii="宋体" w:hAnsi="宋体" w:cs="宋体"/>
                <w:color w:val="auto"/>
                <w:highlight w:val="none"/>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r>
              <w:rPr>
                <w:rFonts w:hint="eastAsia" w:ascii="宋体" w:hAnsi="宋体" w:cs="宋体"/>
                <w:color w:val="auto"/>
                <w:highlight w:val="none"/>
              </w:rPr>
              <w:t>合计</w:t>
            </w:r>
          </w:p>
        </w:tc>
        <w:tc>
          <w:tcPr>
            <w:tcW w:w="146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ascii="宋体" w:hAnsi="宋体" w:cs="宋体"/>
                <w:color w:val="auto"/>
                <w:highlight w:val="none"/>
              </w:rPr>
            </w:pPr>
          </w:p>
        </w:tc>
        <w:tc>
          <w:tcPr>
            <w:tcW w:w="821"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962"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559"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1058"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c>
          <w:tcPr>
            <w:tcW w:w="780" w:type="dxa"/>
            <w:shd w:val="clear" w:color="auto" w:fill="auto"/>
            <w:tcMar>
              <w:top w:w="0" w:type="dxa"/>
              <w:left w:w="105" w:type="dxa"/>
              <w:bottom w:w="0" w:type="dxa"/>
              <w:right w:w="105" w:type="dxa"/>
            </w:tcMar>
          </w:tcPr>
          <w:p>
            <w:pPr>
              <w:widowControl/>
              <w:spacing w:line="340" w:lineRule="exact"/>
              <w:jc w:val="left"/>
              <w:rPr>
                <w:rFonts w:ascii="宋体" w:hAnsi="宋体" w:cs="宋体"/>
                <w:color w:val="auto"/>
                <w:highlight w:val="none"/>
              </w:rPr>
            </w:pPr>
          </w:p>
        </w:tc>
      </w:tr>
    </w:tbl>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★注意：</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1、本表应按照下列规定填写：</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1.2“投标标的”为货物的：</w:t>
      </w:r>
      <w:r>
        <w:rPr>
          <w:rStyle w:val="2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2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1.3“投标标的”为服务的：</w:t>
      </w:r>
      <w:r>
        <w:rPr>
          <w:rStyle w:val="2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2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p>
    <w:p>
      <w:pPr>
        <w:pStyle w:val="17"/>
        <w:widowControl/>
        <w:spacing w:line="340" w:lineRule="exact"/>
        <w:rPr>
          <w:rFonts w:ascii="宋体" w:hAnsi="宋体" w:cs="宋体"/>
          <w:color w:val="auto"/>
          <w:highlight w:val="none"/>
        </w:rPr>
      </w:pPr>
      <w:r>
        <w:rPr>
          <w:rFonts w:hint="eastAsia" w:ascii="宋体" w:hAnsi="宋体" w:cs="宋体"/>
          <w:color w:val="auto"/>
          <w:sz w:val="21"/>
          <w:szCs w:val="21"/>
          <w:highlight w:val="none"/>
        </w:rPr>
        <w:t>1.4同一合同包中，</w:t>
      </w:r>
      <w:r>
        <w:rPr>
          <w:rStyle w:val="25"/>
          <w:rFonts w:hint="eastAsia" w:ascii="宋体" w:hAnsi="宋体" w:cs="宋体"/>
          <w:color w:val="auto"/>
          <w:sz w:val="21"/>
          <w:szCs w:val="21"/>
          <w:highlight w:val="none"/>
        </w:rPr>
        <w:t>“单价（现场）”</w:t>
      </w:r>
      <w:r>
        <w:rPr>
          <w:rFonts w:hint="eastAsia" w:ascii="宋体" w:hAnsi="宋体" w:cs="宋体"/>
          <w:color w:val="auto"/>
          <w:sz w:val="21"/>
          <w:szCs w:val="21"/>
          <w:highlight w:val="none"/>
        </w:rPr>
        <w:t>×</w:t>
      </w:r>
      <w:r>
        <w:rPr>
          <w:rStyle w:val="25"/>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Style w:val="25"/>
          <w:rFonts w:hint="eastAsia" w:ascii="宋体" w:hAnsi="宋体" w:cs="宋体"/>
          <w:color w:val="auto"/>
          <w:sz w:val="21"/>
          <w:szCs w:val="21"/>
          <w:highlight w:val="none"/>
        </w:rPr>
        <w:t>“总价（现场）”</w:t>
      </w:r>
      <w:r>
        <w:rPr>
          <w:rFonts w:hint="eastAsia" w:ascii="宋体" w:hAnsi="宋体" w:cs="宋体"/>
          <w:color w:val="auto"/>
          <w:sz w:val="21"/>
          <w:szCs w:val="21"/>
          <w:highlight w:val="none"/>
        </w:rPr>
        <w:t>，全部品目号</w:t>
      </w:r>
      <w:r>
        <w:rPr>
          <w:rStyle w:val="25"/>
          <w:rFonts w:hint="eastAsia" w:ascii="宋体" w:hAnsi="宋体" w:cs="宋体"/>
          <w:color w:val="auto"/>
          <w:sz w:val="21"/>
          <w:szCs w:val="21"/>
          <w:highlight w:val="none"/>
        </w:rPr>
        <w:t>“总价（现场）”</w:t>
      </w:r>
      <w:r>
        <w:rPr>
          <w:rFonts w:hint="eastAsia" w:ascii="宋体" w:hAnsi="宋体" w:cs="宋体"/>
          <w:color w:val="auto"/>
          <w:sz w:val="21"/>
          <w:szCs w:val="21"/>
          <w:highlight w:val="none"/>
        </w:rPr>
        <w:t>的合计金额应与《开标一览表》中相应合同包列示的</w:t>
      </w:r>
      <w:r>
        <w:rPr>
          <w:rStyle w:val="25"/>
          <w:rFonts w:hint="eastAsia" w:ascii="宋体" w:hAnsi="宋体" w:cs="宋体"/>
          <w:color w:val="auto"/>
          <w:sz w:val="21"/>
          <w:szCs w:val="21"/>
          <w:highlight w:val="none"/>
        </w:rPr>
        <w:t>“投标总价”</w:t>
      </w:r>
      <w:r>
        <w:rPr>
          <w:rFonts w:hint="eastAsia" w:ascii="宋体" w:hAnsi="宋体" w:cs="宋体"/>
          <w:color w:val="auto"/>
          <w:sz w:val="21"/>
          <w:szCs w:val="21"/>
          <w:highlight w:val="none"/>
        </w:rPr>
        <w:t>保持一致。</w:t>
      </w:r>
    </w:p>
    <w:p>
      <w:pPr>
        <w:pStyle w:val="17"/>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25"/>
          <w:rFonts w:hint="eastAsia" w:ascii="宋体" w:hAnsi="宋体" w:cs="宋体"/>
          <w:color w:val="auto"/>
          <w:sz w:val="21"/>
          <w:szCs w:val="21"/>
          <w:highlight w:val="none"/>
        </w:rPr>
        <w:t>“备注”</w:t>
      </w:r>
      <w:r>
        <w:rPr>
          <w:rFonts w:hint="eastAsia" w:ascii="宋体" w:hAnsi="宋体" w:cs="宋体"/>
          <w:color w:val="auto"/>
          <w:sz w:val="21"/>
          <w:szCs w:val="21"/>
          <w:highlight w:val="none"/>
        </w:rPr>
        <w:t>项下填写。</w:t>
      </w:r>
    </w:p>
    <w:p>
      <w:pPr>
        <w:pStyle w:val="17"/>
        <w:widowControl/>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2、纸质投标文件正本中的本表应为原件。</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spacing w:before="100" w:beforeAutospacing="1" w:after="100" w:afterAutospacing="1"/>
        <w:jc w:val="center"/>
        <w:rPr>
          <w:rFonts w:ascii="宋体" w:hAnsi="宋体" w:cs="宋体"/>
          <w:color w:val="auto"/>
          <w:kern w:val="0"/>
          <w:szCs w:val="21"/>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三、招标文件规定的价格扣除证明材料（若有）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三-1优先类节能产品、环境标志产品价格扣除证明材料（若有）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三-1-①优先类节能产品、环境标志产品统计表（价格扣除适用，若有）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1、对节能、环境标志产品计算价格扣除时，只依据投标文件</w:t>
      </w:r>
      <w:r>
        <w:rPr>
          <w:rFonts w:hint="eastAsia" w:ascii="宋体" w:hAnsi="宋体" w:cs="宋体"/>
          <w:b/>
          <w:bCs/>
          <w:color w:val="auto"/>
          <w:kern w:val="0"/>
          <w:szCs w:val="21"/>
          <w:highlight w:val="none"/>
        </w:rPr>
        <w:t>“三-1-②优先类节能产品、环境标志产品证明材料（价格扣除适用，若有）”。</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0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三-2小型、微型企业产品等价格扣除证明材料（若有）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 w:val="24"/>
          <w:highlight w:val="none"/>
        </w:rPr>
        <w:t>三-2-①中小企业声明函（价格扣除适用，若有）</w:t>
      </w:r>
    </w:p>
    <w:p>
      <w:pPr>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中小企业声明函（货物）</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行业；制造商为（企业名称），从业人员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2. </w:t>
      </w:r>
      <w:r>
        <w:rPr>
          <w:rFonts w:hint="eastAsia" w:ascii="宋体" w:hAnsi="宋体" w:cs="宋体"/>
          <w:color w:val="auto"/>
          <w:kern w:val="0"/>
          <w:szCs w:val="21"/>
          <w:highlight w:val="none"/>
          <w:u w:val="single"/>
        </w:rPr>
        <w:t> （标的名称） </w:t>
      </w:r>
      <w:r>
        <w:rPr>
          <w:rFonts w:hint="eastAsia" w:ascii="宋体" w:hAnsi="宋体" w:cs="宋体"/>
          <w:color w:val="auto"/>
          <w:kern w:val="0"/>
          <w:sz w:val="24"/>
          <w:highlight w:val="none"/>
        </w:rPr>
        <w:t>， 属于</w:t>
      </w:r>
      <w:r>
        <w:rPr>
          <w:rFonts w:hint="eastAsia" w:ascii="宋体" w:hAnsi="宋体" w:cs="宋体"/>
          <w:color w:val="auto"/>
          <w:kern w:val="0"/>
          <w:szCs w:val="21"/>
          <w:highlight w:val="none"/>
          <w:u w:val="single"/>
        </w:rPr>
        <w:t> （采购文件中明确的所属行业 ）</w:t>
      </w:r>
      <w:r>
        <w:rPr>
          <w:rFonts w:hint="eastAsia" w:ascii="宋体" w:hAnsi="宋体" w:cs="宋体"/>
          <w:color w:val="auto"/>
          <w:kern w:val="0"/>
          <w:sz w:val="24"/>
          <w:highlight w:val="none"/>
        </w:rPr>
        <w:t>行业；制造商为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r>
        <w:rPr>
          <w:rFonts w:hint="eastAsia" w:ascii="宋体" w:hAnsi="宋体" w:cs="宋体"/>
          <w:color w:val="auto"/>
          <w:kern w:val="0"/>
          <w:szCs w:val="21"/>
          <w:highlight w:val="none"/>
        </w:rPr>
        <w:t>日期：</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ageBreakBefore/>
        <w:widowControl/>
        <w:spacing w:before="150" w:after="150"/>
        <w:jc w:val="center"/>
        <w:outlineLvl w:val="5"/>
        <w:rPr>
          <w:rFonts w:ascii="宋体" w:hAnsi="宋体" w:cs="宋体"/>
          <w:b/>
          <w:bCs/>
          <w:color w:val="auto"/>
          <w:kern w:val="0"/>
          <w:sz w:val="15"/>
          <w:szCs w:val="15"/>
          <w:highlight w:val="none"/>
        </w:rPr>
      </w:pPr>
      <w:r>
        <w:rPr>
          <w:rFonts w:hint="eastAsia" w:ascii="宋体" w:hAnsi="宋体" w:cs="宋体"/>
          <w:b/>
          <w:bCs/>
          <w:color w:val="auto"/>
          <w:kern w:val="0"/>
          <w:sz w:val="24"/>
          <w:highlight w:val="none"/>
        </w:rPr>
        <w:t>中小企业声明函（工程、服务</w:t>
      </w:r>
      <w:r>
        <w:rPr>
          <w:rFonts w:hint="eastAsia" w:ascii="宋体" w:hAnsi="宋体" w:cs="宋体"/>
          <w:b/>
          <w:bCs/>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    本公司（联合体）郑重声明，根据《政府采购促进中小企业发展管理办法》（财库﹝2020﹞46 号）的规定，本公司（联合体）参加</w:t>
      </w:r>
      <w:r>
        <w:rPr>
          <w:rFonts w:hint="eastAsia" w:ascii="宋体" w:hAnsi="宋体" w:cs="宋体"/>
          <w:color w:val="auto"/>
          <w:kern w:val="0"/>
          <w:szCs w:val="21"/>
          <w:highlight w:val="none"/>
          <w:u w:val="single"/>
        </w:rPr>
        <w:t>（单位名称）</w:t>
      </w:r>
      <w:r>
        <w:rPr>
          <w:rFonts w:hint="eastAsia" w:ascii="宋体" w:hAnsi="宋体" w:cs="宋体"/>
          <w:color w:val="auto"/>
          <w:kern w:val="0"/>
          <w:sz w:val="24"/>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w:t>
      </w:r>
      <w:r>
        <w:rPr>
          <w:rFonts w:hint="eastAsia" w:ascii="宋体" w:hAnsi="宋体" w:cs="宋体"/>
          <w:color w:val="auto"/>
          <w:kern w:val="0"/>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2.</w:t>
      </w:r>
      <w:r>
        <w:rPr>
          <w:rFonts w:hint="eastAsia" w:ascii="宋体" w:hAnsi="宋体" w:cs="宋体"/>
          <w:color w:val="auto"/>
          <w:kern w:val="0"/>
          <w:szCs w:val="21"/>
          <w:highlight w:val="none"/>
          <w:u w:val="single"/>
        </w:rPr>
        <w:t> （标的名称）</w:t>
      </w:r>
      <w:r>
        <w:rPr>
          <w:rFonts w:hint="eastAsia" w:ascii="宋体" w:hAnsi="宋体" w:cs="宋体"/>
          <w:color w:val="auto"/>
          <w:kern w:val="0"/>
          <w:sz w:val="24"/>
          <w:highlight w:val="none"/>
        </w:rPr>
        <w:t>，属于</w:t>
      </w:r>
      <w:r>
        <w:rPr>
          <w:rFonts w:hint="eastAsia" w:ascii="宋体" w:hAnsi="宋体" w:cs="宋体"/>
          <w:color w:val="auto"/>
          <w:kern w:val="0"/>
          <w:szCs w:val="21"/>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人，营业收入为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万元，资产总额为</w:t>
      </w:r>
      <w:r>
        <w:rPr>
          <w:rFonts w:hint="eastAsia" w:ascii="宋体" w:hAnsi="宋体" w:cs="宋体"/>
          <w:color w:val="auto"/>
          <w:kern w:val="0"/>
          <w:szCs w:val="21"/>
          <w:highlight w:val="none"/>
          <w:u w:val="single"/>
        </w:rPr>
        <w:t>  </w:t>
      </w:r>
      <w:r>
        <w:rPr>
          <w:rFonts w:hint="eastAsia" w:ascii="宋体" w:hAnsi="宋体" w:cs="宋体"/>
          <w:color w:val="auto"/>
          <w:kern w:val="0"/>
          <w:sz w:val="24"/>
          <w:highlight w:val="none"/>
        </w:rPr>
        <w:t>万元，属于</w:t>
      </w:r>
      <w:r>
        <w:rPr>
          <w:rFonts w:hint="eastAsia" w:ascii="宋体" w:hAnsi="宋体" w:cs="宋体"/>
          <w:color w:val="auto"/>
          <w:kern w:val="0"/>
          <w:szCs w:val="21"/>
          <w:highlight w:val="none"/>
          <w:u w:val="single"/>
        </w:rPr>
        <w:t>（中型企业、小型企业、微型企业）</w:t>
      </w: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以上企业，不属于大企业的分支机构，不存在控股股东为大企业的情形，也不存在与大企业的负责人为同一人的情形。</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本企业对上述声明内容的真实性负责。如有虚假，将依法承担相应责任。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企业名称（盖章）：     </w:t>
      </w:r>
    </w:p>
    <w:p>
      <w:pPr>
        <w:widowControl/>
        <w:spacing w:before="75" w:after="75"/>
        <w:jc w:val="center"/>
        <w:rPr>
          <w:rFonts w:ascii="宋体" w:hAnsi="宋体" w:cs="宋体"/>
          <w:color w:val="auto"/>
          <w:kern w:val="0"/>
          <w:sz w:val="24"/>
          <w:highlight w:val="none"/>
        </w:rPr>
      </w:pPr>
      <w:r>
        <w:rPr>
          <w:rFonts w:hint="eastAsia" w:ascii="宋体" w:hAnsi="宋体" w:cs="宋体"/>
          <w:color w:val="auto"/>
          <w:kern w:val="0"/>
          <w:sz w:val="24"/>
          <w:highlight w:val="none"/>
        </w:rPr>
        <w:t>日期：</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ascii="宋体" w:hAnsi="宋体" w:cs="宋体"/>
          <w:color w:val="auto"/>
          <w:kern w:val="0"/>
          <w:sz w:val="24"/>
          <w:highlight w:val="none"/>
        </w:rPr>
      </w:pPr>
      <w:r>
        <w:rPr>
          <w:rFonts w:hint="eastAsia" w:ascii="宋体" w:hAnsi="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三-2-</w:t>
      </w:r>
      <w:r>
        <w:rPr>
          <w:rFonts w:hint="eastAsia" w:ascii="宋体" w:hAnsi="宋体" w:cs="宋体"/>
          <w:b/>
          <w:bCs/>
          <w:color w:val="auto"/>
          <w:kern w:val="0"/>
          <w:sz w:val="24"/>
          <w:highlight w:val="none"/>
        </w:rPr>
        <w:t>②</w:t>
      </w:r>
      <w:r>
        <w:rPr>
          <w:rFonts w:hint="eastAsia" w:ascii="宋体" w:hAnsi="宋体" w:cs="宋体"/>
          <w:b/>
          <w:bCs/>
          <w:color w:val="auto"/>
          <w:kern w:val="0"/>
          <w:szCs w:val="21"/>
          <w:highlight w:val="none"/>
        </w:rPr>
        <w:t>小型、微型企业等证明材料（价格扣除适用，若有）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pStyle w:val="20"/>
        <w:ind w:left="420" w:firstLine="480"/>
        <w:rPr>
          <w:rFonts w:ascii="宋体" w:hAnsi="宋体" w:cs="宋体"/>
          <w:color w:val="auto"/>
          <w:highlight w:val="none"/>
        </w:rPr>
      </w:pP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附：</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残疾人福利性单位声明函（价格扣除适用，若有）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kern w:val="0"/>
          <w:szCs w:val="21"/>
          <w:highlight w:val="none"/>
          <w:u w:val="single"/>
        </w:rPr>
        <w:t>（填写“项目名称”）</w:t>
      </w:r>
      <w:r>
        <w:rPr>
          <w:rFonts w:hint="eastAsia" w:ascii="宋体" w:hAnsi="宋体" w:cs="宋体"/>
          <w:color w:val="auto"/>
          <w:kern w:val="0"/>
          <w:szCs w:val="21"/>
          <w:highlight w:val="none"/>
        </w:rPr>
        <w:t>项目采购活动：</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）提供本投标人制造的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货物，或提供其他残疾人福利性单位制造的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货物（不包括使用非残疾人福利性单位注册商标的货物）。（说明：只有部分货物由残疾人福利企业制造的，在该货物后标</w:t>
      </w:r>
      <w:r>
        <w:rPr>
          <w:rFonts w:hint="eastAsia" w:ascii="宋体" w:hAnsi="宋体" w:cs="宋体"/>
          <w:color w:val="auto"/>
          <w:kern w:val="0"/>
          <w:sz w:val="24"/>
          <w:highlight w:val="none"/>
        </w:rPr>
        <w:t>★</w:t>
      </w:r>
      <w:r>
        <w:rPr>
          <w:rFonts w:hint="eastAsia" w:ascii="宋体" w:hAnsi="宋体" w:cs="宋体"/>
          <w:color w:val="auto"/>
          <w:kern w:val="0"/>
          <w:szCs w:val="21"/>
          <w:highlight w:val="none"/>
        </w:rPr>
        <w:t>）</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）由本投标人承建的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工程</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）由本投标人承接的</w:t>
      </w:r>
      <w:r>
        <w:rPr>
          <w:rFonts w:hint="eastAsia" w:ascii="宋体" w:hAnsi="宋体" w:cs="宋体"/>
          <w:color w:val="auto"/>
          <w:kern w:val="0"/>
          <w:szCs w:val="21"/>
          <w:highlight w:val="none"/>
          <w:u w:val="single"/>
        </w:rPr>
        <w:t>（填写“所投采购包、品目号”）</w:t>
      </w:r>
      <w:r>
        <w:rPr>
          <w:rFonts w:hint="eastAsia" w:ascii="宋体" w:hAnsi="宋体" w:cs="宋体"/>
          <w:color w:val="auto"/>
          <w:kern w:val="0"/>
          <w:szCs w:val="21"/>
          <w:highlight w:val="none"/>
        </w:rPr>
        <w:t>服务；</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本投标人对上述声明的真实性负责。如有虚假，将依法承担相应责任。</w:t>
      </w:r>
    </w:p>
    <w:p>
      <w:pPr>
        <w:widowControl/>
        <w:spacing w:before="75" w:after="75"/>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备注：</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1、请投标人按照实际情况编制填写本声明函，并在相应的（）中打“√”。</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2、若《残疾人福利性单位声明函》内容不真实，</w:t>
      </w:r>
      <w:r>
        <w:rPr>
          <w:rFonts w:hint="eastAsia" w:ascii="宋体" w:hAnsi="宋体" w:cs="宋体"/>
          <w:b/>
          <w:bCs/>
          <w:color w:val="auto"/>
          <w:kern w:val="0"/>
          <w:szCs w:val="21"/>
          <w:highlight w:val="none"/>
        </w:rPr>
        <w:t>视为提供虚假材料。</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widowControl/>
        <w:ind w:firstLine="420"/>
        <w:jc w:val="left"/>
        <w:rPr>
          <w:rFonts w:ascii="宋体" w:hAnsi="宋体" w:cs="宋体"/>
          <w:color w:val="auto"/>
          <w:kern w:val="0"/>
          <w:sz w:val="24"/>
          <w:highlight w:val="none"/>
        </w:rPr>
      </w:pPr>
    </w:p>
    <w:p>
      <w:pPr>
        <w:widowControl/>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附：</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监狱企业证明材料</w:t>
      </w:r>
    </w:p>
    <w:p>
      <w:pPr>
        <w:widowControl/>
        <w:spacing w:before="75" w:after="75"/>
        <w:jc w:val="center"/>
        <w:rPr>
          <w:rFonts w:ascii="宋体" w:hAnsi="宋体" w:cs="宋体"/>
          <w:color w:val="auto"/>
          <w:kern w:val="0"/>
          <w:sz w:val="24"/>
          <w:highlight w:val="none"/>
        </w:rPr>
      </w:pPr>
      <w:r>
        <w:rPr>
          <w:rFonts w:hint="eastAsia" w:ascii="宋体" w:hAnsi="宋体" w:cs="宋体"/>
          <w:b/>
          <w:bCs/>
          <w:color w:val="auto"/>
          <w:kern w:val="0"/>
          <w:sz w:val="24"/>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  投标人为监狱企业，提供本单位制造的货物（承接的服务），并在投标文件中提供省级以上监狱管理局、戒毒管理局（含新疆生产建设兵团）出具的属于监狱企业的证明文件。</w:t>
      </w:r>
    </w:p>
    <w:p>
      <w:pPr>
        <w:widowControl/>
        <w:spacing w:before="75" w:after="240"/>
        <w:jc w:val="left"/>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三-3招标文件规定的其他价格扣除证明材料（若有）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“节能（非强制类）、环境标志产品价格扣除”及“小型、微型企业产品等价格扣除”</w:t>
      </w:r>
      <w:r>
        <w:rPr>
          <w:rFonts w:hint="eastAsia" w:ascii="宋体" w:hAnsi="宋体" w:cs="宋体"/>
          <w:color w:val="auto"/>
          <w:kern w:val="0"/>
          <w:szCs w:val="21"/>
          <w:highlight w:val="none"/>
        </w:rPr>
        <w:t>外的其他价格扣除优惠，则投标人应按照招标文件要求提供相应证明材料。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240"/>
        <w:jc w:val="left"/>
        <w:rPr>
          <w:rFonts w:ascii="宋体" w:hAnsi="宋体" w:cs="宋体"/>
          <w:color w:val="auto"/>
          <w:kern w:val="0"/>
          <w:sz w:val="24"/>
          <w:highlight w:val="none"/>
        </w:rPr>
      </w:pPr>
      <w:r>
        <w:rPr>
          <w:rFonts w:hint="eastAsia" w:ascii="宋体" w:hAnsi="宋体" w:cs="宋体"/>
          <w:color w:val="auto"/>
          <w:kern w:val="0"/>
          <w:szCs w:val="21"/>
          <w:highlight w:val="none"/>
        </w:rPr>
        <w:t> </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br w:type="textWrapping"/>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b/>
          <w:bCs/>
          <w:color w:val="auto"/>
          <w:kern w:val="0"/>
          <w:szCs w:val="21"/>
          <w:highlight w:val="none"/>
        </w:rPr>
        <w:t>四、招标文件规定的加分证明材料（若有）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四-1优先类节能产品、环境标志产品加分证明材料（若有）</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四-1-①优先类节能产品、环境标志产品统计表（加分适用，若有）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项目编号：</w:t>
      </w:r>
      <w:r>
        <w:rPr>
          <w:rFonts w:hint="eastAsia" w:ascii="宋体" w:hAnsi="宋体" w:cs="宋体"/>
          <w:color w:val="auto"/>
          <w:kern w:val="0"/>
          <w:szCs w:val="21"/>
          <w:highlight w:val="none"/>
          <w:u w:val="single"/>
        </w:rPr>
        <w:t>                   </w:t>
      </w:r>
    </w:p>
    <w:p>
      <w:pPr>
        <w:widowControl/>
        <w:spacing w:before="100" w:beforeAutospacing="1" w:after="100" w:afterAutospacing="1"/>
        <w:jc w:val="right"/>
        <w:rPr>
          <w:rFonts w:ascii="宋体" w:hAnsi="宋体" w:cs="宋体"/>
          <w:color w:val="auto"/>
          <w:kern w:val="0"/>
          <w:sz w:val="24"/>
          <w:highlight w:val="none"/>
        </w:rPr>
      </w:pPr>
      <w:r>
        <w:rPr>
          <w:rFonts w:hint="eastAsia" w:ascii="宋体" w:hAnsi="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单价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总价</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a.采购包内属于节能、环境标志产品的报价总金额：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b.采购包投标总价（报价总金额）：</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c.“采购包内属于节能、环境标志产品的报价总金额”占“采购包投标总价（报价总金额）”的比例（以%列示）：</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w:t>
            </w:r>
          </w:p>
        </w:tc>
      </w:tr>
    </w:tbl>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1、对节能、环境标志产品计算加分时，只依据投标文件</w:t>
      </w:r>
      <w:r>
        <w:rPr>
          <w:rFonts w:hint="eastAsia" w:ascii="宋体" w:hAnsi="宋体" w:cs="宋体"/>
          <w:b/>
          <w:bCs/>
          <w:color w:val="auto"/>
          <w:kern w:val="0"/>
          <w:szCs w:val="21"/>
          <w:highlight w:val="none"/>
        </w:rPr>
        <w:t>“四-1-②优先类节能产品、环境标志产品加分证明材料（加分适用，若有）”。</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2、本表以采购包为单位，不同采购包请分别填写；同一采购包请按照其品目号顺序分别填写。</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3、具体统计、计算：</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3.1 若节能、环境标志产品仅是构成投标产品的部件、组件或零件，则该投标产品不享受鼓励优惠政策。同一品目中各认证证书不重复计算加分。强制类节能产品不享受加分。</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3.2计算结果若除不尽，可四舍五入保留到小数点后两位。</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3.3投标人应按照招标文件要求认真统计、计算，否则评标委员会不予认定。</w:t>
      </w:r>
    </w:p>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Cs w:val="21"/>
          <w:highlight w:val="none"/>
        </w:rPr>
        <w:t>3.4若无节能、环境标志产品，不填写本表，否则，</w:t>
      </w:r>
      <w:r>
        <w:rPr>
          <w:rFonts w:hint="eastAsia" w:ascii="宋体" w:hAnsi="宋体" w:cs="宋体"/>
          <w:b/>
          <w:bCs/>
          <w:color w:val="auto"/>
          <w:kern w:val="0"/>
          <w:szCs w:val="21"/>
          <w:highlight w:val="none"/>
        </w:rPr>
        <w:t>视为提供虚假材料</w:t>
      </w:r>
      <w:r>
        <w:rPr>
          <w:rFonts w:hint="eastAsia" w:ascii="宋体" w:hAnsi="宋体" w:cs="宋体"/>
          <w:color w:val="auto"/>
          <w:kern w:val="0"/>
          <w:szCs w:val="21"/>
          <w:highlight w:val="none"/>
        </w:rPr>
        <w:t>。</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rPr>
          <w:rFonts w:ascii="宋体" w:hAnsi="宋体" w:cs="宋体"/>
          <w:b/>
          <w:bCs/>
          <w:color w:val="auto"/>
          <w:kern w:val="0"/>
          <w:szCs w:val="21"/>
          <w:highlight w:val="none"/>
        </w:rPr>
      </w:pPr>
    </w:p>
    <w:p>
      <w:pPr>
        <w:pStyle w:val="20"/>
        <w:ind w:left="420" w:firstLine="480"/>
        <w:rPr>
          <w:rFonts w:ascii="宋体" w:hAnsi="宋体" w:cs="宋体"/>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四-1-②优先类节能产品、环境标志产品证明材料（加分适用，若有）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b/>
          <w:bCs/>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四</w:t>
      </w:r>
      <w:r>
        <w:rPr>
          <w:rFonts w:hint="eastAsia" w:ascii="宋体" w:hAnsi="宋体" w:cs="宋体"/>
          <w:b/>
          <w:bCs/>
          <w:color w:val="auto"/>
          <w:kern w:val="0"/>
          <w:szCs w:val="21"/>
          <w:highlight w:val="none"/>
        </w:rPr>
        <w:t>-2招标文件规定的其他加分证明材料（若有）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ind w:firstLine="420"/>
        <w:jc w:val="left"/>
        <w:rPr>
          <w:rFonts w:ascii="宋体" w:hAnsi="宋体" w:cs="宋体"/>
          <w:color w:val="auto"/>
          <w:kern w:val="0"/>
          <w:sz w:val="24"/>
          <w:highlight w:val="none"/>
        </w:rPr>
      </w:pPr>
      <w:r>
        <w:rPr>
          <w:rFonts w:hint="eastAsia" w:ascii="宋体" w:hAnsi="宋体" w:cs="宋体"/>
          <w:color w:val="auto"/>
          <w:kern w:val="0"/>
          <w:szCs w:val="21"/>
          <w:highlight w:val="none"/>
        </w:rPr>
        <w:t>若投标人可享受招标文件规定的除</w:t>
      </w:r>
      <w:r>
        <w:rPr>
          <w:rFonts w:hint="eastAsia" w:ascii="宋体" w:hAnsi="宋体" w:cs="宋体"/>
          <w:b/>
          <w:bCs/>
          <w:color w:val="auto"/>
          <w:kern w:val="0"/>
          <w:szCs w:val="21"/>
          <w:highlight w:val="none"/>
        </w:rPr>
        <w:t>“优先类节能产品、环境标志产品加分”</w:t>
      </w:r>
      <w:r>
        <w:rPr>
          <w:rFonts w:hint="eastAsia" w:ascii="宋体" w:hAnsi="宋体" w:cs="宋体"/>
          <w:color w:val="auto"/>
          <w:kern w:val="0"/>
          <w:szCs w:val="21"/>
          <w:highlight w:val="none"/>
        </w:rPr>
        <w:t>外的其他加分优惠，则投标人应按照招标文件要求提供相应证明材料。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pStyle w:val="17"/>
        <w:widowControl/>
        <w:rPr>
          <w:rFonts w:ascii="宋体" w:hAnsi="宋体" w:cs="宋体"/>
          <w:color w:val="auto"/>
          <w:sz w:val="21"/>
          <w:szCs w:val="21"/>
          <w:highlight w:val="none"/>
        </w:rPr>
      </w:pP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jc w:val="center"/>
        <w:rPr>
          <w:rFonts w:ascii="宋体" w:hAnsi="宋体" w:cs="宋体"/>
          <w:color w:val="auto"/>
          <w:highlight w:val="none"/>
        </w:rPr>
      </w:pPr>
      <w:r>
        <w:rPr>
          <w:rStyle w:val="25"/>
          <w:rFonts w:hint="eastAsia" w:ascii="宋体" w:hAnsi="宋体" w:cs="宋体"/>
          <w:color w:val="auto"/>
          <w:sz w:val="28"/>
          <w:szCs w:val="28"/>
          <w:highlight w:val="none"/>
        </w:rPr>
        <w:t>封面格式</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jc w:val="center"/>
        <w:rPr>
          <w:rFonts w:ascii="宋体" w:hAnsi="宋体" w:cs="宋体"/>
          <w:color w:val="auto"/>
          <w:highlight w:val="none"/>
        </w:rPr>
      </w:pPr>
      <w:r>
        <w:rPr>
          <w:rStyle w:val="25"/>
          <w:rFonts w:hint="eastAsia" w:ascii="宋体" w:hAnsi="宋体" w:cs="宋体"/>
          <w:color w:val="auto"/>
          <w:sz w:val="48"/>
          <w:szCs w:val="48"/>
          <w:highlight w:val="none"/>
        </w:rPr>
        <w:t>福建省政府采购投标文件</w:t>
      </w:r>
    </w:p>
    <w:p>
      <w:pPr>
        <w:pStyle w:val="17"/>
        <w:widowControl/>
        <w:jc w:val="center"/>
        <w:rPr>
          <w:rFonts w:ascii="宋体" w:hAnsi="宋体" w:cs="宋体"/>
          <w:color w:val="auto"/>
          <w:highlight w:val="none"/>
        </w:rPr>
      </w:pPr>
      <w:r>
        <w:rPr>
          <w:rStyle w:val="25"/>
          <w:rFonts w:hint="eastAsia" w:ascii="宋体" w:hAnsi="宋体" w:cs="宋体"/>
          <w:color w:val="auto"/>
          <w:sz w:val="48"/>
          <w:szCs w:val="48"/>
          <w:highlight w:val="none"/>
        </w:rPr>
        <w:t>（技术商务部分）</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jc w:val="center"/>
        <w:rPr>
          <w:rFonts w:ascii="宋体" w:hAnsi="宋体" w:cs="宋体"/>
          <w:color w:val="auto"/>
          <w:highlight w:val="none"/>
        </w:rPr>
      </w:pPr>
      <w:r>
        <w:rPr>
          <w:rStyle w:val="25"/>
          <w:rFonts w:hint="eastAsia" w:ascii="宋体" w:hAnsi="宋体" w:cs="宋体"/>
          <w:color w:val="auto"/>
          <w:sz w:val="36"/>
          <w:szCs w:val="36"/>
          <w:highlight w:val="none"/>
          <w:u w:val="single"/>
        </w:rPr>
        <w:t>（填写正本或副本）</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ind w:firstLine="1920"/>
        <w:rPr>
          <w:rFonts w:ascii="宋体" w:hAnsi="宋体" w:cs="宋体"/>
          <w:color w:val="auto"/>
          <w:highlight w:val="none"/>
        </w:rPr>
      </w:pPr>
      <w:r>
        <w:rPr>
          <w:rStyle w:val="25"/>
          <w:rFonts w:hint="eastAsia" w:ascii="宋体" w:hAnsi="宋体" w:cs="宋体"/>
          <w:color w:val="auto"/>
          <w:sz w:val="31"/>
          <w:szCs w:val="31"/>
          <w:highlight w:val="none"/>
        </w:rPr>
        <w:t>项目名称：</w:t>
      </w:r>
      <w:r>
        <w:rPr>
          <w:rStyle w:val="25"/>
          <w:rFonts w:hint="eastAsia" w:ascii="宋体" w:hAnsi="宋体" w:cs="宋体"/>
          <w:color w:val="auto"/>
          <w:sz w:val="31"/>
          <w:szCs w:val="31"/>
          <w:highlight w:val="none"/>
          <w:u w:val="single"/>
        </w:rPr>
        <w:t>（由投标人填写）</w:t>
      </w:r>
    </w:p>
    <w:p>
      <w:pPr>
        <w:pStyle w:val="17"/>
        <w:widowControl/>
        <w:ind w:firstLine="1920"/>
        <w:rPr>
          <w:rFonts w:ascii="宋体" w:hAnsi="宋体" w:cs="宋体"/>
          <w:color w:val="auto"/>
          <w:highlight w:val="none"/>
        </w:rPr>
      </w:pPr>
      <w:r>
        <w:rPr>
          <w:rStyle w:val="25"/>
          <w:rFonts w:hint="eastAsia" w:ascii="宋体" w:hAnsi="宋体" w:cs="宋体"/>
          <w:color w:val="auto"/>
          <w:sz w:val="31"/>
          <w:szCs w:val="31"/>
          <w:highlight w:val="none"/>
        </w:rPr>
        <w:t>项目编号：</w:t>
      </w:r>
      <w:r>
        <w:rPr>
          <w:rStyle w:val="25"/>
          <w:rFonts w:hint="eastAsia" w:ascii="宋体" w:hAnsi="宋体" w:cs="宋体"/>
          <w:color w:val="auto"/>
          <w:sz w:val="31"/>
          <w:szCs w:val="31"/>
          <w:highlight w:val="none"/>
          <w:u w:val="single"/>
        </w:rPr>
        <w:t>（由投标人填写）</w:t>
      </w:r>
    </w:p>
    <w:p>
      <w:pPr>
        <w:pStyle w:val="17"/>
        <w:widowControl/>
        <w:ind w:firstLine="1920"/>
        <w:rPr>
          <w:rFonts w:ascii="宋体" w:hAnsi="宋体" w:cs="宋体"/>
          <w:color w:val="auto"/>
          <w:highlight w:val="none"/>
        </w:rPr>
      </w:pPr>
      <w:r>
        <w:rPr>
          <w:rStyle w:val="25"/>
          <w:rFonts w:hint="eastAsia" w:ascii="宋体" w:hAnsi="宋体" w:cs="宋体"/>
          <w:color w:val="auto"/>
          <w:sz w:val="31"/>
          <w:szCs w:val="31"/>
          <w:highlight w:val="none"/>
        </w:rPr>
        <w:t>所投合同包：</w:t>
      </w:r>
      <w:r>
        <w:rPr>
          <w:rStyle w:val="25"/>
          <w:rFonts w:hint="eastAsia" w:ascii="宋体" w:hAnsi="宋体" w:cs="宋体"/>
          <w:color w:val="auto"/>
          <w:sz w:val="31"/>
          <w:szCs w:val="31"/>
          <w:highlight w:val="none"/>
          <w:u w:val="single"/>
        </w:rPr>
        <w:t>（由投标人填写）</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rPr>
          <w:rFonts w:ascii="宋体" w:hAnsi="宋体" w:cs="宋体"/>
          <w:color w:val="auto"/>
          <w:highlight w:val="none"/>
        </w:rPr>
      </w:pPr>
      <w:r>
        <w:rPr>
          <w:rFonts w:hint="eastAsia" w:ascii="宋体" w:hAnsi="宋体" w:cs="宋体"/>
          <w:color w:val="auto"/>
          <w:sz w:val="36"/>
          <w:szCs w:val="36"/>
          <w:highlight w:val="none"/>
        </w:rPr>
        <w:t> </w:t>
      </w:r>
    </w:p>
    <w:p>
      <w:pPr>
        <w:pStyle w:val="17"/>
        <w:widowControl/>
        <w:jc w:val="center"/>
        <w:rPr>
          <w:rFonts w:ascii="宋体" w:hAnsi="宋体" w:cs="宋体"/>
          <w:color w:val="auto"/>
          <w:highlight w:val="none"/>
        </w:rPr>
      </w:pPr>
      <w:r>
        <w:rPr>
          <w:rStyle w:val="25"/>
          <w:rFonts w:hint="eastAsia" w:ascii="宋体" w:hAnsi="宋体" w:cs="宋体"/>
          <w:color w:val="auto"/>
          <w:sz w:val="31"/>
          <w:szCs w:val="31"/>
          <w:highlight w:val="none"/>
        </w:rPr>
        <w:t>投标人：</w:t>
      </w:r>
      <w:r>
        <w:rPr>
          <w:rStyle w:val="25"/>
          <w:rFonts w:hint="eastAsia" w:ascii="宋体" w:hAnsi="宋体" w:cs="宋体"/>
          <w:color w:val="auto"/>
          <w:sz w:val="31"/>
          <w:szCs w:val="31"/>
          <w:highlight w:val="none"/>
          <w:u w:val="single"/>
        </w:rPr>
        <w:t>（填写“全称”）</w:t>
      </w:r>
    </w:p>
    <w:p>
      <w:pPr>
        <w:pStyle w:val="17"/>
        <w:widowControl/>
        <w:jc w:val="center"/>
        <w:rPr>
          <w:rFonts w:ascii="宋体" w:hAnsi="宋体" w:cs="宋体"/>
          <w:color w:val="auto"/>
          <w:highlight w:val="none"/>
        </w:rPr>
      </w:pPr>
      <w:r>
        <w:rPr>
          <w:rStyle w:val="25"/>
          <w:rFonts w:hint="eastAsia" w:ascii="宋体" w:hAnsi="宋体" w:cs="宋体"/>
          <w:color w:val="auto"/>
          <w:sz w:val="31"/>
          <w:szCs w:val="31"/>
          <w:highlight w:val="none"/>
          <w:u w:val="single"/>
        </w:rPr>
        <w:t>（由投标人填写）</w:t>
      </w:r>
      <w:r>
        <w:rPr>
          <w:rStyle w:val="25"/>
          <w:rFonts w:hint="eastAsia" w:ascii="宋体" w:hAnsi="宋体" w:cs="宋体"/>
          <w:color w:val="auto"/>
          <w:sz w:val="31"/>
          <w:szCs w:val="31"/>
          <w:highlight w:val="none"/>
        </w:rPr>
        <w:t>年</w:t>
      </w:r>
      <w:r>
        <w:rPr>
          <w:rStyle w:val="25"/>
          <w:rFonts w:hint="eastAsia" w:ascii="宋体" w:hAnsi="宋体" w:cs="宋体"/>
          <w:color w:val="auto"/>
          <w:sz w:val="31"/>
          <w:szCs w:val="31"/>
          <w:highlight w:val="none"/>
          <w:u w:val="single"/>
        </w:rPr>
        <w:t>（由投标人填写）</w:t>
      </w:r>
      <w:r>
        <w:rPr>
          <w:rStyle w:val="25"/>
          <w:rFonts w:hint="eastAsia" w:ascii="宋体" w:hAnsi="宋体" w:cs="宋体"/>
          <w:color w:val="auto"/>
          <w:sz w:val="31"/>
          <w:szCs w:val="31"/>
          <w:highlight w:val="none"/>
        </w:rPr>
        <w:t>月</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jc w:val="center"/>
        <w:rPr>
          <w:rFonts w:ascii="宋体" w:hAnsi="宋体" w:cs="宋体"/>
          <w:color w:val="auto"/>
          <w:sz w:val="21"/>
          <w:szCs w:val="21"/>
          <w:highlight w:val="none"/>
        </w:rPr>
      </w:pPr>
    </w:p>
    <w:p>
      <w:pPr>
        <w:pStyle w:val="17"/>
        <w:widowControl/>
        <w:jc w:val="center"/>
        <w:rPr>
          <w:rFonts w:ascii="宋体" w:hAnsi="宋体" w:cs="宋体"/>
          <w:color w:val="auto"/>
          <w:sz w:val="21"/>
          <w:szCs w:val="21"/>
          <w:highlight w:val="none"/>
        </w:rPr>
      </w:pPr>
    </w:p>
    <w:p>
      <w:pPr>
        <w:pStyle w:val="17"/>
        <w:widowControl/>
        <w:jc w:val="center"/>
        <w:rPr>
          <w:rFonts w:ascii="宋体" w:hAnsi="宋体" w:cs="宋体"/>
          <w:color w:val="auto"/>
          <w:sz w:val="21"/>
          <w:szCs w:val="21"/>
          <w:highlight w:val="none"/>
        </w:rPr>
      </w:pPr>
    </w:p>
    <w:p>
      <w:pPr>
        <w:pStyle w:val="17"/>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5"/>
          <w:rFonts w:hint="eastAsia" w:ascii="宋体" w:hAnsi="宋体" w:cs="宋体"/>
          <w:color w:val="auto"/>
          <w:sz w:val="28"/>
          <w:szCs w:val="28"/>
          <w:highlight w:val="none"/>
        </w:rPr>
        <w:t>索引</w:t>
      </w:r>
    </w:p>
    <w:p>
      <w:pPr>
        <w:pStyle w:val="17"/>
        <w:widowControl/>
        <w:rPr>
          <w:rFonts w:ascii="宋体" w:hAnsi="宋体" w:cs="宋体"/>
          <w:color w:val="auto"/>
          <w:sz w:val="21"/>
          <w:szCs w:val="21"/>
          <w:highlight w:val="none"/>
        </w:rPr>
      </w:pPr>
      <w:r>
        <w:rPr>
          <w:rFonts w:hint="eastAsia" w:ascii="宋体" w:hAnsi="宋体" w:cs="宋体"/>
          <w:color w:val="auto"/>
          <w:sz w:val="22"/>
          <w:szCs w:val="22"/>
          <w:highlight w:val="none"/>
        </w:rPr>
        <w:t>一、标的说明一览表</w:t>
      </w:r>
    </w:p>
    <w:p>
      <w:pPr>
        <w:pStyle w:val="17"/>
        <w:widowControl/>
        <w:rPr>
          <w:rFonts w:ascii="宋体" w:hAnsi="宋体" w:cs="宋体"/>
          <w:color w:val="auto"/>
          <w:sz w:val="21"/>
          <w:szCs w:val="21"/>
          <w:highlight w:val="none"/>
        </w:rPr>
      </w:pPr>
      <w:r>
        <w:rPr>
          <w:rFonts w:hint="eastAsia" w:ascii="宋体" w:hAnsi="宋体" w:cs="宋体"/>
          <w:color w:val="auto"/>
          <w:sz w:val="22"/>
          <w:szCs w:val="22"/>
          <w:highlight w:val="none"/>
        </w:rPr>
        <w:t>二、技术和服务要求响应表</w:t>
      </w:r>
    </w:p>
    <w:p>
      <w:pPr>
        <w:pStyle w:val="17"/>
        <w:widowControl/>
        <w:rPr>
          <w:rFonts w:ascii="宋体" w:hAnsi="宋体" w:cs="宋体"/>
          <w:color w:val="auto"/>
          <w:sz w:val="21"/>
          <w:szCs w:val="21"/>
          <w:highlight w:val="none"/>
        </w:rPr>
      </w:pPr>
      <w:r>
        <w:rPr>
          <w:rFonts w:hint="eastAsia" w:ascii="宋体" w:hAnsi="宋体" w:cs="宋体"/>
          <w:color w:val="auto"/>
          <w:sz w:val="22"/>
          <w:szCs w:val="22"/>
          <w:highlight w:val="none"/>
        </w:rPr>
        <w:t>三、商务条件响应表</w:t>
      </w:r>
    </w:p>
    <w:p>
      <w:pPr>
        <w:pStyle w:val="17"/>
        <w:widowControl/>
        <w:rPr>
          <w:rFonts w:ascii="宋体" w:hAnsi="宋体" w:cs="宋体"/>
          <w:color w:val="auto"/>
          <w:sz w:val="21"/>
          <w:szCs w:val="21"/>
          <w:highlight w:val="none"/>
        </w:rPr>
      </w:pPr>
      <w:r>
        <w:rPr>
          <w:rFonts w:hint="eastAsia" w:ascii="宋体" w:hAnsi="宋体" w:cs="宋体"/>
          <w:color w:val="auto"/>
          <w:sz w:val="22"/>
          <w:szCs w:val="22"/>
          <w:highlight w:val="none"/>
        </w:rPr>
        <w:t>四、投标人提交的其他资料（若有）</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pStyle w:val="17"/>
        <w:widowControl/>
        <w:jc w:val="center"/>
        <w:rPr>
          <w:rFonts w:ascii="宋体" w:hAnsi="宋体" w:cs="宋体"/>
          <w:color w:val="auto"/>
          <w:highlight w:val="none"/>
        </w:rPr>
      </w:pPr>
      <w:r>
        <w:rPr>
          <w:rFonts w:hint="eastAsia" w:ascii="宋体" w:hAnsi="宋体" w:cs="宋体"/>
          <w:color w:val="auto"/>
          <w:sz w:val="21"/>
          <w:szCs w:val="21"/>
          <w:highlight w:val="none"/>
        </w:rPr>
        <w:t>★注意</w:t>
      </w:r>
    </w:p>
    <w:p>
      <w:pPr>
        <w:pStyle w:val="17"/>
        <w:widowControl/>
        <w:ind w:firstLine="420"/>
        <w:rPr>
          <w:rFonts w:ascii="宋体" w:hAnsi="宋体" w:cs="宋体"/>
          <w:color w:val="auto"/>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25"/>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pPr>
        <w:pStyle w:val="17"/>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7"/>
        <w:widowControl/>
        <w:ind w:firstLine="420"/>
        <w:rPr>
          <w:rFonts w:ascii="宋体" w:hAnsi="宋体" w:cs="宋体"/>
          <w:color w:val="auto"/>
          <w:highlight w:val="none"/>
        </w:rPr>
      </w:pPr>
      <w:r>
        <w:rPr>
          <w:rFonts w:hint="eastAsia" w:ascii="宋体" w:hAnsi="宋体" w:cs="宋体"/>
          <w:color w:val="auto"/>
          <w:sz w:val="21"/>
          <w:szCs w:val="21"/>
          <w:highlight w:val="none"/>
        </w:rPr>
        <w:t> </w:t>
      </w:r>
    </w:p>
    <w:p>
      <w:pPr>
        <w:pStyle w:val="17"/>
        <w:widowControl/>
        <w:jc w:val="center"/>
        <w:rPr>
          <w:rFonts w:ascii="宋体" w:hAnsi="宋体" w:cs="宋体"/>
          <w:color w:val="auto"/>
          <w:sz w:val="21"/>
          <w:szCs w:val="21"/>
          <w:highlight w:val="none"/>
        </w:rPr>
      </w:pPr>
    </w:p>
    <w:p>
      <w:pPr>
        <w:pStyle w:val="17"/>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5"/>
          <w:rFonts w:hint="eastAsia" w:ascii="宋体" w:hAnsi="宋体" w:cs="宋体"/>
          <w:color w:val="auto"/>
          <w:sz w:val="21"/>
          <w:szCs w:val="21"/>
          <w:highlight w:val="none"/>
        </w:rPr>
        <w:t>一、标的说明一览表</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80"/>
        <w:gridCol w:w="869"/>
        <w:gridCol w:w="1663"/>
        <w:gridCol w:w="864"/>
        <w:gridCol w:w="1146"/>
        <w:gridCol w:w="1135"/>
        <w:gridCol w:w="18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16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投标标的</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规格（品牌/型号）</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来源地</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1.1“采购包”、“品目号”、“投标标的”及“数量”应与招标文件《采购标的一览表》中的有关内容（“采购包”、“品目号”、“采购标的”及“数量”）保持一致。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1.2“投标标的”为货物的：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项下应填写货物制造厂商赋予的品牌（属于节能、环保清单产品的货物，填写的品牌名称应与清单载明的品牌名称保持一致）及具体型号。</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应填写货物的原产地。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1.3“投标标的”为服务的：</w:t>
      </w:r>
      <w:r>
        <w:rPr>
          <w:rFonts w:hint="eastAsia" w:ascii="宋体" w:hAnsi="宋体" w:cs="宋体"/>
          <w:b/>
          <w:bCs/>
          <w:color w:val="auto"/>
          <w:kern w:val="0"/>
          <w:szCs w:val="21"/>
          <w:highlight w:val="none"/>
        </w:rPr>
        <w:t>“规格”</w:t>
      </w:r>
      <w:r>
        <w:rPr>
          <w:rFonts w:hint="eastAsia" w:ascii="宋体" w:hAnsi="宋体" w:cs="宋体"/>
          <w:color w:val="auto"/>
          <w:kern w:val="0"/>
          <w:szCs w:val="21"/>
          <w:highlight w:val="none"/>
        </w:rPr>
        <w:t>项下应填写服务提供者提供的服务标准及品牌（若有）。</w:t>
      </w:r>
      <w:r>
        <w:rPr>
          <w:rFonts w:hint="eastAsia" w:ascii="宋体" w:hAnsi="宋体" w:cs="宋体"/>
          <w:b/>
          <w:bCs/>
          <w:color w:val="auto"/>
          <w:kern w:val="0"/>
          <w:szCs w:val="21"/>
          <w:highlight w:val="none"/>
        </w:rPr>
        <w:t>“来源地”</w:t>
      </w:r>
      <w:r>
        <w:rPr>
          <w:rFonts w:hint="eastAsia" w:ascii="宋体" w:hAnsi="宋体" w:cs="宋体"/>
          <w:color w:val="auto"/>
          <w:kern w:val="0"/>
          <w:szCs w:val="21"/>
          <w:highlight w:val="none"/>
        </w:rPr>
        <w:t>应填写服务提供者的所在地。</w:t>
      </w:r>
      <w:r>
        <w:rPr>
          <w:rFonts w:hint="eastAsia" w:ascii="宋体" w:hAnsi="宋体" w:cs="宋体"/>
          <w:b/>
          <w:bCs/>
          <w:color w:val="auto"/>
          <w:kern w:val="0"/>
          <w:szCs w:val="21"/>
          <w:highlight w:val="none"/>
        </w:rPr>
        <w:t>“备注”</w:t>
      </w:r>
      <w:r>
        <w:rPr>
          <w:rFonts w:hint="eastAsia" w:ascii="宋体" w:hAnsi="宋体" w:cs="宋体"/>
          <w:color w:val="auto"/>
          <w:kern w:val="0"/>
          <w:szCs w:val="21"/>
          <w:highlight w:val="none"/>
        </w:rPr>
        <w:t>项下应填写关于服务标准所涵盖的具体项目或内容的说明等。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3、投标文件中涉及</w:t>
      </w:r>
      <w:r>
        <w:rPr>
          <w:rFonts w:hint="eastAsia" w:ascii="宋体" w:hAnsi="宋体" w:cs="宋体"/>
          <w:b/>
          <w:bCs/>
          <w:color w:val="auto"/>
          <w:kern w:val="0"/>
          <w:szCs w:val="21"/>
          <w:highlight w:val="none"/>
        </w:rPr>
        <w:t>“投标标的”、“数量”、“规格”、“来源地”</w:t>
      </w:r>
      <w:r>
        <w:rPr>
          <w:rFonts w:hint="eastAsia" w:ascii="宋体" w:hAnsi="宋体" w:cs="宋体"/>
          <w:color w:val="auto"/>
          <w:kern w:val="0"/>
          <w:szCs w:val="21"/>
          <w:highlight w:val="none"/>
        </w:rPr>
        <w:t>的内容若不一致，</w:t>
      </w:r>
      <w:r>
        <w:rPr>
          <w:rFonts w:hint="eastAsia" w:ascii="宋体" w:hAnsi="宋体" w:cs="宋体"/>
          <w:b/>
          <w:bCs/>
          <w:color w:val="auto"/>
          <w:kern w:val="0"/>
          <w:szCs w:val="21"/>
          <w:highlight w:val="none"/>
        </w:rPr>
        <w:t>应以本表为准</w:t>
      </w:r>
      <w:r>
        <w:rPr>
          <w:rFonts w:hint="eastAsia" w:ascii="宋体" w:hAnsi="宋体" w:cs="宋体"/>
          <w:color w:val="auto"/>
          <w:kern w:val="0"/>
          <w:szCs w:val="21"/>
          <w:highlight w:val="none"/>
        </w:rPr>
        <w:t>。</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7"/>
        <w:widowControl/>
        <w:jc w:val="center"/>
        <w:rPr>
          <w:rFonts w:ascii="宋体" w:hAnsi="宋体" w:cs="宋体"/>
          <w:color w:val="auto"/>
          <w:highlight w:val="none"/>
        </w:rPr>
      </w:pPr>
      <w:r>
        <w:rPr>
          <w:rFonts w:hint="eastAsia" w:ascii="宋体" w:hAnsi="宋体" w:cs="宋体"/>
          <w:color w:val="auto"/>
          <w:sz w:val="21"/>
          <w:szCs w:val="21"/>
          <w:highlight w:val="none"/>
        </w:rPr>
        <w:t> </w:t>
      </w:r>
      <w:r>
        <w:rPr>
          <w:rStyle w:val="25"/>
          <w:rFonts w:hint="eastAsia" w:ascii="宋体" w:hAnsi="宋体" w:cs="宋体"/>
          <w:color w:val="auto"/>
          <w:sz w:val="21"/>
          <w:szCs w:val="21"/>
          <w:highlight w:val="none"/>
        </w:rPr>
        <w:br w:type="textWrapping"/>
      </w:r>
      <w:r>
        <w:rPr>
          <w:rStyle w:val="25"/>
          <w:rFonts w:hint="eastAsia" w:ascii="宋体" w:hAnsi="宋体" w:cs="宋体"/>
          <w:color w:val="auto"/>
          <w:sz w:val="21"/>
          <w:szCs w:val="21"/>
          <w:highlight w:val="none"/>
        </w:rPr>
        <w:t>二、技术和服务要求响应表</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技术和服务要求</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1.1“技术和服务要求”项下填写的内容应与招标文件第五章“技术和服务要求”的内容保持一致。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75" w:after="75"/>
        <w:jc w:val="left"/>
        <w:rPr>
          <w:rFonts w:ascii="宋体" w:hAnsi="宋体" w:cs="宋体"/>
          <w:color w:val="auto"/>
          <w:kern w:val="0"/>
          <w:sz w:val="24"/>
          <w:highlight w:val="none"/>
        </w:rPr>
      </w:pPr>
      <w:r>
        <w:rPr>
          <w:rFonts w:hint="eastAsia" w:ascii="宋体" w:hAnsi="宋体" w:cs="宋体"/>
          <w:color w:val="auto"/>
          <w:kern w:val="0"/>
          <w:sz w:val="24"/>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p>
    <w:p>
      <w:pPr>
        <w:pStyle w:val="17"/>
        <w:widowControl/>
        <w:jc w:val="center"/>
        <w:rPr>
          <w:rFonts w:ascii="宋体" w:hAnsi="宋体" w:cs="宋体"/>
          <w:color w:val="auto"/>
          <w:highlight w:val="none"/>
        </w:rPr>
      </w:pPr>
      <w:r>
        <w:rPr>
          <w:rFonts w:hint="eastAsia" w:ascii="宋体" w:hAnsi="宋体" w:cs="宋体"/>
          <w:color w:val="auto"/>
          <w:sz w:val="21"/>
          <w:szCs w:val="21"/>
          <w:highlight w:val="none"/>
        </w:rPr>
        <w:br w:type="textWrapping"/>
      </w:r>
      <w:r>
        <w:rPr>
          <w:rStyle w:val="25"/>
          <w:rFonts w:hint="eastAsia" w:ascii="宋体" w:hAnsi="宋体" w:cs="宋体"/>
          <w:color w:val="auto"/>
          <w:sz w:val="21"/>
          <w:szCs w:val="21"/>
          <w:highlight w:val="none"/>
        </w:rPr>
        <w:t>三、商务条件响应表</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商务条件</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cs="宋体"/>
                <w:color w:val="auto"/>
                <w:kern w:val="0"/>
                <w:sz w:val="24"/>
                <w:highlight w:val="none"/>
              </w:rPr>
            </w:pPr>
          </w:p>
        </w:tc>
      </w:tr>
    </w:tbl>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※注意：</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1、本表应按照下列规定填写：</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1.1“商务条件”项下填写的内容应与招标文件第五章“商务条件”的内容保持一致。</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ascii="宋体" w:hAnsi="宋体" w:cs="宋体"/>
          <w:color w:val="auto"/>
          <w:kern w:val="0"/>
          <w:sz w:val="24"/>
          <w:highlight w:val="none"/>
        </w:rPr>
      </w:pP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pPr>
        <w:pStyle w:val="17"/>
        <w:widowControl/>
        <w:spacing w:line="480" w:lineRule="exact"/>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pPr>
        <w:pStyle w:val="17"/>
        <w:widowControl/>
        <w:rPr>
          <w:rFonts w:ascii="宋体" w:hAnsi="宋体" w:cs="宋体"/>
          <w:color w:val="auto"/>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pPr>
        <w:pStyle w:val="17"/>
        <w:widowControl/>
        <w:rPr>
          <w:rFonts w:ascii="宋体" w:hAnsi="宋体" w:cs="宋体"/>
          <w:color w:val="auto"/>
          <w:sz w:val="21"/>
          <w:szCs w:val="21"/>
          <w:highlight w:val="none"/>
        </w:rPr>
      </w:pPr>
    </w:p>
    <w:p>
      <w:pPr>
        <w:pStyle w:val="17"/>
        <w:widowControl/>
        <w:rPr>
          <w:rFonts w:ascii="宋体" w:hAnsi="宋体" w:cs="宋体"/>
          <w:color w:val="auto"/>
          <w:sz w:val="21"/>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br w:type="page"/>
      </w:r>
    </w:p>
    <w:p>
      <w:pPr>
        <w:rPr>
          <w:color w:val="auto"/>
          <w:highlight w:val="none"/>
        </w:rPr>
      </w:pP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b/>
          <w:bCs/>
          <w:color w:val="auto"/>
          <w:kern w:val="0"/>
          <w:szCs w:val="21"/>
          <w:highlight w:val="none"/>
        </w:rPr>
        <w:t>四、投标人提交的其他资料（若有）</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center"/>
        <w:rPr>
          <w:rFonts w:ascii="宋体" w:hAnsi="宋体" w:cs="宋体"/>
          <w:color w:val="auto"/>
          <w:kern w:val="0"/>
          <w:sz w:val="24"/>
          <w:highlight w:val="none"/>
        </w:rPr>
      </w:pPr>
      <w:r>
        <w:rPr>
          <w:rFonts w:hint="eastAsia" w:ascii="宋体" w:hAnsi="宋体" w:cs="宋体"/>
          <w:color w:val="auto"/>
          <w:kern w:val="0"/>
          <w:szCs w:val="21"/>
          <w:highlight w:val="none"/>
        </w:rPr>
        <w:t>编制说明</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 </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1、招标文件要求提交的除</w:t>
      </w:r>
      <w:r>
        <w:rPr>
          <w:rFonts w:hint="eastAsia" w:ascii="宋体" w:hAnsi="宋体" w:cs="宋体"/>
          <w:b/>
          <w:bCs/>
          <w:color w:val="auto"/>
          <w:kern w:val="0"/>
          <w:szCs w:val="21"/>
          <w:highlight w:val="none"/>
        </w:rPr>
        <w:t>“资格及资信证明部分”、“报价部分”</w:t>
      </w:r>
      <w:r>
        <w:rPr>
          <w:rFonts w:hint="eastAsia" w:ascii="宋体" w:hAnsi="宋体" w:cs="宋体"/>
          <w:color w:val="auto"/>
          <w:kern w:val="0"/>
          <w:szCs w:val="21"/>
          <w:highlight w:val="none"/>
        </w:rPr>
        <w:t>外的其他证明材料或资料加盖投标人的单位公章后应在此项下提交。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cs="宋体"/>
          <w:color w:val="auto"/>
          <w:kern w:val="0"/>
          <w:sz w:val="24"/>
          <w:highlight w:val="none"/>
        </w:rPr>
      </w:pPr>
      <w:r>
        <w:rPr>
          <w:rFonts w:hint="eastAsia" w:ascii="宋体" w:hAnsi="宋体" w:cs="宋体"/>
          <w:color w:val="auto"/>
          <w:kern w:val="0"/>
          <w:szCs w:val="21"/>
          <w:highlight w:val="none"/>
        </w:rPr>
        <w:t>3、除招标文件另有规定外，投标人认为需要提交的其他证明材料或资料加盖投标人的单位公章后应在此项下提交。</w:t>
      </w:r>
    </w:p>
    <w:p>
      <w:pPr>
        <w:rPr>
          <w:rFonts w:ascii="宋体" w:hAnsi="宋体" w:cs="宋体"/>
          <w:color w:val="auto"/>
          <w:highlight w:val="none"/>
        </w:rPr>
      </w:pPr>
    </w:p>
    <w:p>
      <w:pPr>
        <w:pStyle w:val="34"/>
        <w:rPr>
          <w:rFonts w:ascii="宋体" w:hAnsi="宋体" w:cs="宋体"/>
          <w:color w:val="auto"/>
          <w:highlight w:val="none"/>
        </w:rPr>
      </w:pPr>
    </w:p>
    <w:sectPr>
      <w:headerReference r:id="rId3" w:type="default"/>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center"/>
      <w:rPr>
        <w:rFonts w:ascii="宋体"/>
        <w:sz w:val="21"/>
        <w:szCs w:val="21"/>
      </w:rPr>
    </w:pPr>
    <w:r>
      <w:rPr>
        <w:rFonts w:hint="eastAsia" w:ascii="宋体" w:hAnsi="宋体"/>
        <w:sz w:val="21"/>
        <w:szCs w:val="21"/>
      </w:rPr>
      <w:t>第</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52</w:t>
    </w:r>
    <w:r>
      <w:rPr>
        <w:rFonts w:ascii="宋体" w:hAnsi="宋体"/>
        <w:sz w:val="21"/>
        <w:szCs w:val="21"/>
      </w:rPr>
      <w:fldChar w:fldCharType="end"/>
    </w:r>
    <w:r>
      <w:rPr>
        <w:rFonts w:hint="eastAsia" w:ascii="宋体" w:hAnsi="宋体"/>
        <w:sz w:val="21"/>
        <w:szCs w:val="21"/>
      </w:rPr>
      <w:t>页共</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Pr>
        <w:rFonts w:ascii="宋体" w:hAnsi="宋体"/>
        <w:sz w:val="21"/>
        <w:szCs w:val="21"/>
      </w:rPr>
      <w:t>101</w:t>
    </w:r>
    <w:r>
      <w:rPr>
        <w:rFonts w:ascii="宋体" w:hAnsi="宋体"/>
        <w:sz w:val="21"/>
        <w:szCs w:val="21"/>
      </w:rPr>
      <w:fldChar w:fldCharType="end"/>
    </w:r>
    <w:r>
      <w:rPr>
        <w:rFonts w:hint="eastAsia" w:ascii="宋体" w:hAnsi="宋体"/>
        <w:sz w:val="21"/>
        <w:szCs w:val="21"/>
      </w:rPr>
      <w:t>页</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0"/>
        <w:right w:val="none" w:color="auto" w:sz="0" w:space="0"/>
      </w:pBdr>
      <w:rPr>
        <w:u w:val="single"/>
      </w:rPr>
    </w:pPr>
    <w:r>
      <w:rPr>
        <w:rFonts w:hint="eastAsia"/>
        <w:u w:val="single"/>
      </w:rPr>
      <w:t>招标文件</w:t>
    </w:r>
    <w:r>
      <w:rPr>
        <w:rFonts w:hint="eastAsia"/>
        <w:u w:val="single"/>
        <w:lang w:val="en-US" w:eastAsia="zh-CN"/>
      </w:rPr>
      <w:t xml:space="preserve">                                                           </w:t>
    </w:r>
    <w:r>
      <w:rPr>
        <w:rFonts w:hint="eastAsia"/>
        <w:u w:val="single"/>
      </w:rPr>
      <w:t xml:space="preserve">建融建设管理集团有限责任公司 </w:t>
    </w:r>
  </w:p>
  <w:p>
    <w:pPr>
      <w:pStyle w:val="1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873EF"/>
    <w:multiLevelType w:val="singleLevel"/>
    <w:tmpl w:val="A6D873EF"/>
    <w:lvl w:ilvl="0" w:tentative="0">
      <w:start w:val="3"/>
      <w:numFmt w:val="decimal"/>
      <w:suff w:val="nothing"/>
      <w:lvlText w:val="%1、"/>
      <w:lvlJc w:val="left"/>
    </w:lvl>
  </w:abstractNum>
  <w:abstractNum w:abstractNumId="1">
    <w:nsid w:val="DA9D3F08"/>
    <w:multiLevelType w:val="singleLevel"/>
    <w:tmpl w:val="DA9D3F08"/>
    <w:lvl w:ilvl="0" w:tentative="0">
      <w:start w:val="7"/>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rPr>
        <w:rFonts w:cs="Times New Roman"/>
      </w:r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08DFA91"/>
    <w:multiLevelType w:val="singleLevel"/>
    <w:tmpl w:val="108DFA91"/>
    <w:lvl w:ilvl="0" w:tentative="0">
      <w:start w:val="2"/>
      <w:numFmt w:val="chineseCounting"/>
      <w:suff w:val="nothing"/>
      <w:lvlText w:val="%1、"/>
      <w:lvlJc w:val="left"/>
      <w:rPr>
        <w:rFonts w:hint="eastAsia"/>
      </w:rPr>
    </w:lvl>
  </w:abstractNum>
  <w:abstractNum w:abstractNumId="5">
    <w:nsid w:val="72D935BF"/>
    <w:multiLevelType w:val="singleLevel"/>
    <w:tmpl w:val="72D935BF"/>
    <w:lvl w:ilvl="0" w:tentative="0">
      <w:start w:val="1"/>
      <w:numFmt w:val="lowerLetter"/>
      <w:lvlText w:val="%1."/>
      <w:lvlJc w:val="left"/>
      <w:pPr>
        <w:tabs>
          <w:tab w:val="left" w:pos="312"/>
        </w:tabs>
      </w:pPr>
    </w:lvl>
  </w:abstractNum>
  <w:abstractNum w:abstractNumId="6">
    <w:nsid w:val="7499EF16"/>
    <w:multiLevelType w:val="singleLevel"/>
    <w:tmpl w:val="7499EF16"/>
    <w:lvl w:ilvl="0" w:tentative="0">
      <w:start w:val="10"/>
      <w:numFmt w:val="decimal"/>
      <w:suff w:val="nothing"/>
      <w:lvlText w:val="%1、"/>
      <w:lvlJc w:val="left"/>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RkNzEwMzc4YWI2NDMzNDQyMDg1NDlkOGQ3ZjVhNzMifQ=="/>
  </w:docVars>
  <w:rsids>
    <w:rsidRoot w:val="00131D37"/>
    <w:rsid w:val="000323D0"/>
    <w:rsid w:val="000924C9"/>
    <w:rsid w:val="000A36E9"/>
    <w:rsid w:val="000D71A3"/>
    <w:rsid w:val="00101D0D"/>
    <w:rsid w:val="001034FF"/>
    <w:rsid w:val="00130B85"/>
    <w:rsid w:val="00131D37"/>
    <w:rsid w:val="00200386"/>
    <w:rsid w:val="0020442A"/>
    <w:rsid w:val="00226793"/>
    <w:rsid w:val="00247808"/>
    <w:rsid w:val="00255368"/>
    <w:rsid w:val="002D23F0"/>
    <w:rsid w:val="00315E84"/>
    <w:rsid w:val="0032166C"/>
    <w:rsid w:val="003972CD"/>
    <w:rsid w:val="00422873"/>
    <w:rsid w:val="0043053C"/>
    <w:rsid w:val="0045578B"/>
    <w:rsid w:val="004A316B"/>
    <w:rsid w:val="004D7C33"/>
    <w:rsid w:val="00561E9A"/>
    <w:rsid w:val="00576511"/>
    <w:rsid w:val="005833E2"/>
    <w:rsid w:val="006A7FFE"/>
    <w:rsid w:val="006F7848"/>
    <w:rsid w:val="007136D1"/>
    <w:rsid w:val="007900F2"/>
    <w:rsid w:val="0079251A"/>
    <w:rsid w:val="00854355"/>
    <w:rsid w:val="00876644"/>
    <w:rsid w:val="00885846"/>
    <w:rsid w:val="0088685E"/>
    <w:rsid w:val="008D1772"/>
    <w:rsid w:val="008E12E4"/>
    <w:rsid w:val="008E6AC0"/>
    <w:rsid w:val="009222D1"/>
    <w:rsid w:val="00923BF4"/>
    <w:rsid w:val="00924014"/>
    <w:rsid w:val="0097261F"/>
    <w:rsid w:val="00981E4A"/>
    <w:rsid w:val="009B0D45"/>
    <w:rsid w:val="009D10C8"/>
    <w:rsid w:val="009D154C"/>
    <w:rsid w:val="00A134EA"/>
    <w:rsid w:val="00A45E1A"/>
    <w:rsid w:val="00A67901"/>
    <w:rsid w:val="00A730AA"/>
    <w:rsid w:val="00A75217"/>
    <w:rsid w:val="00A96A78"/>
    <w:rsid w:val="00A974FC"/>
    <w:rsid w:val="00AA3BE8"/>
    <w:rsid w:val="00AC68D6"/>
    <w:rsid w:val="00B8540B"/>
    <w:rsid w:val="00BA1634"/>
    <w:rsid w:val="00BA3183"/>
    <w:rsid w:val="00BF332A"/>
    <w:rsid w:val="00C24598"/>
    <w:rsid w:val="00C435BE"/>
    <w:rsid w:val="00CD019A"/>
    <w:rsid w:val="00CE20FB"/>
    <w:rsid w:val="00CE7150"/>
    <w:rsid w:val="00D038F8"/>
    <w:rsid w:val="00D24998"/>
    <w:rsid w:val="00D546B1"/>
    <w:rsid w:val="00D9208A"/>
    <w:rsid w:val="00DB7DC4"/>
    <w:rsid w:val="00DE2A96"/>
    <w:rsid w:val="00E022C6"/>
    <w:rsid w:val="00E26C0E"/>
    <w:rsid w:val="00E75D35"/>
    <w:rsid w:val="00EE1AF8"/>
    <w:rsid w:val="00EE7D87"/>
    <w:rsid w:val="00F37933"/>
    <w:rsid w:val="01E07700"/>
    <w:rsid w:val="02114710"/>
    <w:rsid w:val="026063D0"/>
    <w:rsid w:val="02975E55"/>
    <w:rsid w:val="02DF1BD7"/>
    <w:rsid w:val="03231C1A"/>
    <w:rsid w:val="034E3DBB"/>
    <w:rsid w:val="038522FB"/>
    <w:rsid w:val="03FF71FF"/>
    <w:rsid w:val="040D174A"/>
    <w:rsid w:val="05513C6C"/>
    <w:rsid w:val="05875308"/>
    <w:rsid w:val="05A06538"/>
    <w:rsid w:val="05B02A8D"/>
    <w:rsid w:val="07211C63"/>
    <w:rsid w:val="07244EEA"/>
    <w:rsid w:val="079B29D5"/>
    <w:rsid w:val="083815D2"/>
    <w:rsid w:val="096C73A2"/>
    <w:rsid w:val="0A8D6DD4"/>
    <w:rsid w:val="0AAD26BB"/>
    <w:rsid w:val="0AB30C08"/>
    <w:rsid w:val="0ACA6A52"/>
    <w:rsid w:val="0B1E47D0"/>
    <w:rsid w:val="0D665A94"/>
    <w:rsid w:val="0D7D5A4D"/>
    <w:rsid w:val="0DDD741F"/>
    <w:rsid w:val="0E851045"/>
    <w:rsid w:val="0F68275F"/>
    <w:rsid w:val="0F7B6128"/>
    <w:rsid w:val="10560258"/>
    <w:rsid w:val="107E66AF"/>
    <w:rsid w:val="10F94B72"/>
    <w:rsid w:val="113A3AB2"/>
    <w:rsid w:val="114A6898"/>
    <w:rsid w:val="121A5C3E"/>
    <w:rsid w:val="122334F7"/>
    <w:rsid w:val="122D35D7"/>
    <w:rsid w:val="1234262D"/>
    <w:rsid w:val="129D61E8"/>
    <w:rsid w:val="133F6391"/>
    <w:rsid w:val="13906809"/>
    <w:rsid w:val="147D6926"/>
    <w:rsid w:val="14DA6E07"/>
    <w:rsid w:val="15241A72"/>
    <w:rsid w:val="15584CF3"/>
    <w:rsid w:val="16393604"/>
    <w:rsid w:val="16AA0BDF"/>
    <w:rsid w:val="16C31C28"/>
    <w:rsid w:val="16F02A29"/>
    <w:rsid w:val="185724C3"/>
    <w:rsid w:val="18AD593E"/>
    <w:rsid w:val="18BD4944"/>
    <w:rsid w:val="18F64BCF"/>
    <w:rsid w:val="19935639"/>
    <w:rsid w:val="19CD11F3"/>
    <w:rsid w:val="19CF7B28"/>
    <w:rsid w:val="1A7725F1"/>
    <w:rsid w:val="1A950E37"/>
    <w:rsid w:val="1AC968BC"/>
    <w:rsid w:val="1ADC5644"/>
    <w:rsid w:val="1B5271EC"/>
    <w:rsid w:val="1C3D1211"/>
    <w:rsid w:val="1C88256F"/>
    <w:rsid w:val="1C9D43AC"/>
    <w:rsid w:val="1D765AC0"/>
    <w:rsid w:val="1E3459B8"/>
    <w:rsid w:val="1E464974"/>
    <w:rsid w:val="1E57504A"/>
    <w:rsid w:val="1F932A24"/>
    <w:rsid w:val="1FD20438"/>
    <w:rsid w:val="207B66B3"/>
    <w:rsid w:val="20D500D9"/>
    <w:rsid w:val="20F94314"/>
    <w:rsid w:val="21107608"/>
    <w:rsid w:val="21951161"/>
    <w:rsid w:val="21BE6B0D"/>
    <w:rsid w:val="22033982"/>
    <w:rsid w:val="220E23E6"/>
    <w:rsid w:val="223541CC"/>
    <w:rsid w:val="22A63918"/>
    <w:rsid w:val="23576978"/>
    <w:rsid w:val="248222C4"/>
    <w:rsid w:val="24D168CB"/>
    <w:rsid w:val="25402943"/>
    <w:rsid w:val="257E4A5A"/>
    <w:rsid w:val="259F7E84"/>
    <w:rsid w:val="25A85E59"/>
    <w:rsid w:val="277275FF"/>
    <w:rsid w:val="27EF2C7E"/>
    <w:rsid w:val="27F304AC"/>
    <w:rsid w:val="28516D09"/>
    <w:rsid w:val="28851357"/>
    <w:rsid w:val="28DC5586"/>
    <w:rsid w:val="28ED66C7"/>
    <w:rsid w:val="29081E10"/>
    <w:rsid w:val="298D53DE"/>
    <w:rsid w:val="29FD3F8F"/>
    <w:rsid w:val="2A550C84"/>
    <w:rsid w:val="2B4F3775"/>
    <w:rsid w:val="2B8167F4"/>
    <w:rsid w:val="2CAB6572"/>
    <w:rsid w:val="2CB45FFF"/>
    <w:rsid w:val="2D282F4C"/>
    <w:rsid w:val="2D63047F"/>
    <w:rsid w:val="2DAA7A4E"/>
    <w:rsid w:val="2DF91A6A"/>
    <w:rsid w:val="2E04116B"/>
    <w:rsid w:val="2E3A0CA4"/>
    <w:rsid w:val="2E8D2D65"/>
    <w:rsid w:val="2F4D0BB5"/>
    <w:rsid w:val="2FDF58CC"/>
    <w:rsid w:val="314236BD"/>
    <w:rsid w:val="31DB4310"/>
    <w:rsid w:val="32E33D92"/>
    <w:rsid w:val="332533DF"/>
    <w:rsid w:val="332B7490"/>
    <w:rsid w:val="33492641"/>
    <w:rsid w:val="33D10B11"/>
    <w:rsid w:val="33EF2366"/>
    <w:rsid w:val="344C38B0"/>
    <w:rsid w:val="345C4460"/>
    <w:rsid w:val="34661131"/>
    <w:rsid w:val="346E16C0"/>
    <w:rsid w:val="34881A7C"/>
    <w:rsid w:val="34A24FB5"/>
    <w:rsid w:val="34CD2A72"/>
    <w:rsid w:val="34DE755E"/>
    <w:rsid w:val="34FA4DC2"/>
    <w:rsid w:val="34FD2B01"/>
    <w:rsid w:val="3554227B"/>
    <w:rsid w:val="35C0022C"/>
    <w:rsid w:val="378013EB"/>
    <w:rsid w:val="37C37E80"/>
    <w:rsid w:val="37F866E3"/>
    <w:rsid w:val="384422C7"/>
    <w:rsid w:val="389B0845"/>
    <w:rsid w:val="38E065C6"/>
    <w:rsid w:val="394744BB"/>
    <w:rsid w:val="399D5BA3"/>
    <w:rsid w:val="3A5E3CBE"/>
    <w:rsid w:val="3A7C16A5"/>
    <w:rsid w:val="3A8C25D2"/>
    <w:rsid w:val="3AC71E21"/>
    <w:rsid w:val="3B563370"/>
    <w:rsid w:val="3CDA52CD"/>
    <w:rsid w:val="3D9F3221"/>
    <w:rsid w:val="3DCE485A"/>
    <w:rsid w:val="3DE54F7F"/>
    <w:rsid w:val="3E051487"/>
    <w:rsid w:val="3ECE3E1F"/>
    <w:rsid w:val="3EEF033C"/>
    <w:rsid w:val="3F5341FE"/>
    <w:rsid w:val="3F547DC4"/>
    <w:rsid w:val="3F792012"/>
    <w:rsid w:val="3FBE3628"/>
    <w:rsid w:val="3FE97FBE"/>
    <w:rsid w:val="40403587"/>
    <w:rsid w:val="408365FB"/>
    <w:rsid w:val="4092311F"/>
    <w:rsid w:val="40F4229C"/>
    <w:rsid w:val="414746FD"/>
    <w:rsid w:val="415B7C5B"/>
    <w:rsid w:val="416C44F9"/>
    <w:rsid w:val="41764F49"/>
    <w:rsid w:val="4217368E"/>
    <w:rsid w:val="424B0F1C"/>
    <w:rsid w:val="424F527C"/>
    <w:rsid w:val="42CD054E"/>
    <w:rsid w:val="42F30F9F"/>
    <w:rsid w:val="438C79EA"/>
    <w:rsid w:val="440B25A5"/>
    <w:rsid w:val="441176EC"/>
    <w:rsid w:val="44E45ADE"/>
    <w:rsid w:val="459B4F7E"/>
    <w:rsid w:val="46AD7FCC"/>
    <w:rsid w:val="4790179A"/>
    <w:rsid w:val="479C2448"/>
    <w:rsid w:val="487D2327"/>
    <w:rsid w:val="48D333B8"/>
    <w:rsid w:val="495053BA"/>
    <w:rsid w:val="49D6477C"/>
    <w:rsid w:val="49FF5AE0"/>
    <w:rsid w:val="4A4D0FAC"/>
    <w:rsid w:val="4A731DB2"/>
    <w:rsid w:val="4AB81CBD"/>
    <w:rsid w:val="4ACC0C03"/>
    <w:rsid w:val="4AE12FA2"/>
    <w:rsid w:val="4C320D82"/>
    <w:rsid w:val="4C4738FC"/>
    <w:rsid w:val="4D766A75"/>
    <w:rsid w:val="4D9C02AD"/>
    <w:rsid w:val="4DBB1752"/>
    <w:rsid w:val="4DE6331E"/>
    <w:rsid w:val="4F352A98"/>
    <w:rsid w:val="4FDE656D"/>
    <w:rsid w:val="509167E7"/>
    <w:rsid w:val="51830DB0"/>
    <w:rsid w:val="52443EA6"/>
    <w:rsid w:val="526108A7"/>
    <w:rsid w:val="5265577C"/>
    <w:rsid w:val="53DD5AB5"/>
    <w:rsid w:val="54055682"/>
    <w:rsid w:val="544C326A"/>
    <w:rsid w:val="554D3CEB"/>
    <w:rsid w:val="55A90FF1"/>
    <w:rsid w:val="55D02D79"/>
    <w:rsid w:val="56113878"/>
    <w:rsid w:val="57F81C76"/>
    <w:rsid w:val="58032FD6"/>
    <w:rsid w:val="583A254B"/>
    <w:rsid w:val="58BD703F"/>
    <w:rsid w:val="58C84833"/>
    <w:rsid w:val="590C4189"/>
    <w:rsid w:val="5A305411"/>
    <w:rsid w:val="5B3811D2"/>
    <w:rsid w:val="5B7A2728"/>
    <w:rsid w:val="5BF5015D"/>
    <w:rsid w:val="5C840CC0"/>
    <w:rsid w:val="5D037980"/>
    <w:rsid w:val="5DBC3248"/>
    <w:rsid w:val="5E4B45FA"/>
    <w:rsid w:val="5E8F47AA"/>
    <w:rsid w:val="5EA879E7"/>
    <w:rsid w:val="5ED10663"/>
    <w:rsid w:val="5EE85056"/>
    <w:rsid w:val="5F093B30"/>
    <w:rsid w:val="5F0D6BFF"/>
    <w:rsid w:val="5F1B3488"/>
    <w:rsid w:val="5FA04D35"/>
    <w:rsid w:val="60502671"/>
    <w:rsid w:val="60CA2299"/>
    <w:rsid w:val="60D21119"/>
    <w:rsid w:val="60D54722"/>
    <w:rsid w:val="623467C4"/>
    <w:rsid w:val="6258677E"/>
    <w:rsid w:val="62810010"/>
    <w:rsid w:val="628A54D9"/>
    <w:rsid w:val="634A07A3"/>
    <w:rsid w:val="6368403D"/>
    <w:rsid w:val="63990999"/>
    <w:rsid w:val="63D261E5"/>
    <w:rsid w:val="640C0814"/>
    <w:rsid w:val="64926BCA"/>
    <w:rsid w:val="649B194D"/>
    <w:rsid w:val="64FA7290"/>
    <w:rsid w:val="657A046B"/>
    <w:rsid w:val="65C467E5"/>
    <w:rsid w:val="65D825C1"/>
    <w:rsid w:val="66E77160"/>
    <w:rsid w:val="67172D8A"/>
    <w:rsid w:val="67544317"/>
    <w:rsid w:val="67872844"/>
    <w:rsid w:val="682D56F6"/>
    <w:rsid w:val="68A63209"/>
    <w:rsid w:val="6AAA2077"/>
    <w:rsid w:val="6ADC3CDC"/>
    <w:rsid w:val="6B2C1CB2"/>
    <w:rsid w:val="6B880C62"/>
    <w:rsid w:val="6BC42FB3"/>
    <w:rsid w:val="6C2B2226"/>
    <w:rsid w:val="6CF40DE6"/>
    <w:rsid w:val="6D426B21"/>
    <w:rsid w:val="6D7451C8"/>
    <w:rsid w:val="6E833B57"/>
    <w:rsid w:val="6EFF72D3"/>
    <w:rsid w:val="6F667FDA"/>
    <w:rsid w:val="6F674CA6"/>
    <w:rsid w:val="70536FA9"/>
    <w:rsid w:val="70B80970"/>
    <w:rsid w:val="70DB392B"/>
    <w:rsid w:val="71E04B9A"/>
    <w:rsid w:val="72137709"/>
    <w:rsid w:val="725B1993"/>
    <w:rsid w:val="72C57698"/>
    <w:rsid w:val="72F55295"/>
    <w:rsid w:val="737814C4"/>
    <w:rsid w:val="740337EF"/>
    <w:rsid w:val="746547B6"/>
    <w:rsid w:val="75005DA1"/>
    <w:rsid w:val="75114952"/>
    <w:rsid w:val="754E29FE"/>
    <w:rsid w:val="75C346F4"/>
    <w:rsid w:val="75D00B0D"/>
    <w:rsid w:val="75FB3967"/>
    <w:rsid w:val="763E192F"/>
    <w:rsid w:val="773D49F2"/>
    <w:rsid w:val="77DF388C"/>
    <w:rsid w:val="78142F71"/>
    <w:rsid w:val="798C37D7"/>
    <w:rsid w:val="79E72193"/>
    <w:rsid w:val="7A65718C"/>
    <w:rsid w:val="7A942596"/>
    <w:rsid w:val="7AF5460A"/>
    <w:rsid w:val="7AFD7CA2"/>
    <w:rsid w:val="7B4E3F9F"/>
    <w:rsid w:val="7B8E304D"/>
    <w:rsid w:val="7B8F58E5"/>
    <w:rsid w:val="7BC75117"/>
    <w:rsid w:val="7BC93D3F"/>
    <w:rsid w:val="7C816A99"/>
    <w:rsid w:val="7CBB1745"/>
    <w:rsid w:val="7D02418A"/>
    <w:rsid w:val="7D3527E3"/>
    <w:rsid w:val="7DFD017C"/>
    <w:rsid w:val="7E4933EB"/>
    <w:rsid w:val="7E5D031B"/>
    <w:rsid w:val="7ED2539F"/>
    <w:rsid w:val="7F197FCF"/>
    <w:rsid w:val="7F3F653C"/>
    <w:rsid w:val="7F59373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99"/>
    <w:pPr>
      <w:spacing w:beforeAutospacing="1" w:afterAutospacing="1"/>
      <w:jc w:val="left"/>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41"/>
    <w:qFormat/>
    <w:uiPriority w:val="99"/>
    <w:pPr>
      <w:spacing w:before="100" w:beforeAutospacing="1" w:after="100" w:afterAutospacing="1"/>
      <w:jc w:val="left"/>
      <w:outlineLvl w:val="2"/>
    </w:pPr>
    <w:rPr>
      <w:b/>
      <w:bCs/>
      <w:kern w:val="0"/>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6">
    <w:name w:val="annotation text"/>
    <w:basedOn w:val="1"/>
    <w:link w:val="42"/>
    <w:qFormat/>
    <w:uiPriority w:val="99"/>
    <w:pPr>
      <w:jc w:val="left"/>
    </w:pPr>
    <w:rPr>
      <w:kern w:val="0"/>
      <w:sz w:val="24"/>
    </w:rPr>
  </w:style>
  <w:style w:type="paragraph" w:styleId="7">
    <w:name w:val="Body Text"/>
    <w:basedOn w:val="1"/>
    <w:next w:val="1"/>
    <w:link w:val="43"/>
    <w:qFormat/>
    <w:uiPriority w:val="99"/>
    <w:pPr>
      <w:spacing w:line="360" w:lineRule="auto"/>
    </w:pPr>
    <w:rPr>
      <w:kern w:val="0"/>
      <w:sz w:val="24"/>
    </w:rPr>
  </w:style>
  <w:style w:type="paragraph" w:styleId="8">
    <w:name w:val="Body Text Indent"/>
    <w:basedOn w:val="1"/>
    <w:next w:val="9"/>
    <w:link w:val="44"/>
    <w:qFormat/>
    <w:uiPriority w:val="99"/>
    <w:pPr>
      <w:ind w:left="420"/>
    </w:pPr>
    <w:rPr>
      <w:kern w:val="0"/>
      <w:sz w:val="24"/>
    </w:rPr>
  </w:style>
  <w:style w:type="paragraph" w:styleId="9">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0">
    <w:name w:val="Plain Text"/>
    <w:basedOn w:val="1"/>
    <w:link w:val="45"/>
    <w:qFormat/>
    <w:uiPriority w:val="99"/>
    <w:rPr>
      <w:rFonts w:ascii="宋体" w:hAnsi="Courier New"/>
      <w:kern w:val="0"/>
      <w:szCs w:val="21"/>
    </w:rPr>
  </w:style>
  <w:style w:type="paragraph" w:styleId="11">
    <w:name w:val="Date"/>
    <w:basedOn w:val="1"/>
    <w:next w:val="1"/>
    <w:qFormat/>
    <w:uiPriority w:val="0"/>
    <w:rPr>
      <w:sz w:val="28"/>
      <w:szCs w:val="20"/>
    </w:rPr>
  </w:style>
  <w:style w:type="paragraph" w:styleId="12">
    <w:name w:val="Body Text Indent 2"/>
    <w:basedOn w:val="1"/>
    <w:link w:val="46"/>
    <w:qFormat/>
    <w:uiPriority w:val="99"/>
    <w:pPr>
      <w:spacing w:line="360" w:lineRule="auto"/>
      <w:ind w:firstLine="507" w:firstLineChars="200"/>
    </w:pPr>
    <w:rPr>
      <w:kern w:val="0"/>
      <w:sz w:val="24"/>
    </w:rPr>
  </w:style>
  <w:style w:type="paragraph" w:styleId="13">
    <w:name w:val="Balloon Text"/>
    <w:basedOn w:val="1"/>
    <w:link w:val="67"/>
    <w:qFormat/>
    <w:uiPriority w:val="99"/>
    <w:rPr>
      <w:kern w:val="0"/>
      <w:sz w:val="2"/>
      <w:szCs w:val="20"/>
    </w:rPr>
  </w:style>
  <w:style w:type="paragraph" w:styleId="14">
    <w:name w:val="footer"/>
    <w:basedOn w:val="1"/>
    <w:link w:val="47"/>
    <w:qFormat/>
    <w:uiPriority w:val="99"/>
    <w:pPr>
      <w:tabs>
        <w:tab w:val="center" w:pos="4153"/>
        <w:tab w:val="right" w:pos="8306"/>
      </w:tabs>
      <w:snapToGrid w:val="0"/>
      <w:jc w:val="left"/>
    </w:pPr>
    <w:rPr>
      <w:kern w:val="0"/>
      <w:sz w:val="18"/>
      <w:szCs w:val="18"/>
    </w:rPr>
  </w:style>
  <w:style w:type="paragraph" w:styleId="15">
    <w:name w:val="header"/>
    <w:basedOn w:val="1"/>
    <w:next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6">
    <w:name w:val="toc 2"/>
    <w:basedOn w:val="1"/>
    <w:next w:val="1"/>
    <w:qFormat/>
    <w:uiPriority w:val="99"/>
    <w:pPr>
      <w:ind w:left="420" w:leftChars="200"/>
    </w:pPr>
  </w:style>
  <w:style w:type="paragraph" w:styleId="17">
    <w:name w:val="Normal (Web)"/>
    <w:basedOn w:val="1"/>
    <w:next w:val="1"/>
    <w:qFormat/>
    <w:uiPriority w:val="0"/>
    <w:pPr>
      <w:spacing w:line="300" w:lineRule="auto"/>
    </w:pPr>
    <w:rPr>
      <w:sz w:val="24"/>
    </w:rPr>
  </w:style>
  <w:style w:type="paragraph" w:styleId="18">
    <w:name w:val="Title"/>
    <w:basedOn w:val="1"/>
    <w:next w:val="1"/>
    <w:qFormat/>
    <w:uiPriority w:val="0"/>
    <w:pPr>
      <w:spacing w:line="360" w:lineRule="auto"/>
      <w:jc w:val="center"/>
      <w:outlineLvl w:val="0"/>
    </w:pPr>
    <w:rPr>
      <w:rFonts w:ascii="Cambria" w:hAnsi="Cambria"/>
      <w:b/>
      <w:bCs/>
      <w:kern w:val="0"/>
      <w:sz w:val="32"/>
      <w:szCs w:val="32"/>
    </w:rPr>
  </w:style>
  <w:style w:type="paragraph" w:styleId="19">
    <w:name w:val="Body Text First Indent"/>
    <w:basedOn w:val="7"/>
    <w:link w:val="49"/>
    <w:qFormat/>
    <w:uiPriority w:val="99"/>
    <w:pPr>
      <w:ind w:firstLine="420" w:firstLineChars="100"/>
    </w:pPr>
    <w:rPr>
      <w:bCs/>
    </w:rPr>
  </w:style>
  <w:style w:type="paragraph" w:styleId="20">
    <w:name w:val="Body Text First Indent 2"/>
    <w:basedOn w:val="8"/>
    <w:next w:val="1"/>
    <w:link w:val="50"/>
    <w:qFormat/>
    <w:uiPriority w:val="99"/>
    <w:pPr>
      <w:spacing w:after="120"/>
      <w:ind w:left="200" w:leftChars="200" w:firstLine="420" w:firstLineChars="200"/>
    </w:p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FFFFFF"/>
      <w:vAlign w:val="center"/>
    </w:tcPr>
    <w:tblStylePr w:type="firstRow">
      <w:rPr>
        <w:caps/>
        <w:color w:val="auto"/>
      </w:rPr>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5">
    <w:name w:val="Strong"/>
    <w:basedOn w:val="24"/>
    <w:qFormat/>
    <w:uiPriority w:val="99"/>
    <w:rPr>
      <w:rFonts w:cs="Times New Roman"/>
      <w:b/>
    </w:rPr>
  </w:style>
  <w:style w:type="character" w:styleId="26">
    <w:name w:val="page number"/>
    <w:qFormat/>
    <w:uiPriority w:val="99"/>
    <w:rPr>
      <w:rFonts w:cs="Times New Roman"/>
    </w:rPr>
  </w:style>
  <w:style w:type="character" w:styleId="27">
    <w:name w:val="FollowedHyperlink"/>
    <w:qFormat/>
    <w:uiPriority w:val="99"/>
    <w:rPr>
      <w:rFonts w:cs="Times New Roman"/>
      <w:color w:val="3366CC"/>
      <w:u w:val="none"/>
    </w:rPr>
  </w:style>
  <w:style w:type="character" w:styleId="28">
    <w:name w:val="Emphasis"/>
    <w:qFormat/>
    <w:uiPriority w:val="99"/>
    <w:rPr>
      <w:rFonts w:cs="Times New Roman"/>
      <w:color w:val="CC0000"/>
    </w:rPr>
  </w:style>
  <w:style w:type="character" w:styleId="29">
    <w:name w:val="HTML Definition"/>
    <w:qFormat/>
    <w:uiPriority w:val="99"/>
    <w:rPr>
      <w:rFonts w:cs="Times New Roman"/>
      <w:i/>
    </w:rPr>
  </w:style>
  <w:style w:type="character" w:styleId="30">
    <w:name w:val="Hyperlink"/>
    <w:qFormat/>
    <w:uiPriority w:val="99"/>
    <w:rPr>
      <w:rFonts w:cs="Times New Roman"/>
      <w:color w:val="000000"/>
      <w:u w:val="none"/>
    </w:rPr>
  </w:style>
  <w:style w:type="character" w:styleId="31">
    <w:name w:val="annotation reference"/>
    <w:qFormat/>
    <w:uiPriority w:val="99"/>
    <w:rPr>
      <w:rFonts w:cs="Times New Roman"/>
      <w:sz w:val="21"/>
      <w:szCs w:val="21"/>
    </w:rPr>
  </w:style>
  <w:style w:type="character" w:styleId="32">
    <w:name w:val="HTML Cite"/>
    <w:qFormat/>
    <w:uiPriority w:val="99"/>
    <w:rPr>
      <w:rFonts w:cs="Times New Roman"/>
      <w:color w:val="008000"/>
    </w:rPr>
  </w:style>
  <w:style w:type="paragraph" w:customStyle="1" w:styleId="33">
    <w:name w:val="样式 首行缩进:  2 字符"/>
    <w:basedOn w:val="1"/>
    <w:qFormat/>
    <w:uiPriority w:val="0"/>
    <w:pPr>
      <w:ind w:firstLine="560"/>
    </w:pPr>
    <w:rPr>
      <w:rFonts w:eastAsia="仿宋_GB2312" w:cs="宋体"/>
      <w:sz w:val="24"/>
    </w:rPr>
  </w:style>
  <w:style w:type="paragraph" w:customStyle="1" w:styleId="34">
    <w:name w:val="表格文字"/>
    <w:basedOn w:val="1"/>
    <w:next w:val="7"/>
    <w:qFormat/>
    <w:uiPriority w:val="99"/>
    <w:pPr>
      <w:adjustRightInd w:val="0"/>
      <w:spacing w:line="420" w:lineRule="atLeast"/>
      <w:jc w:val="left"/>
      <w:textAlignment w:val="baseline"/>
    </w:pPr>
    <w:rPr>
      <w:kern w:val="0"/>
      <w:szCs w:val="20"/>
    </w:rPr>
  </w:style>
  <w:style w:type="paragraph" w:customStyle="1" w:styleId="35">
    <w:name w:val="_Style 2"/>
    <w:basedOn w:val="1"/>
    <w:next w:val="1"/>
    <w:qFormat/>
    <w:uiPriority w:val="99"/>
    <w:pPr>
      <w:ind w:firstLine="420"/>
    </w:pPr>
    <w:rPr>
      <w:rFonts w:ascii="Cambria" w:hAnsi="Cambria"/>
    </w:rPr>
  </w:style>
  <w:style w:type="paragraph" w:customStyle="1" w:styleId="36">
    <w:name w:val="Char1"/>
    <w:basedOn w:val="1"/>
    <w:qFormat/>
    <w:uiPriority w:val="0"/>
    <w:pPr>
      <w:widowControl/>
      <w:suppressAutoHyphens/>
      <w:spacing w:after="160" w:line="240" w:lineRule="exact"/>
      <w:jc w:val="left"/>
    </w:pPr>
    <w:rPr>
      <w:rFonts w:ascii="Verdana" w:hAnsi="Verdana" w:eastAsia="Times New Roman"/>
      <w:kern w:val="0"/>
      <w:sz w:val="20"/>
      <w:szCs w:val="20"/>
      <w:lang w:eastAsia="en-US"/>
    </w:rPr>
  </w:style>
  <w:style w:type="paragraph" w:customStyle="1" w:styleId="37">
    <w:name w:val="Char"/>
    <w:basedOn w:val="1"/>
    <w:qFormat/>
    <w:uiPriority w:val="0"/>
    <w:rPr>
      <w:rFonts w:ascii="Tahoma" w:hAnsi="Tahoma"/>
      <w:sz w:val="24"/>
      <w:szCs w:val="20"/>
    </w:rPr>
  </w:style>
  <w:style w:type="paragraph" w:customStyle="1" w:styleId="38">
    <w:name w:val="_Style 3"/>
    <w:basedOn w:val="1"/>
    <w:qFormat/>
    <w:uiPriority w:val="0"/>
    <w:pPr>
      <w:spacing w:line="240" w:lineRule="atLeast"/>
      <w:ind w:left="420" w:firstLine="420"/>
    </w:pPr>
    <w:rPr>
      <w:rFonts w:ascii="Calibri" w:hAnsi="Calibri"/>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character" w:customStyle="1" w:styleId="40">
    <w:name w:val="标题 1 字符"/>
    <w:qFormat/>
    <w:uiPriority w:val="99"/>
    <w:rPr>
      <w:rFonts w:cs="Times New Roman"/>
      <w:b/>
      <w:bCs/>
      <w:kern w:val="44"/>
      <w:sz w:val="44"/>
      <w:szCs w:val="44"/>
    </w:rPr>
  </w:style>
  <w:style w:type="character" w:customStyle="1" w:styleId="41">
    <w:name w:val="标题 3 Char"/>
    <w:link w:val="5"/>
    <w:qFormat/>
    <w:uiPriority w:val="99"/>
    <w:rPr>
      <w:rFonts w:cs="Times New Roman"/>
      <w:b/>
      <w:bCs/>
      <w:sz w:val="32"/>
      <w:szCs w:val="32"/>
    </w:rPr>
  </w:style>
  <w:style w:type="character" w:customStyle="1" w:styleId="42">
    <w:name w:val="批注文字 Char"/>
    <w:link w:val="6"/>
    <w:qFormat/>
    <w:uiPriority w:val="99"/>
    <w:rPr>
      <w:rFonts w:cs="Times New Roman"/>
      <w:sz w:val="24"/>
      <w:szCs w:val="24"/>
    </w:rPr>
  </w:style>
  <w:style w:type="character" w:customStyle="1" w:styleId="43">
    <w:name w:val="正文文本 Char"/>
    <w:link w:val="7"/>
    <w:qFormat/>
    <w:uiPriority w:val="99"/>
    <w:rPr>
      <w:rFonts w:cs="Times New Roman"/>
      <w:sz w:val="24"/>
      <w:szCs w:val="24"/>
    </w:rPr>
  </w:style>
  <w:style w:type="character" w:customStyle="1" w:styleId="44">
    <w:name w:val="正文文本缩进 Char"/>
    <w:link w:val="8"/>
    <w:qFormat/>
    <w:uiPriority w:val="99"/>
    <w:rPr>
      <w:rFonts w:cs="Times New Roman"/>
      <w:sz w:val="24"/>
      <w:szCs w:val="24"/>
    </w:rPr>
  </w:style>
  <w:style w:type="character" w:customStyle="1" w:styleId="45">
    <w:name w:val="纯文本 Char"/>
    <w:link w:val="10"/>
    <w:qFormat/>
    <w:uiPriority w:val="99"/>
    <w:rPr>
      <w:rFonts w:ascii="宋体" w:hAnsi="Courier New" w:cs="Courier New"/>
      <w:sz w:val="21"/>
      <w:szCs w:val="21"/>
    </w:rPr>
  </w:style>
  <w:style w:type="character" w:customStyle="1" w:styleId="46">
    <w:name w:val="正文文本缩进 2 Char"/>
    <w:link w:val="12"/>
    <w:qFormat/>
    <w:uiPriority w:val="99"/>
    <w:rPr>
      <w:rFonts w:cs="Times New Roman"/>
      <w:sz w:val="24"/>
      <w:szCs w:val="24"/>
    </w:rPr>
  </w:style>
  <w:style w:type="character" w:customStyle="1" w:styleId="47">
    <w:name w:val="页脚 Char"/>
    <w:link w:val="14"/>
    <w:qFormat/>
    <w:uiPriority w:val="99"/>
    <w:rPr>
      <w:rFonts w:cs="Times New Roman"/>
      <w:sz w:val="18"/>
      <w:szCs w:val="18"/>
    </w:rPr>
  </w:style>
  <w:style w:type="character" w:customStyle="1" w:styleId="48">
    <w:name w:val="页眉 Char"/>
    <w:link w:val="15"/>
    <w:qFormat/>
    <w:uiPriority w:val="99"/>
    <w:rPr>
      <w:rFonts w:cs="Times New Roman"/>
      <w:sz w:val="18"/>
      <w:szCs w:val="18"/>
    </w:rPr>
  </w:style>
  <w:style w:type="character" w:customStyle="1" w:styleId="49">
    <w:name w:val="正文首行缩进 Char"/>
    <w:link w:val="19"/>
    <w:qFormat/>
    <w:uiPriority w:val="99"/>
    <w:rPr>
      <w:rFonts w:cs="Times New Roman"/>
      <w:sz w:val="24"/>
      <w:szCs w:val="24"/>
    </w:rPr>
  </w:style>
  <w:style w:type="character" w:customStyle="1" w:styleId="50">
    <w:name w:val="正文首行缩进 2 Char"/>
    <w:link w:val="20"/>
    <w:qFormat/>
    <w:uiPriority w:val="99"/>
    <w:rPr>
      <w:rFonts w:cs="Times New Roman"/>
      <w:sz w:val="24"/>
      <w:szCs w:val="24"/>
    </w:rPr>
  </w:style>
  <w:style w:type="paragraph" w:customStyle="1" w:styleId="51">
    <w:name w:val="Char Char Char Char"/>
    <w:basedOn w:val="1"/>
    <w:qFormat/>
    <w:uiPriority w:val="99"/>
    <w:rPr>
      <w:rFonts w:ascii="Tahoma" w:hAnsi="Tahoma"/>
      <w:sz w:val="24"/>
      <w:szCs w:val="20"/>
    </w:rPr>
  </w:style>
  <w:style w:type="paragraph" w:customStyle="1" w:styleId="5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样式3"/>
    <w:basedOn w:val="10"/>
    <w:qFormat/>
    <w:uiPriority w:val="99"/>
    <w:pPr>
      <w:spacing w:line="240" w:lineRule="atLeast"/>
      <w:outlineLvl w:val="0"/>
    </w:pPr>
    <w:rPr>
      <w:sz w:val="28"/>
      <w:szCs w:val="20"/>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5">
    <w:name w:val="c-icon"/>
    <w:qFormat/>
    <w:uiPriority w:val="99"/>
    <w:rPr>
      <w:rFonts w:cs="Times New Roman"/>
    </w:rPr>
  </w:style>
  <w:style w:type="character" w:customStyle="1" w:styleId="56">
    <w:name w:val="input_span1"/>
    <w:qFormat/>
    <w:uiPriority w:val="99"/>
    <w:rPr>
      <w:rFonts w:cs="Times New Roman"/>
      <w:bdr w:val="single" w:color="9B9B9B" w:sz="6" w:space="0"/>
    </w:rPr>
  </w:style>
  <w:style w:type="character" w:customStyle="1" w:styleId="57">
    <w:name w:val="col3"/>
    <w:qFormat/>
    <w:uiPriority w:val="99"/>
    <w:rPr>
      <w:rFonts w:cs="Times New Roman"/>
    </w:rPr>
  </w:style>
  <w:style w:type="character" w:customStyle="1" w:styleId="58">
    <w:name w:val="inputhighlight"/>
    <w:qFormat/>
    <w:uiPriority w:val="99"/>
    <w:rPr>
      <w:rFonts w:cs="Times New Roman"/>
    </w:rPr>
  </w:style>
  <w:style w:type="character" w:customStyle="1" w:styleId="59">
    <w:name w:val="col1"/>
    <w:qFormat/>
    <w:uiPriority w:val="99"/>
    <w:rPr>
      <w:rFonts w:cs="Times New Roman"/>
    </w:rPr>
  </w:style>
  <w:style w:type="character" w:customStyle="1" w:styleId="60">
    <w:name w:val="remainvalue"/>
    <w:qFormat/>
    <w:uiPriority w:val="99"/>
    <w:rPr>
      <w:rFonts w:ascii="微软雅黑" w:hAnsi="微软雅黑" w:eastAsia="微软雅黑" w:cs="微软雅黑"/>
      <w:b/>
      <w:color w:val="FF0000"/>
      <w:sz w:val="30"/>
      <w:szCs w:val="30"/>
    </w:rPr>
  </w:style>
  <w:style w:type="character" w:customStyle="1" w:styleId="61">
    <w:name w:val="gjfg"/>
    <w:qFormat/>
    <w:uiPriority w:val="99"/>
    <w:rPr>
      <w:rFonts w:cs="Times New Roman"/>
    </w:rPr>
  </w:style>
  <w:style w:type="character" w:customStyle="1" w:styleId="62">
    <w:name w:val="redfilefwwh"/>
    <w:qFormat/>
    <w:uiPriority w:val="99"/>
    <w:rPr>
      <w:rFonts w:cs="Times New Roman"/>
      <w:color w:val="BA2636"/>
      <w:sz w:val="18"/>
      <w:szCs w:val="18"/>
    </w:rPr>
  </w:style>
  <w:style w:type="character" w:customStyle="1" w:styleId="63">
    <w:name w:val="redfilenumber"/>
    <w:qFormat/>
    <w:uiPriority w:val="99"/>
    <w:rPr>
      <w:rFonts w:cs="Times New Roman"/>
      <w:color w:val="BA2636"/>
      <w:sz w:val="18"/>
      <w:szCs w:val="18"/>
    </w:rPr>
  </w:style>
  <w:style w:type="character" w:customStyle="1" w:styleId="64">
    <w:name w:val="qxdate"/>
    <w:qFormat/>
    <w:uiPriority w:val="99"/>
    <w:rPr>
      <w:rFonts w:cs="Times New Roman"/>
      <w:color w:val="333333"/>
      <w:sz w:val="18"/>
      <w:szCs w:val="18"/>
    </w:rPr>
  </w:style>
  <w:style w:type="character" w:customStyle="1" w:styleId="65">
    <w:name w:val="displayarti"/>
    <w:qFormat/>
    <w:uiPriority w:val="99"/>
    <w:rPr>
      <w:rFonts w:cs="Times New Roman"/>
      <w:color w:val="FFFFFF"/>
      <w:shd w:val="clear" w:color="auto" w:fill="A00000"/>
    </w:rPr>
  </w:style>
  <w:style w:type="character" w:customStyle="1" w:styleId="66">
    <w:name w:val="cfdate"/>
    <w:qFormat/>
    <w:uiPriority w:val="99"/>
    <w:rPr>
      <w:rFonts w:cs="Times New Roman"/>
      <w:color w:val="333333"/>
      <w:sz w:val="18"/>
      <w:szCs w:val="18"/>
    </w:rPr>
  </w:style>
  <w:style w:type="character" w:customStyle="1" w:styleId="67">
    <w:name w:val="批注框文本 Char"/>
    <w:link w:val="13"/>
    <w:qFormat/>
    <w:uiPriority w:val="99"/>
    <w:rPr>
      <w:rFonts w:cs="Times New Roman"/>
      <w:sz w:val="2"/>
    </w:rPr>
  </w:style>
  <w:style w:type="paragraph" w:customStyle="1" w:styleId="68">
    <w:name w:val="1正文-lcx"/>
    <w:basedOn w:val="1"/>
    <w:qFormat/>
    <w:uiPriority w:val="0"/>
    <w:pPr>
      <w:spacing w:line="480" w:lineRule="exact"/>
      <w:ind w:firstLine="200"/>
    </w:pPr>
    <w:rPr>
      <w:sz w:val="28"/>
      <w:szCs w:val="28"/>
    </w:rPr>
  </w:style>
  <w:style w:type="paragraph" w:customStyle="1" w:styleId="69">
    <w:name w:val="列出段落1"/>
    <w:basedOn w:val="1"/>
    <w:qFormat/>
    <w:uiPriority w:val="0"/>
    <w:pPr>
      <w:ind w:firstLine="420" w:firstLineChars="200"/>
    </w:pPr>
  </w:style>
  <w:style w:type="paragraph" w:styleId="70">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customStyle="1" w:styleId="71">
    <w:name w:val="纯文本2"/>
    <w:basedOn w:val="1"/>
    <w:qFormat/>
    <w:uiPriority w:val="0"/>
    <w:rPr>
      <w:rFonts w:ascii="宋体" w:hAnsi="Courier New" w:cs="Courier New"/>
      <w:szCs w:val="21"/>
    </w:rPr>
  </w:style>
  <w:style w:type="character" w:customStyle="1" w:styleId="72">
    <w:name w:val="标题 1 Char"/>
    <w:basedOn w:val="24"/>
    <w:link w:val="3"/>
    <w:qFormat/>
    <w:uiPriority w:val="0"/>
    <w:rPr>
      <w:rFonts w:hint="default" w:ascii="Times New Roman" w:hAnsi="Times New Roman" w:eastAsia="宋体" w:cs="Times New Roman"/>
      <w:b/>
      <w:kern w:val="44"/>
      <w:sz w:val="44"/>
      <w:szCs w:val="44"/>
    </w:rPr>
  </w:style>
  <w:style w:type="character" w:customStyle="1" w:styleId="73">
    <w:name w:val="15"/>
    <w:basedOn w:val="24"/>
    <w:qFormat/>
    <w:uiPriority w:val="0"/>
    <w:rPr>
      <w:rFonts w:hint="default" w:ascii="Times New Roman" w:hAnsi="Times New Roman" w:cs="Times New Roman"/>
    </w:rPr>
  </w:style>
  <w:style w:type="paragraph" w:customStyle="1" w:styleId="74">
    <w:name w:val="正文首缩两字"/>
    <w:basedOn w:val="1"/>
    <w:qFormat/>
    <w:uiPriority w:val="0"/>
    <w:pPr>
      <w:spacing w:line="360" w:lineRule="auto"/>
      <w:ind w:firstLine="200" w:firstLineChars="200"/>
    </w:pPr>
    <w:rPr>
      <w:rFonts w:ascii="Verdana" w:hAnsi="Verdana"/>
      <w:sz w:val="24"/>
    </w:rPr>
  </w:style>
  <w:style w:type="character" w:customStyle="1" w:styleId="75">
    <w:name w:val="font31"/>
    <w:basedOn w:val="24"/>
    <w:qFormat/>
    <w:uiPriority w:val="0"/>
    <w:rPr>
      <w:rFonts w:hint="eastAsia" w:ascii="宋体" w:hAnsi="宋体" w:eastAsia="宋体" w:cs="宋体"/>
      <w:color w:val="FF0000"/>
      <w:sz w:val="24"/>
      <w:szCs w:val="24"/>
      <w:u w:val="none"/>
    </w:rPr>
  </w:style>
  <w:style w:type="character" w:customStyle="1" w:styleId="76">
    <w:name w:val="font41"/>
    <w:basedOn w:val="24"/>
    <w:qFormat/>
    <w:uiPriority w:val="0"/>
    <w:rPr>
      <w:rFonts w:hint="default" w:ascii="Times New Roman" w:hAnsi="Times New Roman" w:cs="Times New Roman"/>
      <w:color w:val="FF0000"/>
      <w:sz w:val="24"/>
      <w:szCs w:val="24"/>
      <w:u w:val="none"/>
    </w:rPr>
  </w:style>
  <w:style w:type="character" w:customStyle="1" w:styleId="77">
    <w:name w:val="font111"/>
    <w:basedOn w:val="24"/>
    <w:qFormat/>
    <w:uiPriority w:val="0"/>
    <w:rPr>
      <w:rFonts w:hint="default" w:ascii="等线" w:hAnsi="等线" w:eastAsia="等线" w:cs="等线"/>
      <w:color w:val="FF0000"/>
      <w:sz w:val="24"/>
      <w:szCs w:val="24"/>
      <w:u w:val="none"/>
    </w:rPr>
  </w:style>
  <w:style w:type="character" w:customStyle="1" w:styleId="78">
    <w:name w:val="+正文 Char Char4"/>
    <w:qFormat/>
    <w:uiPriority w:val="0"/>
    <w:rPr>
      <w:rFonts w:eastAsia="宋体"/>
      <w:kern w:val="2"/>
      <w:sz w:val="24"/>
      <w:szCs w:val="24"/>
      <w:lang w:val="en-US" w:eastAsia="zh-CN" w:bidi="ar-SA"/>
    </w:rPr>
  </w:style>
  <w:style w:type="paragraph" w:customStyle="1" w:styleId="79">
    <w:name w:val="zz正文"/>
    <w:basedOn w:val="1"/>
    <w:qFormat/>
    <w:uiPriority w:val="0"/>
    <w:pPr>
      <w:adjustRightInd w:val="0"/>
      <w:snapToGrid w:val="0"/>
      <w:ind w:firstLine="200" w:firstLineChars="200"/>
      <w:textAlignment w:val="center"/>
    </w:pPr>
    <w:rPr>
      <w:rFonts w:cs="宋体"/>
      <w:szCs w:val="20"/>
    </w:rPr>
  </w:style>
  <w:style w:type="paragraph" w:customStyle="1" w:styleId="80">
    <w:name w:val="+正文"/>
    <w:basedOn w:val="1"/>
    <w:qFormat/>
    <w:uiPriority w:val="0"/>
    <w:pPr>
      <w:ind w:firstLine="200" w:firstLineChars="200"/>
    </w:pPr>
    <w:rPr>
      <w:szCs w:val="28"/>
    </w:rPr>
  </w:style>
  <w:style w:type="paragraph" w:customStyle="1" w:styleId="81">
    <w:name w:val="彩色列表1"/>
    <w:basedOn w:val="1"/>
    <w:qFormat/>
    <w:uiPriority w:val="34"/>
    <w:pPr>
      <w:ind w:firstLine="420" w:firstLineChars="200"/>
    </w:pPr>
  </w:style>
  <w:style w:type="character" w:customStyle="1" w:styleId="82">
    <w:name w:val="font61"/>
    <w:basedOn w:val="24"/>
    <w:qFormat/>
    <w:uiPriority w:val="0"/>
    <w:rPr>
      <w:rFonts w:hint="eastAsia" w:ascii="宋体" w:hAnsi="宋体" w:eastAsia="宋体" w:cs="宋体"/>
      <w:color w:val="auto"/>
      <w:sz w:val="16"/>
      <w:szCs w:val="16"/>
      <w:u w:val="none"/>
    </w:rPr>
  </w:style>
  <w:style w:type="paragraph" w:customStyle="1" w:styleId="83">
    <w:name w:val="Char Char1 Char Char Char"/>
    <w:basedOn w:val="1"/>
    <w:qFormat/>
    <w:uiPriority w:val="0"/>
    <w:rPr>
      <w:kern w:val="0"/>
      <w:sz w:val="20"/>
      <w:szCs w:val="20"/>
    </w:rPr>
  </w:style>
  <w:style w:type="paragraph" w:customStyle="1" w:styleId="84">
    <w:name w:val="Other|1"/>
    <w:basedOn w:val="1"/>
    <w:qFormat/>
    <w:uiPriority w:val="0"/>
    <w:pPr>
      <w:spacing w:line="480" w:lineRule="auto"/>
      <w:ind w:firstLine="160"/>
    </w:pPr>
    <w:rPr>
      <w:rFonts w:ascii="宋体" w:hAnsi="宋体" w:cs="宋体"/>
      <w:sz w:val="20"/>
      <w:szCs w:val="20"/>
      <w:lang w:val="zh-TW" w:eastAsia="zh-TW" w:bidi="zh-TW"/>
    </w:rPr>
  </w:style>
  <w:style w:type="paragraph" w:customStyle="1" w:styleId="85">
    <w:name w:val="Heading #3|1"/>
    <w:basedOn w:val="1"/>
    <w:qFormat/>
    <w:uiPriority w:val="0"/>
    <w:pPr>
      <w:spacing w:after="100"/>
      <w:outlineLvl w:val="2"/>
    </w:pPr>
    <w:rPr>
      <w:rFonts w:ascii="宋体" w:hAnsi="宋体" w:cs="宋体"/>
      <w:lang w:val="zh-TW" w:eastAsia="zh-TW" w:bidi="zh-TW"/>
    </w:rPr>
  </w:style>
  <w:style w:type="paragraph" w:customStyle="1" w:styleId="86">
    <w:name w:val="Body text|1"/>
    <w:basedOn w:val="1"/>
    <w:qFormat/>
    <w:uiPriority w:val="0"/>
    <w:pPr>
      <w:spacing w:line="480" w:lineRule="auto"/>
      <w:ind w:firstLine="160"/>
    </w:pPr>
    <w:rPr>
      <w:rFonts w:ascii="宋体" w:hAnsi="宋体" w:cs="宋体"/>
      <w:sz w:val="20"/>
      <w:szCs w:val="20"/>
      <w:lang w:val="zh-TW" w:eastAsia="zh-TW" w:bidi="zh-TW"/>
    </w:rPr>
  </w:style>
  <w:style w:type="paragraph" w:customStyle="1" w:styleId="87">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88">
    <w:name w:val="文本"/>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table" w:customStyle="1" w:styleId="89">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NormalCharacter"/>
    <w:qFormat/>
    <w:uiPriority w:val="0"/>
    <w:rPr>
      <w:kern w:val="2"/>
      <w:sz w:val="21"/>
      <w:szCs w:val="24"/>
      <w:lang w:val="en-US" w:eastAsia="zh-CN" w:bidi="ar-SA"/>
    </w:rPr>
  </w:style>
  <w:style w:type="paragraph" w:customStyle="1" w:styleId="91">
    <w:name w:val="文档正文"/>
    <w:basedOn w:val="1"/>
    <w:qFormat/>
    <w:uiPriority w:val="0"/>
    <w:pPr>
      <w:adjustRightInd w:val="0"/>
      <w:spacing w:afterLines="100" w:line="360" w:lineRule="auto"/>
      <w:ind w:firstLine="567"/>
      <w:textAlignment w:val="baseline"/>
    </w:pPr>
    <w:rPr>
      <w:rFonts w:ascii="Arial" w:hAnsi="Arial"/>
      <w:kern w:val="0"/>
      <w:sz w:val="24"/>
      <w:szCs w:val="20"/>
    </w:rPr>
  </w:style>
  <w:style w:type="paragraph" w:customStyle="1" w:styleId="92">
    <w:name w:val="Normal Indent1"/>
    <w:basedOn w:val="1"/>
    <w:qFormat/>
    <w:uiPriority w:val="0"/>
    <w:pPr>
      <w:ind w:firstLine="420" w:firstLineChars="200"/>
    </w:pPr>
  </w:style>
  <w:style w:type="paragraph" w:styleId="9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416BB-FD4B-46E2-96EE-20B9A77E1F7E}">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53085</Words>
  <Characters>54801</Characters>
  <Lines>421</Lines>
  <Paragraphs>118</Paragraphs>
  <TotalTime>1</TotalTime>
  <ScaleCrop>false</ScaleCrop>
  <LinksUpToDate>false</LinksUpToDate>
  <CharactersWithSpaces>56943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2022-07-28T07:32:00Z</dcterms:created>
  <dc:creator>pc</dc:creator>
  <cp:lastModifiedBy>Admin</cp:lastModifiedBy>
  <cp:lastPrinted>2022-05-31T01:31:00Z</cp:lastPrinted>
  <dcterms:modified xsi:type="dcterms:W3CDTF">2022-08-01T07:39:45Z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B2C6A04315B74961A06A909C7186FE94</vt:lpwstr>
  </property>
</Properties>
</file>