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ind w:right="600"/>
        <w:jc w:val="center"/>
        <w:rPr>
          <w:rFonts w:ascii="宋体" w:cs="宋体"/>
          <w:b/>
          <w:bCs/>
          <w:color w:val="auto"/>
          <w:sz w:val="28"/>
          <w:szCs w:val="28"/>
          <w:highlight w:val="none"/>
        </w:rPr>
      </w:pP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rPr>
        <w:t>本</w:t>
      </w:r>
      <w:r>
        <w:rPr>
          <w:rFonts w:hint="eastAsia" w:ascii="宋体" w:hAnsi="宋体" w:cs="宋体"/>
          <w:b/>
          <w:bCs/>
          <w:color w:val="auto"/>
          <w:sz w:val="28"/>
          <w:szCs w:val="28"/>
          <w:highlight w:val="none"/>
          <w:lang w:eastAsia="zh-CN"/>
        </w:rPr>
        <w:t>谈判</w:t>
      </w:r>
      <w:r>
        <w:rPr>
          <w:rFonts w:hint="eastAsia" w:ascii="宋体" w:hAnsi="宋体" w:cs="宋体"/>
          <w:b/>
          <w:bCs/>
          <w:color w:val="auto"/>
          <w:sz w:val="28"/>
          <w:szCs w:val="28"/>
          <w:highlight w:val="none"/>
        </w:rPr>
        <w:t>文件经采购人审核确认，同意发布。</w:t>
      </w:r>
    </w:p>
    <w:p>
      <w:pPr>
        <w:widowControl/>
        <w:spacing w:before="75" w:after="75"/>
        <w:jc w:val="center"/>
        <w:rPr>
          <w:rFonts w:ascii="宋体" w:hAnsi="宋体" w:cs="宋体"/>
          <w:b/>
          <w:color w:val="auto"/>
          <w:highlight w:val="none"/>
        </w:rPr>
      </w:pPr>
      <w:r>
        <w:rPr>
          <w:rFonts w:ascii="宋体" w:hAnsi="宋体" w:cs="宋体"/>
          <w:b/>
          <w:color w:val="auto"/>
          <w:highlight w:val="none"/>
        </w:rPr>
        <w:t xml:space="preserve">                                </w:t>
      </w:r>
    </w:p>
    <w:p>
      <w:pPr>
        <w:widowControl/>
        <w:spacing w:before="75" w:after="75"/>
        <w:jc w:val="center"/>
        <w:rPr>
          <w:rFonts w:ascii="宋体" w:hAnsi="宋体" w:eastAsia="宋体" w:cs="宋体"/>
          <w:color w:val="auto"/>
          <w:kern w:val="0"/>
          <w:sz w:val="24"/>
          <w:szCs w:val="24"/>
          <w:highlight w:val="none"/>
        </w:rPr>
      </w:pPr>
      <w:r>
        <w:rPr>
          <w:rFonts w:hint="eastAsia" w:ascii="宋体" w:hAnsi="宋体" w:cs="宋体"/>
          <w:b/>
          <w:color w:val="auto"/>
          <w:highlight w:val="none"/>
          <w:lang w:val="en-US" w:eastAsia="zh-CN"/>
        </w:rPr>
        <w:t xml:space="preserve">                                 </w:t>
      </w:r>
      <w:r>
        <w:rPr>
          <w:rFonts w:hint="eastAsia" w:ascii="宋体" w:hAnsi="宋体" w:cs="宋体"/>
          <w:b/>
          <w:bCs/>
          <w:color w:val="auto"/>
          <w:sz w:val="28"/>
          <w:szCs w:val="28"/>
          <w:highlight w:val="none"/>
        </w:rPr>
        <w:t>采购人盖章：</w:t>
      </w:r>
    </w:p>
    <w:p>
      <w:pPr>
        <w:widowControl/>
        <w:spacing w:before="75" w:after="75"/>
        <w:jc w:val="center"/>
        <w:rPr>
          <w:rFonts w:ascii="宋体" w:hAnsi="宋体" w:eastAsia="宋体" w:cs="宋体"/>
          <w:color w:val="auto"/>
          <w:kern w:val="0"/>
          <w:sz w:val="24"/>
          <w:szCs w:val="24"/>
          <w:highlight w:val="none"/>
        </w:rPr>
      </w:pPr>
    </w:p>
    <w:p>
      <w:pPr>
        <w:widowControl/>
        <w:spacing w:before="75" w:after="75"/>
        <w:jc w:val="center"/>
        <w:rPr>
          <w:rFonts w:ascii="宋体" w:hAnsi="宋体" w:eastAsia="宋体" w:cs="宋体"/>
          <w:color w:val="auto"/>
          <w:kern w:val="0"/>
          <w:sz w:val="24"/>
          <w:szCs w:val="24"/>
          <w:highlight w:val="none"/>
        </w:rPr>
      </w:pPr>
    </w:p>
    <w:p>
      <w:pPr>
        <w:widowControl/>
        <w:spacing w:before="75" w:after="75"/>
        <w:jc w:val="center"/>
        <w:rPr>
          <w:rFonts w:ascii="宋体" w:hAnsi="宋体" w:eastAsia="宋体" w:cs="宋体"/>
          <w:color w:val="auto"/>
          <w:kern w:val="0"/>
          <w:sz w:val="24"/>
          <w:szCs w:val="24"/>
          <w:highlight w:val="none"/>
        </w:rPr>
      </w:pPr>
    </w:p>
    <w:p>
      <w:pPr>
        <w:pStyle w:val="14"/>
        <w:rPr>
          <w:rFonts w:ascii="宋体" w:hAnsi="宋体" w:eastAsia="宋体" w:cs="宋体"/>
          <w:color w:val="auto"/>
          <w:kern w:val="0"/>
          <w:sz w:val="24"/>
          <w:szCs w:val="24"/>
          <w:highlight w:val="none"/>
        </w:rPr>
      </w:pPr>
    </w:p>
    <w:p>
      <w:pPr>
        <w:pStyle w:val="14"/>
        <w:rPr>
          <w:rFonts w:ascii="宋体" w:hAnsi="宋体" w:eastAsia="宋体" w:cs="宋体"/>
          <w:color w:val="auto"/>
          <w:kern w:val="0"/>
          <w:sz w:val="24"/>
          <w:szCs w:val="24"/>
          <w:highlight w:val="none"/>
        </w:rPr>
      </w:pPr>
    </w:p>
    <w:p>
      <w:pPr>
        <w:widowControl/>
        <w:spacing w:before="75" w:after="75"/>
        <w:jc w:val="center"/>
        <w:rPr>
          <w:rFonts w:ascii="宋体" w:hAnsi="宋体" w:eastAsia="宋体" w:cs="宋体"/>
          <w:color w:val="auto"/>
          <w:kern w:val="0"/>
          <w:sz w:val="24"/>
          <w:szCs w:val="24"/>
          <w:highlight w:val="none"/>
        </w:rPr>
      </w:pPr>
    </w:p>
    <w:p>
      <w:pPr>
        <w:widowControl/>
        <w:spacing w:before="75" w:after="75"/>
        <w:jc w:val="center"/>
        <w:rPr>
          <w:rFonts w:ascii="宋体" w:hAnsi="宋体" w:eastAsia="宋体" w:cs="宋体"/>
          <w:color w:val="auto"/>
          <w:kern w:val="0"/>
          <w:sz w:val="24"/>
          <w:szCs w:val="24"/>
          <w:highlight w:val="none"/>
        </w:rPr>
      </w:pPr>
      <w:r>
        <w:rPr>
          <w:rFonts w:hint="eastAsia" w:ascii="宋体" w:hAnsi="宋体" w:eastAsia="宋体" w:cs="宋体"/>
          <w:b/>
          <w:bCs/>
          <w:color w:val="auto"/>
          <w:kern w:val="0"/>
          <w:sz w:val="72"/>
          <w:szCs w:val="72"/>
          <w:highlight w:val="none"/>
          <w:lang w:val="en-US" w:eastAsia="zh-CN"/>
        </w:rPr>
        <w:t xml:space="preserve"> </w:t>
      </w:r>
      <w:r>
        <w:rPr>
          <w:rFonts w:ascii="宋体" w:hAnsi="宋体" w:eastAsia="宋体" w:cs="宋体"/>
          <w:b/>
          <w:bCs/>
          <w:color w:val="auto"/>
          <w:kern w:val="0"/>
          <w:sz w:val="72"/>
          <w:szCs w:val="72"/>
          <w:highlight w:val="none"/>
        </w:rPr>
        <w:t>竞争性谈判文件</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80" w:lineRule="auto"/>
        <w:ind w:left="0" w:leftChars="0" w:right="-144" w:rightChars="0" w:firstLine="220" w:firstLineChars="73"/>
        <w:jc w:val="left"/>
        <w:rPr>
          <w:rFonts w:hint="eastAsia" w:ascii="宋体" w:hAnsi="宋体" w:eastAsia="宋体" w:cs="宋体"/>
          <w:b/>
          <w:bCs/>
          <w:color w:val="auto"/>
          <w:kern w:val="0"/>
          <w:sz w:val="30"/>
          <w:szCs w:val="30"/>
          <w:highlight w:val="none"/>
          <w:lang w:eastAsia="zh-CN"/>
        </w:rPr>
      </w:pPr>
      <w:r>
        <w:rPr>
          <w:rFonts w:ascii="宋体" w:hAnsi="宋体" w:eastAsia="宋体" w:cs="宋体"/>
          <w:b/>
          <w:bCs/>
          <w:color w:val="auto"/>
          <w:kern w:val="0"/>
          <w:sz w:val="30"/>
          <w:szCs w:val="30"/>
          <w:highlight w:val="none"/>
        </w:rPr>
        <w:t>项目名称：</w:t>
      </w:r>
      <w:r>
        <w:rPr>
          <w:rFonts w:hint="eastAsia" w:ascii="宋体" w:hAnsi="宋体" w:eastAsia="宋体" w:cs="宋体"/>
          <w:b/>
          <w:bCs/>
          <w:color w:val="auto"/>
          <w:kern w:val="0"/>
          <w:sz w:val="30"/>
          <w:szCs w:val="30"/>
          <w:highlight w:val="none"/>
          <w:lang w:eastAsia="zh-CN"/>
        </w:rPr>
        <w:t>2022年莆田市中等职业学校班主任业务能力提升服务采购</w:t>
      </w:r>
    </w:p>
    <w:p>
      <w:pPr>
        <w:widowControl/>
        <w:spacing w:before="75" w:after="75" w:line="480" w:lineRule="auto"/>
        <w:ind w:left="0" w:leftChars="0" w:right="-144" w:rightChars="0" w:firstLine="220" w:firstLineChars="73"/>
        <w:jc w:val="left"/>
        <w:rPr>
          <w:rFonts w:hint="eastAsia" w:ascii="宋体" w:hAnsi="宋体" w:eastAsia="宋体" w:cs="宋体"/>
          <w:b/>
          <w:bCs/>
          <w:color w:val="auto"/>
          <w:kern w:val="0"/>
          <w:sz w:val="30"/>
          <w:szCs w:val="30"/>
          <w:highlight w:val="none"/>
          <w:lang w:eastAsia="zh-CN"/>
        </w:rPr>
      </w:pPr>
      <w:r>
        <w:rPr>
          <w:rFonts w:ascii="宋体" w:hAnsi="宋体" w:eastAsia="宋体" w:cs="宋体"/>
          <w:b/>
          <w:bCs/>
          <w:color w:val="auto"/>
          <w:kern w:val="0"/>
          <w:sz w:val="30"/>
          <w:szCs w:val="30"/>
          <w:highlight w:val="none"/>
        </w:rPr>
        <w:t>项目编号：</w:t>
      </w:r>
      <w:r>
        <w:rPr>
          <w:rFonts w:hint="eastAsia" w:ascii="宋体" w:hAnsi="宋体" w:eastAsia="宋体" w:cs="宋体"/>
          <w:b/>
          <w:bCs/>
          <w:color w:val="auto"/>
          <w:kern w:val="0"/>
          <w:sz w:val="30"/>
          <w:szCs w:val="30"/>
          <w:highlight w:val="none"/>
          <w:lang w:eastAsia="zh-CN"/>
        </w:rPr>
        <w:t>闽莆建融【F-2022】采招019号</w:t>
      </w:r>
    </w:p>
    <w:p>
      <w:pPr>
        <w:widowControl/>
        <w:spacing w:before="75" w:after="75" w:line="480" w:lineRule="auto"/>
        <w:ind w:left="0" w:leftChars="0" w:right="-144" w:rightChars="0" w:firstLine="220" w:firstLineChars="73"/>
        <w:jc w:val="left"/>
        <w:rPr>
          <w:rFonts w:ascii="宋体" w:hAnsi="宋体" w:eastAsia="宋体" w:cs="宋体"/>
          <w:color w:val="auto"/>
          <w:kern w:val="0"/>
          <w:sz w:val="24"/>
          <w:szCs w:val="24"/>
          <w:highlight w:val="none"/>
        </w:rPr>
      </w:pPr>
      <w:r>
        <w:rPr>
          <w:rFonts w:hint="eastAsia" w:ascii="宋体" w:hAnsi="宋体" w:eastAsia="宋体" w:cs="宋体"/>
          <w:b/>
          <w:bCs/>
          <w:color w:val="auto"/>
          <w:kern w:val="0"/>
          <w:sz w:val="30"/>
          <w:szCs w:val="30"/>
          <w:highlight w:val="none"/>
        </w:rPr>
        <w:t>采购方式：竞争性谈判</w:t>
      </w:r>
    </w:p>
    <w:p>
      <w:pPr>
        <w:widowControl/>
        <w:spacing w:before="75" w:after="75" w:line="480" w:lineRule="auto"/>
        <w:jc w:val="left"/>
        <w:rPr>
          <w:rFonts w:ascii="宋体" w:hAnsi="宋体" w:eastAsia="宋体" w:cs="宋体"/>
          <w:color w:val="auto"/>
          <w:kern w:val="0"/>
          <w:sz w:val="24"/>
          <w:szCs w:val="24"/>
          <w:highlight w:val="none"/>
        </w:rPr>
      </w:pPr>
    </w:p>
    <w:p>
      <w:pPr>
        <w:widowControl/>
        <w:spacing w:before="75" w:after="75" w:line="480" w:lineRule="auto"/>
        <w:jc w:val="left"/>
        <w:rPr>
          <w:rFonts w:ascii="宋体" w:hAnsi="宋体" w:eastAsia="宋体" w:cs="宋体"/>
          <w:b/>
          <w:bCs/>
          <w:color w:val="auto"/>
          <w:kern w:val="0"/>
          <w:sz w:val="30"/>
          <w:szCs w:val="30"/>
          <w:highlight w:val="none"/>
        </w:rPr>
      </w:pPr>
    </w:p>
    <w:p>
      <w:pPr>
        <w:pStyle w:val="14"/>
        <w:rPr>
          <w:rFonts w:ascii="宋体" w:hAnsi="宋体" w:eastAsia="宋体" w:cs="宋体"/>
          <w:b/>
          <w:bCs/>
          <w:color w:val="auto"/>
          <w:kern w:val="0"/>
          <w:sz w:val="30"/>
          <w:szCs w:val="30"/>
          <w:highlight w:val="none"/>
        </w:rPr>
      </w:pPr>
    </w:p>
    <w:p>
      <w:pPr>
        <w:pStyle w:val="14"/>
        <w:rPr>
          <w:rFonts w:ascii="宋体" w:hAnsi="宋体" w:eastAsia="宋体" w:cs="宋体"/>
          <w:b/>
          <w:bCs/>
          <w:color w:val="auto"/>
          <w:kern w:val="0"/>
          <w:sz w:val="30"/>
          <w:szCs w:val="30"/>
          <w:highlight w:val="none"/>
        </w:rPr>
      </w:pPr>
    </w:p>
    <w:p>
      <w:pPr>
        <w:widowControl/>
        <w:spacing w:before="75" w:after="75" w:line="360" w:lineRule="auto"/>
        <w:jc w:val="center"/>
        <w:rPr>
          <w:rFonts w:hint="eastAsia" w:ascii="宋体" w:hAnsi="宋体" w:eastAsia="宋体" w:cs="宋体"/>
          <w:b/>
          <w:bCs/>
          <w:color w:val="auto"/>
          <w:kern w:val="0"/>
          <w:sz w:val="30"/>
          <w:szCs w:val="30"/>
          <w:highlight w:val="none"/>
          <w:lang w:eastAsia="zh-CN"/>
        </w:rPr>
      </w:pPr>
      <w:r>
        <w:rPr>
          <w:rFonts w:hint="eastAsia" w:ascii="宋体" w:hAnsi="宋体" w:eastAsia="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lang w:eastAsia="zh-CN"/>
        </w:rPr>
        <w:t>采购人：湄洲湾职业技术学院</w:t>
      </w:r>
    </w:p>
    <w:p>
      <w:pPr>
        <w:widowControl/>
        <w:spacing w:before="75" w:after="75" w:line="360" w:lineRule="auto"/>
        <w:jc w:val="center"/>
        <w:rPr>
          <w:rFonts w:ascii="宋体" w:hAnsi="宋体" w:eastAsia="宋体" w:cs="宋体"/>
          <w:color w:val="auto"/>
          <w:kern w:val="0"/>
          <w:sz w:val="24"/>
          <w:szCs w:val="24"/>
          <w:highlight w:val="none"/>
        </w:rPr>
      </w:pPr>
      <w:r>
        <w:rPr>
          <w:rFonts w:hint="eastAsia" w:ascii="宋体" w:hAnsi="宋体" w:eastAsia="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rPr>
        <w:t>招标代理机构：</w:t>
      </w:r>
      <w:r>
        <w:rPr>
          <w:rFonts w:hint="eastAsia" w:ascii="宋体" w:hAnsi="宋体" w:eastAsia="宋体" w:cs="宋体"/>
          <w:b/>
          <w:bCs/>
          <w:color w:val="auto"/>
          <w:kern w:val="0"/>
          <w:sz w:val="30"/>
          <w:szCs w:val="30"/>
          <w:highlight w:val="none"/>
          <w:lang w:eastAsia="zh-CN"/>
        </w:rPr>
        <w:t>建融建设管理集团有限责任公司</w:t>
      </w:r>
      <w:r>
        <w:rPr>
          <w:rFonts w:ascii="宋体" w:hAnsi="宋体" w:eastAsia="宋体" w:cs="宋体"/>
          <w:b/>
          <w:bCs/>
          <w:color w:val="auto"/>
          <w:kern w:val="0"/>
          <w:sz w:val="30"/>
          <w:szCs w:val="30"/>
          <w:highlight w:val="none"/>
        </w:rPr>
        <w:t> </w:t>
      </w:r>
    </w:p>
    <w:p>
      <w:pPr>
        <w:widowControl/>
        <w:spacing w:before="75" w:after="75" w:line="480" w:lineRule="auto"/>
        <w:jc w:val="center"/>
        <w:rPr>
          <w:rFonts w:ascii="宋体" w:hAnsi="宋体" w:eastAsia="宋体" w:cs="宋体"/>
          <w:color w:val="auto"/>
          <w:kern w:val="0"/>
          <w:sz w:val="24"/>
          <w:szCs w:val="24"/>
          <w:highlight w:val="none"/>
        </w:rPr>
      </w:pPr>
      <w:r>
        <w:rPr>
          <w:rFonts w:hint="eastAsia" w:ascii="宋体" w:hAnsi="宋体" w:eastAsia="宋体" w:cs="宋体"/>
          <w:b/>
          <w:bCs/>
          <w:color w:val="auto"/>
          <w:kern w:val="0"/>
          <w:sz w:val="30"/>
          <w:szCs w:val="30"/>
          <w:highlight w:val="none"/>
          <w:lang w:val="en-US" w:eastAsia="zh-CN"/>
        </w:rPr>
        <w:t xml:space="preserve"> </w:t>
      </w:r>
      <w:r>
        <w:rPr>
          <w:rFonts w:ascii="宋体" w:hAnsi="宋体" w:eastAsia="宋体" w:cs="宋体"/>
          <w:b/>
          <w:bCs/>
          <w:color w:val="auto"/>
          <w:kern w:val="0"/>
          <w:sz w:val="30"/>
          <w:szCs w:val="30"/>
          <w:highlight w:val="none"/>
        </w:rPr>
        <w:t>202</w:t>
      </w:r>
      <w:r>
        <w:rPr>
          <w:rFonts w:hint="eastAsia" w:ascii="宋体" w:hAnsi="宋体" w:eastAsia="宋体" w:cs="宋体"/>
          <w:b/>
          <w:bCs/>
          <w:color w:val="auto"/>
          <w:kern w:val="0"/>
          <w:sz w:val="30"/>
          <w:szCs w:val="30"/>
          <w:highlight w:val="none"/>
          <w:lang w:val="en-US" w:eastAsia="zh-CN"/>
        </w:rPr>
        <w:t>2</w:t>
      </w:r>
      <w:r>
        <w:rPr>
          <w:rFonts w:ascii="宋体" w:hAnsi="宋体" w:eastAsia="宋体" w:cs="宋体"/>
          <w:b/>
          <w:bCs/>
          <w:color w:val="auto"/>
          <w:kern w:val="0"/>
          <w:sz w:val="30"/>
          <w:szCs w:val="30"/>
          <w:highlight w:val="none"/>
        </w:rPr>
        <w:t>年</w:t>
      </w:r>
      <w:r>
        <w:rPr>
          <w:rFonts w:hint="eastAsia" w:ascii="宋体" w:hAnsi="宋体" w:eastAsia="宋体" w:cs="宋体"/>
          <w:b/>
          <w:bCs/>
          <w:color w:val="auto"/>
          <w:kern w:val="0"/>
          <w:sz w:val="30"/>
          <w:szCs w:val="30"/>
          <w:highlight w:val="none"/>
          <w:lang w:val="en-US" w:eastAsia="zh-CN"/>
        </w:rPr>
        <w:t>07</w:t>
      </w:r>
      <w:r>
        <w:rPr>
          <w:rFonts w:ascii="宋体" w:hAnsi="宋体" w:eastAsia="宋体" w:cs="宋体"/>
          <w:b/>
          <w:bCs/>
          <w:color w:val="auto"/>
          <w:kern w:val="0"/>
          <w:sz w:val="30"/>
          <w:szCs w:val="30"/>
          <w:highlight w:val="none"/>
        </w:rPr>
        <w:t>月 </w:t>
      </w:r>
    </w:p>
    <w:p>
      <w:pPr>
        <w:widowControl/>
        <w:spacing w:before="75" w:after="75"/>
        <w:jc w:val="center"/>
        <w:rPr>
          <w:rFonts w:ascii="宋体" w:hAnsi="宋体" w:eastAsia="宋体" w:cs="宋体"/>
          <w:color w:val="auto"/>
          <w:kern w:val="0"/>
          <w:sz w:val="24"/>
          <w:szCs w:val="24"/>
          <w:highlight w:val="none"/>
        </w:rPr>
      </w:pPr>
      <w:r>
        <w:rPr>
          <w:rFonts w:ascii="宋体" w:hAnsi="宋体" w:eastAsia="宋体" w:cs="宋体"/>
          <w:b/>
          <w:bCs/>
          <w:color w:val="auto"/>
          <w:kern w:val="0"/>
          <w:sz w:val="30"/>
          <w:szCs w:val="30"/>
          <w:highlight w:val="none"/>
        </w:rPr>
        <w:t> </w:t>
      </w:r>
      <w:r>
        <w:rPr>
          <w:rFonts w:ascii="宋体" w:hAnsi="宋体" w:eastAsia="宋体" w:cs="宋体"/>
          <w:b/>
          <w:bCs/>
          <w:color w:val="auto"/>
          <w:kern w:val="0"/>
          <w:sz w:val="44"/>
          <w:szCs w:val="44"/>
          <w:highlight w:val="none"/>
        </w:rPr>
        <w:t>第一章  采购公告/采购邀请书</w:t>
      </w:r>
    </w:p>
    <w:p>
      <w:pPr>
        <w:widowControl/>
        <w:spacing w:before="75" w:after="75"/>
        <w:jc w:val="center"/>
        <w:rPr>
          <w:rFonts w:ascii="宋体" w:hAnsi="宋体" w:eastAsia="宋体" w:cs="宋体"/>
          <w:b/>
          <w:bCs/>
          <w:color w:val="auto"/>
          <w:kern w:val="0"/>
          <w:sz w:val="44"/>
          <w:szCs w:val="44"/>
          <w:highlight w:val="none"/>
        </w:rPr>
      </w:pPr>
      <w:r>
        <w:rPr>
          <w:rFonts w:ascii="宋体" w:hAnsi="宋体" w:eastAsia="宋体" w:cs="宋体"/>
          <w:b/>
          <w:bCs/>
          <w:color w:val="auto"/>
          <w:kern w:val="0"/>
          <w:sz w:val="44"/>
          <w:szCs w:val="44"/>
          <w:highlight w:val="none"/>
        </w:rPr>
        <w:t>竞争性谈判采购公告</w:t>
      </w:r>
    </w:p>
    <w:p>
      <w:pPr>
        <w:pStyle w:val="14"/>
        <w:rPr>
          <w:color w:val="auto"/>
          <w:highlight w:val="none"/>
        </w:rPr>
      </w:pPr>
    </w:p>
    <w:p>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湄洲湾职业技术学院</w:t>
      </w:r>
      <w:r>
        <w:rPr>
          <w:rFonts w:ascii="宋体" w:hAnsi="宋体" w:eastAsia="宋体" w:cs="宋体"/>
          <w:color w:val="auto"/>
          <w:kern w:val="0"/>
          <w:sz w:val="24"/>
          <w:szCs w:val="24"/>
          <w:highlight w:val="none"/>
        </w:rPr>
        <w:t>已根据政府采购相关法律法规，经相应程序确定采用竞争性谈判方式组织</w:t>
      </w:r>
      <w:r>
        <w:rPr>
          <w:rFonts w:hint="eastAsia" w:ascii="宋体" w:hAnsi="宋体" w:eastAsia="宋体" w:cs="宋体"/>
          <w:color w:val="auto"/>
          <w:kern w:val="0"/>
          <w:sz w:val="24"/>
          <w:szCs w:val="24"/>
          <w:highlight w:val="none"/>
          <w:lang w:eastAsia="zh-CN"/>
        </w:rPr>
        <w:t>2022年莆田市中等职业学校班主任业务能力提升服务采购</w:t>
      </w:r>
      <w:r>
        <w:rPr>
          <w:rFonts w:ascii="宋体" w:hAnsi="宋体" w:eastAsia="宋体" w:cs="宋体"/>
          <w:color w:val="auto"/>
          <w:kern w:val="0"/>
          <w:sz w:val="24"/>
          <w:szCs w:val="24"/>
          <w:highlight w:val="none"/>
        </w:rPr>
        <w:t>项目（以下简称：“本项目”）的政府采购活动，现欢迎国内合格的供应商前来参加。本项目由采购人委托</w:t>
      </w:r>
      <w:r>
        <w:rPr>
          <w:rFonts w:hint="eastAsia" w:ascii="宋体" w:hAnsi="宋体" w:eastAsia="宋体" w:cs="宋体"/>
          <w:color w:val="auto"/>
          <w:kern w:val="0"/>
          <w:sz w:val="24"/>
          <w:szCs w:val="24"/>
          <w:highlight w:val="none"/>
          <w:lang w:eastAsia="zh-CN"/>
        </w:rPr>
        <w:t>建融建设管理集团有限责任公司</w:t>
      </w:r>
      <w:r>
        <w:rPr>
          <w:rFonts w:ascii="宋体" w:hAnsi="宋体" w:eastAsia="宋体" w:cs="宋体"/>
          <w:color w:val="auto"/>
          <w:kern w:val="0"/>
          <w:sz w:val="24"/>
          <w:szCs w:val="24"/>
          <w:highlight w:val="none"/>
        </w:rPr>
        <w:t>开展竞争性谈判活动。</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shd w:val="clear" w:color="auto" w:fill="FFFFFF"/>
        </w:rPr>
        <w:t> </w:t>
      </w:r>
      <w:r>
        <w:rPr>
          <w:rFonts w:hint="eastAsia" w:ascii="宋体" w:hAnsi="宋体" w:eastAsia="宋体" w:cs="宋体"/>
          <w:color w:val="auto"/>
          <w:kern w:val="0"/>
          <w:sz w:val="24"/>
          <w:szCs w:val="24"/>
          <w:highlight w:val="none"/>
          <w:shd w:val="clear" w:color="auto" w:fill="FFFFFF"/>
          <w:lang w:val="en-US" w:eastAsia="zh-CN"/>
        </w:rPr>
        <w:t xml:space="preserve"> </w:t>
      </w:r>
      <w:r>
        <w:rPr>
          <w:rFonts w:ascii="宋体" w:hAnsi="宋体" w:eastAsia="宋体" w:cs="宋体"/>
          <w:color w:val="auto"/>
          <w:kern w:val="0"/>
          <w:sz w:val="24"/>
          <w:szCs w:val="24"/>
          <w:highlight w:val="none"/>
          <w:shd w:val="clear" w:color="auto" w:fill="FFFFFF"/>
        </w:rPr>
        <w:t xml:space="preserve"> 1.项目名称：</w:t>
      </w:r>
      <w:r>
        <w:rPr>
          <w:rFonts w:hint="eastAsia" w:ascii="宋体" w:hAnsi="宋体" w:eastAsia="宋体" w:cs="宋体"/>
          <w:color w:val="auto"/>
          <w:kern w:val="0"/>
          <w:sz w:val="24"/>
          <w:szCs w:val="24"/>
          <w:highlight w:val="none"/>
          <w:shd w:val="clear" w:color="auto" w:fill="FFFFFF"/>
          <w:lang w:eastAsia="zh-CN"/>
        </w:rPr>
        <w:t>2022年莆田市中等职业学校班主任业务能力提升服务采购</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shd w:val="clear" w:color="auto" w:fill="FFFFFF"/>
        </w:rPr>
        <w:t> </w:t>
      </w:r>
      <w:r>
        <w:rPr>
          <w:rFonts w:hint="eastAsia" w:ascii="宋体" w:hAnsi="宋体" w:eastAsia="宋体" w:cs="宋体"/>
          <w:color w:val="auto"/>
          <w:kern w:val="0"/>
          <w:sz w:val="24"/>
          <w:szCs w:val="24"/>
          <w:highlight w:val="none"/>
          <w:shd w:val="clear" w:color="auto" w:fill="FFFFFF"/>
          <w:lang w:val="en-US" w:eastAsia="zh-CN"/>
        </w:rPr>
        <w:t xml:space="preserve"> </w:t>
      </w:r>
      <w:r>
        <w:rPr>
          <w:rFonts w:hint="eastAsia" w:ascii="宋体" w:hAnsi="宋体" w:eastAsia="宋体" w:cs="宋体"/>
          <w:color w:val="auto"/>
          <w:kern w:val="0"/>
          <w:sz w:val="24"/>
          <w:szCs w:val="24"/>
          <w:highlight w:val="none"/>
          <w:shd w:val="clear" w:color="auto" w:fill="FFFFFF"/>
        </w:rPr>
        <w:t xml:space="preserve"> 2</w:t>
      </w:r>
      <w:r>
        <w:rPr>
          <w:rFonts w:ascii="宋体" w:hAnsi="宋体" w:eastAsia="宋体" w:cs="宋体"/>
          <w:color w:val="auto"/>
          <w:kern w:val="0"/>
          <w:sz w:val="24"/>
          <w:szCs w:val="24"/>
          <w:highlight w:val="none"/>
          <w:shd w:val="clear" w:color="auto" w:fill="FFFFFF"/>
        </w:rPr>
        <w:t>.项目编号：</w:t>
      </w:r>
      <w:r>
        <w:rPr>
          <w:rFonts w:hint="eastAsia" w:ascii="宋体" w:hAnsi="宋体" w:eastAsia="宋体" w:cs="宋体"/>
          <w:color w:val="auto"/>
          <w:kern w:val="0"/>
          <w:sz w:val="24"/>
          <w:szCs w:val="24"/>
          <w:highlight w:val="none"/>
          <w:shd w:val="clear" w:color="auto" w:fill="FFFFFF"/>
          <w:lang w:eastAsia="zh-CN"/>
        </w:rPr>
        <w:t>闽莆建融【F-2022】采招019号</w:t>
      </w:r>
      <w:r>
        <w:rPr>
          <w:rFonts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w:t>
      </w:r>
      <w:r>
        <w:rPr>
          <w:rFonts w:ascii="宋体" w:hAnsi="宋体" w:eastAsia="宋体" w:cs="宋体"/>
          <w:color w:val="auto"/>
          <w:kern w:val="0"/>
          <w:sz w:val="24"/>
          <w:szCs w:val="24"/>
          <w:highlight w:val="none"/>
        </w:rPr>
        <w:t xml:space="preserve"> </w:t>
      </w:r>
    </w:p>
    <w:p>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ascii="宋体" w:hAnsi="宋体" w:eastAsia="宋体" w:cs="宋体"/>
          <w:color w:val="auto"/>
          <w:kern w:val="0"/>
          <w:sz w:val="24"/>
          <w:szCs w:val="24"/>
          <w:highlight w:val="none"/>
        </w:rPr>
        <w:t>.采购内容及要求：</w:t>
      </w:r>
      <w:r>
        <w:rPr>
          <w:rFonts w:hint="eastAsia" w:ascii="宋体" w:hAnsi="宋体" w:cs="宋体"/>
          <w:color w:val="auto"/>
          <w:sz w:val="24"/>
          <w:highlight w:val="none"/>
          <w:shd w:val="clear" w:color="auto" w:fill="FFFFFF"/>
        </w:rPr>
        <w:t>详见附1采购标的一览表及</w:t>
      </w:r>
      <w:r>
        <w:rPr>
          <w:rFonts w:hint="eastAsia" w:ascii="宋体" w:hAnsi="宋体" w:cs="宋体"/>
          <w:color w:val="auto"/>
          <w:sz w:val="24"/>
          <w:highlight w:val="none"/>
          <w:shd w:val="clear" w:color="auto" w:fill="FFFFFF"/>
          <w:lang w:eastAsia="zh-CN"/>
        </w:rPr>
        <w:t>谈判</w:t>
      </w:r>
      <w:r>
        <w:rPr>
          <w:rFonts w:hint="eastAsia" w:ascii="宋体" w:hAnsi="宋体" w:cs="宋体"/>
          <w:color w:val="auto"/>
          <w:sz w:val="24"/>
          <w:highlight w:val="none"/>
          <w:shd w:val="clear" w:color="auto" w:fill="FFFFFF"/>
        </w:rPr>
        <w:t>文件第</w:t>
      </w:r>
      <w:r>
        <w:rPr>
          <w:rFonts w:hint="eastAsia" w:ascii="宋体" w:hAnsi="宋体" w:cs="宋体"/>
          <w:color w:val="auto"/>
          <w:sz w:val="24"/>
          <w:highlight w:val="none"/>
          <w:shd w:val="clear" w:color="auto" w:fill="FFFFFF"/>
          <w:lang w:eastAsia="zh-CN"/>
        </w:rPr>
        <w:t>三</w:t>
      </w:r>
      <w:r>
        <w:rPr>
          <w:rFonts w:hint="eastAsia" w:ascii="宋体" w:hAnsi="宋体" w:cs="宋体"/>
          <w:color w:val="auto"/>
          <w:sz w:val="24"/>
          <w:highlight w:val="none"/>
          <w:shd w:val="clear" w:color="auto" w:fill="FFFFFF"/>
        </w:rPr>
        <w:t>章</w:t>
      </w:r>
    </w:p>
    <w:p>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4</w:t>
      </w:r>
      <w:r>
        <w:rPr>
          <w:rFonts w:ascii="宋体" w:hAnsi="宋体" w:eastAsia="宋体" w:cs="宋体"/>
          <w:color w:val="auto"/>
          <w:kern w:val="0"/>
          <w:sz w:val="24"/>
          <w:szCs w:val="24"/>
          <w:highlight w:val="none"/>
          <w:shd w:val="clear" w:color="auto" w:fill="FFFFFF"/>
        </w:rPr>
        <w:t>.采购项目需要落实的政府采购政策：</w:t>
      </w:r>
      <w:r>
        <w:rPr>
          <w:rFonts w:hint="eastAsia" w:ascii="宋体" w:hAnsi="宋体" w:eastAsia="宋体" w:cs="宋体"/>
          <w:color w:val="auto"/>
          <w:sz w:val="24"/>
          <w:szCs w:val="24"/>
          <w:highlight w:val="none"/>
        </w:rPr>
        <w:t>进口产品，适用于（无），节能产品，适用于（所有合同包或品目号），按照《关于印发节能产品政府采购品目清单的通知》财库〔2019〕19号执行。环境标志产品，适用于（所有合同包或品目号），按照《关于印发环境标志产品政府采购品目清单的通知》财库〔2019〕18号执行。信息安全产品，适用于（所有合同包或品目号）。小型、微型企业符合财政部、工信部文件（财库〔2020〕46号），适用于（所有合同包或品目号）。监狱企业，适用于（所有合同包或品目号）。残疾人就业政府采购政策，适用于（所有合同包或品目号）。信用记录，适用于（所有合同包或品目号），按照下列规定执行：（1）供应商应在（招标文件要求的截止时点）前分别通过“信用中国”网站（www.creditchina.gov.cn）、中国政府采购网（www.ccgp.gov.cn）查询并打印相应的信用记录（以下简称：“供应商提供的查询结果”），供应商提供的查询结果应为其通过上述网站获取的信用信息查询结果原始页面的打印件（或截图）。（2）查询结果的审查：①由资格审查小组通过上述网站查询并打印供应商信用记录（以下简称：“资格审查小组的查询结果”）。②供应商提供的查询结果与资格审查小组的查询结果不一致的，以资格审查小组的查询结果为准。③因上述网站原因导致资格审查小组无法查询供应商信用记录的（资格审查小组应将通过上述网站查询供应商信用记录时的原始页面打印后随采购文件一并存档），以供应商提供的查询结果为准。④查询结果存在供应商应被拒绝参与政府采购活动相关信息的，其资格审查不合格。</w:t>
      </w:r>
    </w:p>
    <w:p>
      <w:pPr>
        <w:keepNext w:val="0"/>
        <w:keepLines w:val="0"/>
        <w:pageBreakBefore w:val="0"/>
        <w:widowControl/>
        <w:kinsoku/>
        <w:wordWrap/>
        <w:overflowPunct/>
        <w:topLinePunct w:val="0"/>
        <w:autoSpaceDE/>
        <w:autoSpaceDN/>
        <w:bidi w:val="0"/>
        <w:adjustRightInd/>
        <w:snapToGrid w:val="0"/>
        <w:spacing w:line="400" w:lineRule="exact"/>
        <w:ind w:firstLine="48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r>
        <w:rPr>
          <w:rFonts w:ascii="宋体" w:hAnsi="宋体" w:eastAsia="宋体" w:cs="宋体"/>
          <w:color w:val="auto"/>
          <w:kern w:val="0"/>
          <w:sz w:val="24"/>
          <w:szCs w:val="24"/>
          <w:highlight w:val="none"/>
        </w:rPr>
        <w:t>.供应商的资格要求</w:t>
      </w:r>
    </w:p>
    <w:p>
      <w:pPr>
        <w:pStyle w:val="15"/>
        <w:keepNext w:val="0"/>
        <w:keepLines w:val="0"/>
        <w:widowControl/>
        <w:suppressLineNumbers w:val="0"/>
        <w:spacing w:before="75" w:beforeAutospacing="0" w:after="75" w:afterAutospacing="0" w:line="435" w:lineRule="atLeast"/>
        <w:ind w:left="0" w:right="0" w:firstLine="0"/>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i w:val="0"/>
          <w:iCs w:val="0"/>
          <w:caps w:val="0"/>
          <w:color w:val="auto"/>
          <w:spacing w:val="0"/>
          <w:sz w:val="24"/>
          <w:szCs w:val="24"/>
          <w:highlight w:val="none"/>
          <w:shd w:val="clear" w:fill="FFFFFF"/>
        </w:rPr>
        <w:t>   </w:t>
      </w: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.1法定条件：符合《中华人民共和国政府采购法》第二十二条第一款规定的条件。</w:t>
      </w:r>
    </w:p>
    <w:p>
      <w:pPr>
        <w:pStyle w:val="15"/>
        <w:keepNext w:val="0"/>
        <w:keepLines w:val="0"/>
        <w:widowControl/>
        <w:suppressLineNumbers w:val="0"/>
        <w:spacing w:before="75" w:beforeAutospacing="0" w:after="75" w:afterAutospacing="0" w:line="435" w:lineRule="atLeast"/>
        <w:ind w:left="0" w:right="0" w:firstLine="0"/>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i w:val="0"/>
          <w:iCs w:val="0"/>
          <w:caps w:val="0"/>
          <w:color w:val="auto"/>
          <w:spacing w:val="0"/>
          <w:sz w:val="24"/>
          <w:szCs w:val="24"/>
          <w:highlight w:val="none"/>
          <w:shd w:val="clear" w:fill="FFFFFF"/>
        </w:rPr>
        <w:t>   </w:t>
      </w: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.2特定条件：</w:t>
      </w:r>
    </w:p>
    <w:p>
      <w:pPr>
        <w:pStyle w:val="15"/>
        <w:keepNext w:val="0"/>
        <w:keepLines w:val="0"/>
        <w:widowControl/>
        <w:suppressLineNumbers w:val="0"/>
        <w:spacing w:before="75" w:beforeAutospacing="0" w:after="240" w:afterAutospacing="0"/>
        <w:ind w:left="0" w:right="0" w:firstLine="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   </w:t>
      </w:r>
    </w:p>
    <w:p>
      <w:pPr>
        <w:pStyle w:val="15"/>
        <w:keepNext w:val="0"/>
        <w:keepLines w:val="0"/>
        <w:widowControl/>
        <w:suppressLineNumbers w:val="0"/>
        <w:spacing w:before="75" w:beforeAutospacing="0" w:after="240" w:afterAutospacing="0"/>
        <w:ind w:left="0" w:right="0" w:firstLine="0"/>
        <w:rPr>
          <w:rFonts w:hint="eastAsia" w:ascii="宋体" w:hAnsi="宋体" w:eastAsia="宋体" w:cs="宋体"/>
          <w:i w:val="0"/>
          <w:iCs w:val="0"/>
          <w:caps w:val="0"/>
          <w:color w:val="auto"/>
          <w:spacing w:val="0"/>
          <w:sz w:val="24"/>
          <w:szCs w:val="24"/>
          <w:highlight w:val="none"/>
          <w:shd w:val="clear" w:fill="FFFFFF"/>
        </w:rPr>
      </w:pPr>
    </w:p>
    <w:p>
      <w:pPr>
        <w:pStyle w:val="15"/>
        <w:keepNext w:val="0"/>
        <w:keepLines w:val="0"/>
        <w:widowControl/>
        <w:suppressLineNumbers w:val="0"/>
        <w:spacing w:before="75" w:beforeAutospacing="0" w:after="240" w:afterAutospacing="0"/>
        <w:ind w:left="0" w:right="0" w:firstLine="0"/>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i w:val="0"/>
          <w:iCs w:val="0"/>
          <w:caps w:val="0"/>
          <w:color w:val="auto"/>
          <w:spacing w:val="0"/>
          <w:sz w:val="24"/>
          <w:szCs w:val="24"/>
          <w:highlight w:val="none"/>
          <w:shd w:val="clear" w:fill="FFFFFF"/>
        </w:rPr>
        <w:t> </w:t>
      </w:r>
      <w:r>
        <w:rPr>
          <w:rStyle w:val="23"/>
          <w:rFonts w:hint="eastAsia" w:ascii="宋体" w:hAnsi="宋体" w:eastAsia="宋体" w:cs="宋体"/>
          <w:i w:val="0"/>
          <w:iCs w:val="0"/>
          <w:caps w:val="0"/>
          <w:color w:val="auto"/>
          <w:spacing w:val="0"/>
          <w:sz w:val="24"/>
          <w:szCs w:val="24"/>
          <w:highlight w:val="none"/>
          <w:shd w:val="clear" w:fill="FFFFFF"/>
        </w:rPr>
        <w:t>包：1</w:t>
      </w:r>
    </w:p>
    <w:tbl>
      <w:tblPr>
        <w:tblStyle w:val="19"/>
        <w:tblW w:w="934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63"/>
        <w:gridCol w:w="55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Header/>
          <w:tblCellSpacing w:w="0" w:type="dxa"/>
        </w:trPr>
        <w:tc>
          <w:tcPr>
            <w:tcW w:w="3763" w:type="dxa"/>
            <w:shd w:val="clear" w:color="auto" w:fill="auto"/>
            <w:vAlign w:val="center"/>
          </w:tcPr>
          <w:p>
            <w:pPr>
              <w:keepNext w:val="0"/>
              <w:keepLines w:val="0"/>
              <w:widowControl/>
              <w:suppressLineNumbers w:val="0"/>
              <w:ind w:left="0" w:firstLine="0"/>
              <w:jc w:val="center"/>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明细</w:t>
            </w:r>
          </w:p>
        </w:tc>
        <w:tc>
          <w:tcPr>
            <w:tcW w:w="5583" w:type="dxa"/>
            <w:shd w:val="clear" w:color="auto" w:fill="auto"/>
            <w:vAlign w:val="center"/>
          </w:tcPr>
          <w:p>
            <w:pPr>
              <w:keepNext w:val="0"/>
              <w:keepLines w:val="0"/>
              <w:widowControl/>
              <w:suppressLineNumbers w:val="0"/>
              <w:ind w:left="0" w:firstLine="0"/>
              <w:jc w:val="center"/>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3763"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招标文件规定的其他资格证明文件（若有）</w:t>
            </w:r>
          </w:p>
        </w:tc>
        <w:tc>
          <w:tcPr>
            <w:tcW w:w="5583"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3763"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具备履行合同所必需设备和专业技术能力专项证明材料（若有）</w:t>
            </w:r>
          </w:p>
        </w:tc>
        <w:tc>
          <w:tcPr>
            <w:tcW w:w="5583"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pStyle w:val="15"/>
        <w:keepNext w:val="0"/>
        <w:keepLines w:val="0"/>
        <w:widowControl/>
        <w:suppressLineNumbers w:val="0"/>
        <w:spacing w:before="75" w:beforeAutospacing="0" w:after="75" w:afterAutospacing="0" w:line="360" w:lineRule="atLeast"/>
        <w:ind w:left="0" w:right="0" w:firstLine="480"/>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.3是否接受联合体形式的响应谈判：不接受</w:t>
      </w:r>
    </w:p>
    <w:p>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b/>
          <w:color w:val="auto"/>
          <w:sz w:val="24"/>
          <w:szCs w:val="24"/>
          <w:highlight w:val="none"/>
        </w:rPr>
        <w:t>报名时间：</w:t>
      </w:r>
    </w:p>
    <w:p>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ascii="宋体" w:hAnsi="宋体" w:eastAsia="宋体" w:cs="宋体"/>
          <w:color w:val="auto"/>
          <w:kern w:val="0"/>
          <w:sz w:val="24"/>
          <w:szCs w:val="24"/>
          <w:highlight w:val="none"/>
        </w:rPr>
        <w:t>.供应商报名期限：</w:t>
      </w:r>
      <w:r>
        <w:rPr>
          <w:rFonts w:hint="eastAsia" w:ascii="宋体" w:hAnsi="宋体" w:eastAsia="宋体" w:cs="宋体"/>
          <w:sz w:val="24"/>
          <w:szCs w:val="24"/>
          <w:highlight w:val="none"/>
          <w:u w:val="single"/>
          <w:lang w:eastAsia="zh-CN"/>
        </w:rPr>
        <w:t>2022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07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26  </w:t>
      </w:r>
      <w:r>
        <w:rPr>
          <w:rFonts w:hint="eastAsia" w:ascii="宋体" w:hAnsi="宋体" w:eastAsia="宋体" w:cs="宋体"/>
          <w:sz w:val="24"/>
          <w:szCs w:val="24"/>
          <w:highlight w:val="none"/>
        </w:rPr>
        <w:t>日起至</w:t>
      </w:r>
      <w:r>
        <w:rPr>
          <w:rFonts w:hint="eastAsia" w:ascii="宋体" w:hAnsi="宋体" w:eastAsia="宋体" w:cs="宋体"/>
          <w:sz w:val="24"/>
          <w:szCs w:val="24"/>
          <w:highlight w:val="none"/>
          <w:u w:val="single"/>
          <w:lang w:eastAsia="zh-CN"/>
        </w:rPr>
        <w:t>2022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08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04 </w:t>
      </w:r>
      <w:r>
        <w:rPr>
          <w:rFonts w:hint="eastAsia" w:ascii="宋体" w:hAnsi="宋体" w:eastAsia="宋体" w:cs="宋体"/>
          <w:sz w:val="24"/>
          <w:szCs w:val="24"/>
          <w:highlight w:val="none"/>
        </w:rPr>
        <w:t>日止</w:t>
      </w:r>
      <w:r>
        <w:rPr>
          <w:rFonts w:hint="eastAsia" w:ascii="宋体" w:hAnsi="宋体" w:eastAsia="宋体" w:cs="宋体"/>
          <w:color w:val="auto"/>
          <w:sz w:val="24"/>
          <w:szCs w:val="24"/>
          <w:highlight w:val="none"/>
        </w:rPr>
        <w:t>，北京时间8:00-12:00，14:30-17：30时（节假日除外）。</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6.2招标文件获取地点及方式：</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①上门报名：供应商直接到</w:t>
      </w:r>
      <w:r>
        <w:rPr>
          <w:rFonts w:hint="eastAsia" w:ascii="宋体" w:hAnsi="宋体" w:eastAsia="宋体" w:cs="宋体"/>
          <w:color w:val="auto"/>
          <w:sz w:val="24"/>
          <w:szCs w:val="24"/>
          <w:highlight w:val="none"/>
          <w:lang w:eastAsia="zh-CN"/>
        </w:rPr>
        <w:t>建融建设管理集团有限责任公司</w:t>
      </w:r>
      <w:r>
        <w:rPr>
          <w:rFonts w:hint="eastAsia" w:ascii="宋体" w:hAnsi="宋体" w:eastAsia="宋体" w:cs="宋体"/>
          <w:color w:val="auto"/>
          <w:sz w:val="24"/>
          <w:szCs w:val="24"/>
          <w:highlight w:val="none"/>
        </w:rPr>
        <w:t>购买招标文件。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②邮箱方式报名：即供应商先将报名人全称、地址、电话、传真、联系人、手机、E-mail、报名项目编号、项目名称等发送至我司邮箱，我司再将招标文件通过电子邮件方式发送给报名人。</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shd w:val="clear" w:color="auto" w:fill="FFFFFF"/>
        </w:rPr>
        <w:t>   </w:t>
      </w:r>
      <w:r>
        <w:rPr>
          <w:rFonts w:hint="eastAsia" w:ascii="宋体" w:hAnsi="宋体" w:eastAsia="宋体" w:cs="宋体"/>
          <w:color w:val="auto"/>
          <w:kern w:val="0"/>
          <w:sz w:val="24"/>
          <w:szCs w:val="24"/>
          <w:highlight w:val="none"/>
          <w:shd w:val="clear" w:color="auto" w:fill="FFFFFF"/>
        </w:rPr>
        <w:t>6</w:t>
      </w:r>
      <w:r>
        <w:rPr>
          <w:rFonts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rPr>
        <w:t>3</w:t>
      </w:r>
      <w:r>
        <w:rPr>
          <w:rFonts w:ascii="宋体" w:hAnsi="宋体" w:eastAsia="宋体" w:cs="宋体"/>
          <w:color w:val="auto"/>
          <w:kern w:val="0"/>
          <w:sz w:val="24"/>
          <w:szCs w:val="24"/>
          <w:highlight w:val="none"/>
          <w:shd w:val="clear" w:color="auto" w:fill="FFFFFF"/>
        </w:rPr>
        <w:t>如果采购过程中有发出更正公告，采购人将根据实际情况确定是否延长报名期限，则报名截止时间以更正公告中的约定为准。</w:t>
      </w:r>
    </w:p>
    <w:p>
      <w:pPr>
        <w:keepNext w:val="0"/>
        <w:keepLines w:val="0"/>
        <w:pageBreakBefore w:val="0"/>
        <w:widowControl/>
        <w:kinsoku/>
        <w:wordWrap/>
        <w:overflowPunct/>
        <w:topLinePunct w:val="0"/>
        <w:autoSpaceDE/>
        <w:autoSpaceDN/>
        <w:bidi w:val="0"/>
        <w:adjustRightInd/>
        <w:snapToGrid w:val="0"/>
        <w:spacing w:line="400" w:lineRule="exact"/>
        <w:ind w:firstLine="482" w:firstLineChars="200"/>
        <w:jc w:val="left"/>
        <w:textAlignment w:val="auto"/>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7、投标截止时间、开标时间和地点：</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7.1投标截止时间、开标时间：</w:t>
      </w:r>
      <w:r>
        <w:rPr>
          <w:rFonts w:hint="eastAsia" w:ascii="宋体" w:hAnsi="宋体" w:eastAsia="宋体" w:cs="宋体"/>
          <w:sz w:val="24"/>
          <w:szCs w:val="24"/>
          <w:highlight w:val="none"/>
          <w:u w:val="single"/>
          <w:lang w:eastAsia="zh-CN"/>
        </w:rPr>
        <w:t>2022</w:t>
      </w:r>
      <w:r>
        <w:rPr>
          <w:rFonts w:hint="eastAsia" w:ascii="宋体" w:hAnsi="宋体" w:eastAsia="宋体" w:cs="宋体"/>
          <w:sz w:val="24"/>
          <w:szCs w:val="24"/>
          <w:highlight w:val="none"/>
          <w:u w:val="none"/>
          <w:lang w:eastAsia="zh-CN"/>
        </w:rPr>
        <w:t>年</w:t>
      </w:r>
      <w:r>
        <w:rPr>
          <w:rFonts w:hint="eastAsia" w:ascii="宋体" w:hAnsi="宋体" w:eastAsia="宋体" w:cs="宋体"/>
          <w:sz w:val="24"/>
          <w:szCs w:val="24"/>
          <w:highlight w:val="none"/>
          <w:u w:val="single"/>
          <w:lang w:val="en-US" w:eastAsia="zh-CN"/>
        </w:rPr>
        <w:t>08</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04  </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lang w:val="en-US" w:eastAsia="zh-CN"/>
        </w:rPr>
        <w:t xml:space="preserve"> 15:30 </w:t>
      </w:r>
      <w:r>
        <w:rPr>
          <w:rFonts w:hint="eastAsia" w:ascii="宋体" w:hAnsi="宋体" w:eastAsia="宋体" w:cs="宋体"/>
          <w:sz w:val="24"/>
          <w:szCs w:val="24"/>
          <w:highlight w:val="none"/>
          <w:u w:val="none"/>
          <w:lang w:val="en-US" w:eastAsia="zh-CN"/>
        </w:rPr>
        <w:t>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莆田市城厢区荣华家园3号楼（嘉华楼）5层</w:t>
      </w:r>
      <w:r>
        <w:rPr>
          <w:rFonts w:hint="eastAsia" w:ascii="宋体" w:hAnsi="宋体" w:eastAsia="宋体" w:cs="宋体"/>
          <w:color w:val="auto"/>
          <w:sz w:val="24"/>
          <w:szCs w:val="24"/>
          <w:highlight w:val="none"/>
        </w:rPr>
        <w:t>。投标文件在</w:t>
      </w:r>
      <w:r>
        <w:rPr>
          <w:rFonts w:hint="eastAsia" w:ascii="宋体" w:hAnsi="宋体" w:eastAsia="宋体" w:cs="宋体"/>
          <w:b/>
          <w:color w:val="auto"/>
          <w:sz w:val="24"/>
          <w:szCs w:val="24"/>
          <w:highlight w:val="none"/>
        </w:rPr>
        <w:t>开标现场由招标代理机构工作人员接收。</w:t>
      </w:r>
    </w:p>
    <w:p>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8、</w:t>
      </w:r>
      <w:r>
        <w:rPr>
          <w:rFonts w:hint="eastAsia" w:ascii="宋体" w:hAnsi="宋体" w:eastAsia="宋体" w:cs="宋体"/>
          <w:b/>
          <w:color w:val="auto"/>
          <w:sz w:val="24"/>
          <w:szCs w:val="24"/>
          <w:highlight w:val="none"/>
          <w:lang w:eastAsia="zh-CN"/>
        </w:rPr>
        <w:t>建融建设管理集团有限责任公司</w:t>
      </w:r>
      <w:r>
        <w:rPr>
          <w:rFonts w:hint="eastAsia" w:ascii="宋体" w:hAnsi="宋体" w:eastAsia="宋体" w:cs="宋体"/>
          <w:b/>
          <w:color w:val="auto"/>
          <w:sz w:val="24"/>
          <w:szCs w:val="24"/>
          <w:highlight w:val="none"/>
        </w:rPr>
        <w:t>指定账户：</w:t>
      </w:r>
    </w:p>
    <w:p>
      <w:pPr>
        <w:keepNext w:val="0"/>
        <w:keepLines w:val="0"/>
        <w:pageBreakBefore w:val="0"/>
        <w:kinsoku/>
        <w:wordWrap/>
        <w:overflowPunct/>
        <w:topLinePunct w:val="0"/>
        <w:autoSpaceDE/>
        <w:autoSpaceDN/>
        <w:bidi w:val="0"/>
        <w:adjustRightInd/>
        <w:snapToGrid w:val="0"/>
        <w:spacing w:line="400" w:lineRule="exact"/>
        <w:ind w:left="-420" w:leftChars="-200" w:right="199" w:rightChars="95" w:firstLine="878" w:firstLineChars="366"/>
        <w:textAlignment w:val="auto"/>
        <w:rPr>
          <w:rFonts w:hint="eastAsia" w:ascii="宋体" w:hAnsi="宋体" w:cs="宋体"/>
          <w:color w:val="auto"/>
          <w:sz w:val="24"/>
          <w:szCs w:val="24"/>
          <w:highlight w:val="none"/>
        </w:rPr>
      </w:pPr>
      <w:r>
        <w:rPr>
          <w:rFonts w:hint="eastAsia" w:ascii="宋体" w:hAnsi="宋体" w:cs="宋体"/>
          <w:color w:val="auto"/>
          <w:sz w:val="24"/>
          <w:highlight w:val="none"/>
          <w:lang w:val="en-US" w:eastAsia="zh-CN"/>
        </w:rPr>
        <w:t>合同包一</w:t>
      </w:r>
      <w:r>
        <w:rPr>
          <w:rFonts w:hint="eastAsia" w:ascii="宋体" w:hAnsi="宋体" w:cs="宋体"/>
          <w:color w:val="auto"/>
          <w:sz w:val="24"/>
          <w:highlight w:val="none"/>
        </w:rPr>
        <w:t>投标保证金</w:t>
      </w:r>
      <w:r>
        <w:rPr>
          <w:rFonts w:hint="eastAsia" w:ascii="宋体" w:hAnsi="宋体" w:cs="宋体"/>
          <w:bCs/>
          <w:color w:val="auto"/>
          <w:sz w:val="24"/>
          <w:highlight w:val="none"/>
        </w:rPr>
        <w:t>为</w:t>
      </w:r>
      <w:r>
        <w:rPr>
          <w:rFonts w:hint="eastAsia" w:ascii="宋体" w:hAnsi="宋体" w:cs="宋体"/>
          <w:bCs/>
          <w:color w:val="auto"/>
          <w:kern w:val="0"/>
          <w:sz w:val="24"/>
          <w:highlight w:val="none"/>
        </w:rPr>
        <w:t>人民币</w:t>
      </w:r>
      <w:r>
        <w:rPr>
          <w:rFonts w:hint="eastAsia" w:ascii="宋体" w:hAnsi="宋体" w:cs="宋体"/>
          <w:bCs/>
          <w:color w:val="auto"/>
          <w:kern w:val="0"/>
          <w:sz w:val="24"/>
          <w:highlight w:val="none"/>
          <w:lang w:val="en-US" w:eastAsia="zh-CN"/>
        </w:rPr>
        <w:t>贰仟贰佰伍拾元</w:t>
      </w:r>
      <w:r>
        <w:rPr>
          <w:rFonts w:hint="eastAsia" w:ascii="宋体" w:hAnsi="宋体" w:cs="宋体"/>
          <w:bCs/>
          <w:color w:val="auto"/>
          <w:kern w:val="0"/>
          <w:sz w:val="24"/>
          <w:highlight w:val="none"/>
        </w:rPr>
        <w:t>整(¥</w:t>
      </w:r>
      <w:r>
        <w:rPr>
          <w:rFonts w:hint="eastAsia" w:ascii="宋体" w:hAnsi="宋体" w:cs="宋体"/>
          <w:bCs/>
          <w:color w:val="auto"/>
          <w:kern w:val="0"/>
          <w:sz w:val="24"/>
          <w:highlight w:val="none"/>
          <w:lang w:val="en-US" w:eastAsia="zh-CN"/>
        </w:rPr>
        <w:t>2250</w:t>
      </w:r>
      <w:r>
        <w:rPr>
          <w:rFonts w:hint="eastAsia" w:ascii="宋体" w:hAnsi="宋体" w:cs="宋体"/>
          <w:bCs/>
          <w:color w:val="auto"/>
          <w:kern w:val="0"/>
          <w:sz w:val="24"/>
          <w:highlight w:val="none"/>
        </w:rPr>
        <w:t>元)</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开户名—</w:t>
      </w:r>
      <w:r>
        <w:rPr>
          <w:rFonts w:hint="eastAsia" w:ascii="宋体" w:hAnsi="宋体" w:cs="宋体"/>
          <w:color w:val="auto"/>
          <w:sz w:val="24"/>
          <w:szCs w:val="24"/>
          <w:highlight w:val="none"/>
          <w:lang w:eastAsia="zh-CN"/>
        </w:rPr>
        <w:t>建融建设管理集团有限责任公司</w:t>
      </w:r>
      <w:r>
        <w:rPr>
          <w:rFonts w:hint="eastAsia" w:ascii="宋体" w:hAnsi="宋体" w:cs="宋体"/>
          <w:color w:val="auto"/>
          <w:sz w:val="24"/>
          <w:szCs w:val="24"/>
          <w:highlight w:val="none"/>
        </w:rPr>
        <w:t>莆田咨询分公司，</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开户行—中国农业银行莆田市分行，</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帐号—13400201040007163。</w:t>
      </w:r>
    </w:p>
    <w:p>
      <w:pPr>
        <w:keepNext w:val="0"/>
        <w:keepLines w:val="0"/>
        <w:pageBreakBefore w:val="0"/>
        <w:kinsoku/>
        <w:wordWrap/>
        <w:overflowPunct/>
        <w:topLinePunct w:val="0"/>
        <w:autoSpaceDE/>
        <w:autoSpaceDN/>
        <w:bidi w:val="0"/>
        <w:adjustRightInd/>
        <w:snapToGrid w:val="0"/>
        <w:spacing w:line="400" w:lineRule="exact"/>
        <w:ind w:left="61" w:leftChars="29" w:right="199" w:rightChars="95" w:firstLine="398" w:firstLineChars="166"/>
        <w:textAlignment w:val="auto"/>
        <w:rPr>
          <w:rFonts w:ascii="宋体" w:hAnsi="宋体" w:eastAsia="宋体" w:cs="宋体"/>
          <w:color w:val="auto"/>
          <w:sz w:val="24"/>
          <w:szCs w:val="24"/>
          <w:highlight w:val="none"/>
        </w:rPr>
      </w:pPr>
      <w:r>
        <w:rPr>
          <w:rFonts w:hint="eastAsia" w:ascii="宋体" w:hAnsi="宋体" w:cs="楷体"/>
          <w:color w:val="auto"/>
          <w:sz w:val="24"/>
          <w:szCs w:val="24"/>
          <w:highlight w:val="none"/>
        </w:rPr>
        <w:t>投标保证金应以电汇、转帐等公对公、非现金形式于投标截止时间前缴纳至指定的账号，以款到帐户为准。投标人在缴纳保证金时必须以公司的帐户或公司的名称缴纳，不得以投标代表个人的名称缴纳。请投标人在存款单上注明招标文件的编号及投标单位名称。</w:t>
      </w:r>
      <w:r>
        <w:rPr>
          <w:rFonts w:hint="eastAsia" w:ascii="宋体" w:hAnsi="宋体" w:cs="楷体"/>
          <w:b/>
          <w:bCs/>
          <w:color w:val="auto"/>
          <w:sz w:val="24"/>
          <w:szCs w:val="24"/>
          <w:highlight w:val="none"/>
        </w:rPr>
        <w:t>投标人开标时应提交一份投标保证金缴交凭证和银行开户许可证复印件（加盖投标人公章），用于退还投标保证金。</w:t>
      </w:r>
    </w:p>
    <w:p>
      <w:pPr>
        <w:keepNext w:val="0"/>
        <w:keepLines w:val="0"/>
        <w:pageBreakBefore w:val="0"/>
        <w:widowControl/>
        <w:kinsoku/>
        <w:wordWrap/>
        <w:overflowPunct/>
        <w:topLinePunct w:val="0"/>
        <w:autoSpaceDE/>
        <w:autoSpaceDN/>
        <w:bidi w:val="0"/>
        <w:adjustRightInd/>
        <w:snapToGrid w:val="0"/>
        <w:spacing w:line="400" w:lineRule="exact"/>
        <w:ind w:firstLine="482" w:firstLineChars="200"/>
        <w:jc w:val="left"/>
        <w:textAlignment w:val="auto"/>
        <w:rPr>
          <w:rFonts w:ascii="宋体" w:hAnsi="宋体" w:eastAsia="宋体" w:cs="宋体"/>
          <w:b/>
          <w:color w:val="auto"/>
          <w:kern w:val="0"/>
          <w:sz w:val="24"/>
          <w:szCs w:val="24"/>
          <w:highlight w:val="none"/>
        </w:rPr>
      </w:pPr>
      <w:r>
        <w:rPr>
          <w:rFonts w:hint="eastAsia" w:ascii="宋体" w:hAnsi="宋体" w:eastAsia="宋体" w:cs="宋体"/>
          <w:b/>
          <w:bCs/>
          <w:color w:val="auto"/>
          <w:kern w:val="0"/>
          <w:sz w:val="24"/>
          <w:szCs w:val="24"/>
          <w:highlight w:val="none"/>
        </w:rPr>
        <w:t>9、采购信息发布网站（询价公告、更改通知、答疑纪要、成交结果等信息）</w:t>
      </w:r>
    </w:p>
    <w:p>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中国政府采购网、中国采购与招标网、湄洲湾职业技术学院官网</w:t>
      </w:r>
    </w:p>
    <w:p>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rPr>
        <w:t>0</w:t>
      </w:r>
      <w:r>
        <w:rPr>
          <w:rFonts w:ascii="宋体" w:hAnsi="宋体" w:eastAsia="宋体" w:cs="宋体"/>
          <w:color w:val="auto"/>
          <w:kern w:val="0"/>
          <w:sz w:val="24"/>
          <w:szCs w:val="24"/>
          <w:highlight w:val="none"/>
        </w:rPr>
        <w:t>.竞争性谈判公告期限：自财政部指定的政府采购信息发布媒体最先发布公告之日起3个工作日。</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highlight w:val="none"/>
        </w:rPr>
      </w:pPr>
      <w:r>
        <w:rPr>
          <w:rFonts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rPr>
        <w:t>1</w:t>
      </w:r>
      <w:r>
        <w:rPr>
          <w:rFonts w:ascii="宋体" w:hAnsi="宋体" w:eastAsia="宋体" w:cs="宋体"/>
          <w:color w:val="auto"/>
          <w:kern w:val="0"/>
          <w:sz w:val="24"/>
          <w:szCs w:val="24"/>
          <w:highlight w:val="none"/>
        </w:rPr>
        <w:t>.</w:t>
      </w:r>
      <w:bookmarkStart w:id="0" w:name="_Toc28359008"/>
      <w:r>
        <w:rPr>
          <w:rFonts w:hint="eastAsia" w:ascii="宋体" w:hAnsi="宋体" w:cs="宋体"/>
          <w:color w:val="auto"/>
          <w:sz w:val="24"/>
          <w:highlight w:val="none"/>
        </w:rPr>
        <w:t>对本次招标提出询问，请按</w:t>
      </w:r>
      <w:bookmarkEnd w:id="0"/>
      <w:r>
        <w:rPr>
          <w:rFonts w:hint="eastAsia" w:ascii="宋体" w:hAnsi="宋体" w:cs="宋体"/>
          <w:color w:val="auto"/>
          <w:sz w:val="24"/>
          <w:highlight w:val="none"/>
        </w:rPr>
        <w:t>以下方式联系</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采购单位：</w:t>
      </w:r>
      <w:r>
        <w:rPr>
          <w:rFonts w:hint="eastAsia" w:ascii="宋体" w:hAnsi="宋体" w:cs="宋体"/>
          <w:color w:val="auto"/>
          <w:sz w:val="24"/>
          <w:highlight w:val="none"/>
          <w:lang w:val="en-US" w:eastAsia="zh-CN"/>
        </w:rPr>
        <w:t>湄洲湾职业技术学院</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地址：莆田市涵江区梧塘镇荔涵东大道1001号</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联系人：郑星瑶</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电话：18850929559</w:t>
      </w:r>
    </w:p>
    <w:p>
      <w:pPr>
        <w:pStyle w:val="5"/>
        <w:keepNext w:val="0"/>
        <w:keepLines w:val="0"/>
        <w:pageBreakBefore w:val="0"/>
        <w:kinsoku/>
        <w:wordWrap/>
        <w:overflowPunct/>
        <w:topLinePunct w:val="0"/>
        <w:autoSpaceDE/>
        <w:autoSpaceDN/>
        <w:bidi w:val="0"/>
        <w:adjustRightInd/>
        <w:snapToGrid w:val="0"/>
        <w:spacing w:line="400" w:lineRule="exact"/>
        <w:textAlignment w:val="auto"/>
        <w:rPr>
          <w:color w:val="auto"/>
          <w:highlight w:val="none"/>
        </w:rPr>
      </w:pP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eastAsia="宋体" w:cs="宋体"/>
          <w:color w:val="auto"/>
          <w:sz w:val="24"/>
          <w:highlight w:val="none"/>
          <w:lang w:eastAsia="zh-CN"/>
        </w:rPr>
      </w:pPr>
      <w:r>
        <w:rPr>
          <w:rFonts w:hint="eastAsia" w:ascii="宋体" w:hAnsi="宋体" w:cs="宋体"/>
          <w:color w:val="auto"/>
          <w:sz w:val="24"/>
          <w:highlight w:val="none"/>
        </w:rPr>
        <w:t>招标代理机构：</w:t>
      </w:r>
      <w:r>
        <w:rPr>
          <w:rFonts w:hint="eastAsia" w:ascii="宋体" w:hAnsi="宋体" w:cs="宋体"/>
          <w:color w:val="auto"/>
          <w:sz w:val="24"/>
          <w:highlight w:val="none"/>
          <w:lang w:eastAsia="zh-CN"/>
        </w:rPr>
        <w:t>建融建设管理集团有限责任公司</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地</w:t>
      </w:r>
      <w:r>
        <w:rPr>
          <w:rFonts w:ascii="宋体" w:hAnsi="宋体" w:cs="宋体"/>
          <w:color w:val="auto"/>
          <w:sz w:val="24"/>
          <w:highlight w:val="none"/>
        </w:rPr>
        <w:t xml:space="preserve">  </w:t>
      </w:r>
      <w:r>
        <w:rPr>
          <w:rFonts w:hint="eastAsia" w:ascii="宋体" w:hAnsi="宋体" w:cs="宋体"/>
          <w:color w:val="auto"/>
          <w:sz w:val="24"/>
          <w:highlight w:val="none"/>
        </w:rPr>
        <w:t>址：莆田市城厢区荣华家园3号楼（嘉华楼）5层</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default" w:ascii="宋体" w:eastAsia="宋体" w:cs="宋体"/>
          <w:color w:val="auto"/>
          <w:sz w:val="24"/>
          <w:highlight w:val="none"/>
          <w:lang w:val="en-US" w:eastAsia="zh-CN"/>
        </w:rPr>
      </w:pPr>
      <w:r>
        <w:rPr>
          <w:rFonts w:hint="eastAsia" w:ascii="宋体" w:hAnsi="宋体" w:cs="宋体"/>
          <w:color w:val="auto"/>
          <w:sz w:val="24"/>
          <w:highlight w:val="none"/>
        </w:rPr>
        <w:t>邮</w:t>
      </w:r>
      <w:r>
        <w:rPr>
          <w:rFonts w:ascii="宋体" w:hAnsi="宋体" w:cs="宋体"/>
          <w:color w:val="auto"/>
          <w:sz w:val="24"/>
          <w:highlight w:val="none"/>
        </w:rPr>
        <w:t xml:space="preserve">  </w:t>
      </w:r>
      <w:r>
        <w:rPr>
          <w:rFonts w:hint="eastAsia" w:ascii="宋体" w:hAnsi="宋体" w:cs="宋体"/>
          <w:color w:val="auto"/>
          <w:sz w:val="24"/>
          <w:highlight w:val="none"/>
        </w:rPr>
        <w:t>箱：</w:t>
      </w:r>
      <w:r>
        <w:rPr>
          <w:rFonts w:hint="eastAsia" w:ascii="宋体" w:hAnsi="宋体" w:cs="宋体"/>
          <w:color w:val="auto"/>
          <w:sz w:val="24"/>
          <w:highlight w:val="none"/>
          <w:lang w:val="en-US" w:eastAsia="zh-CN"/>
        </w:rPr>
        <w:t>149870167@qq.com</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rPr>
        <w:t>电</w:t>
      </w:r>
      <w:r>
        <w:rPr>
          <w:rFonts w:ascii="宋体" w:hAnsi="宋体" w:cs="宋体"/>
          <w:color w:val="auto"/>
          <w:sz w:val="24"/>
          <w:highlight w:val="none"/>
        </w:rPr>
        <w:t xml:space="preserve">  </w:t>
      </w:r>
      <w:r>
        <w:rPr>
          <w:rFonts w:hint="eastAsia" w:ascii="宋体" w:hAnsi="宋体" w:cs="宋体"/>
          <w:color w:val="auto"/>
          <w:sz w:val="24"/>
          <w:highlight w:val="none"/>
        </w:rPr>
        <w:t>话：</w:t>
      </w:r>
      <w:r>
        <w:rPr>
          <w:rFonts w:hint="eastAsia" w:ascii="宋体" w:hAnsi="宋体" w:cs="宋体"/>
          <w:color w:val="auto"/>
          <w:sz w:val="24"/>
          <w:highlight w:val="none"/>
          <w:lang w:val="en-US" w:eastAsia="zh-CN"/>
        </w:rPr>
        <w:t>0594-2201060</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default" w:ascii="宋体" w:eastAsia="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陈女士</w:t>
      </w:r>
    </w:p>
    <w:p>
      <w:pPr>
        <w:spacing w:line="360" w:lineRule="auto"/>
        <w:rPr>
          <w:rFonts w:hint="eastAsia" w:ascii="宋体" w:hAnsi="宋体" w:cs="宋体"/>
          <w:color w:val="auto"/>
          <w:sz w:val="24"/>
          <w:highlight w:val="none"/>
        </w:rPr>
      </w:pPr>
    </w:p>
    <w:p>
      <w:pPr>
        <w:rPr>
          <w:rFonts w:hint="eastAsia" w:ascii="宋体" w:hAnsi="宋体" w:cs="宋体"/>
          <w:color w:val="auto"/>
          <w:sz w:val="24"/>
          <w:highlight w:val="none"/>
        </w:rPr>
      </w:pPr>
      <w:r>
        <w:rPr>
          <w:rFonts w:hint="eastAsia" w:ascii="宋体" w:hAnsi="宋体" w:cs="宋体"/>
          <w:color w:val="auto"/>
          <w:sz w:val="24"/>
          <w:highlight w:val="none"/>
        </w:rPr>
        <w:br w:type="page"/>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附1：采购标的一览表</w:t>
      </w:r>
    </w:p>
    <w:p>
      <w:pPr>
        <w:widowControl/>
        <w:spacing w:before="75" w:after="75"/>
        <w:jc w:val="left"/>
        <w:rPr>
          <w:rFonts w:hint="eastAsia" w:ascii="宋体" w:hAnsi="宋体" w:cs="宋体"/>
          <w:color w:val="auto"/>
          <w:sz w:val="24"/>
          <w:highlight w:val="none"/>
        </w:rPr>
      </w:pPr>
      <w:r>
        <w:rPr>
          <w:rFonts w:hint="eastAsia" w:ascii="宋体" w:hAnsi="宋体" w:cs="宋体"/>
          <w:color w:val="auto"/>
          <w:sz w:val="24"/>
          <w:highlight w:val="none"/>
        </w:rPr>
        <w:t xml:space="preserve">                                                          金额单位：人民币/元</w:t>
      </w:r>
    </w:p>
    <w:p>
      <w:pPr>
        <w:pStyle w:val="9"/>
        <w:rPr>
          <w:rFonts w:hint="eastAsia" w:ascii="宋体" w:hAnsi="宋体" w:cs="宋体"/>
          <w:color w:val="auto"/>
          <w:sz w:val="24"/>
          <w:highlight w:val="none"/>
        </w:rPr>
      </w:pPr>
    </w:p>
    <w:tbl>
      <w:tblPr>
        <w:tblStyle w:val="19"/>
        <w:tblW w:w="9037" w:type="dxa"/>
        <w:tblCellSpacing w:w="1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
        <w:gridCol w:w="3912"/>
        <w:gridCol w:w="1110"/>
        <w:gridCol w:w="1591"/>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0" w:hRule="atLeast"/>
          <w:tblCellSpacing w:w="15" w:type="dxa"/>
        </w:trPr>
        <w:tc>
          <w:tcPr>
            <w:tcW w:w="954" w:type="dxa"/>
            <w:noWrap w:val="0"/>
            <w:tcMar>
              <w:bottom w:w="0" w:type="dxa"/>
            </w:tcMar>
            <w:vAlign w:val="center"/>
          </w:tcPr>
          <w:p>
            <w:pPr>
              <w:pStyle w:val="15"/>
              <w:keepNext w:val="0"/>
              <w:keepLines w:val="0"/>
              <w:widowControl/>
              <w:suppressLineNumbers w:val="0"/>
              <w:spacing w:before="75" w:beforeAutospacing="0" w:after="75" w:afterAutospacing="0"/>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合同包</w:t>
            </w:r>
          </w:p>
        </w:tc>
        <w:tc>
          <w:tcPr>
            <w:tcW w:w="3882" w:type="dxa"/>
            <w:noWrap w:val="0"/>
            <w:tcMar>
              <w:bottom w:w="0" w:type="dxa"/>
            </w:tcMar>
            <w:vAlign w:val="center"/>
          </w:tcPr>
          <w:p>
            <w:pPr>
              <w:pStyle w:val="15"/>
              <w:keepNext w:val="0"/>
              <w:keepLines w:val="0"/>
              <w:widowControl/>
              <w:suppressLineNumbers w:val="0"/>
              <w:spacing w:before="75" w:beforeAutospacing="0" w:after="75" w:afterAutospacing="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货物名称</w:t>
            </w:r>
          </w:p>
        </w:tc>
        <w:tc>
          <w:tcPr>
            <w:tcW w:w="1080" w:type="dxa"/>
            <w:noWrap w:val="0"/>
            <w:tcMar>
              <w:bottom w:w="0" w:type="dxa"/>
            </w:tcMar>
            <w:vAlign w:val="center"/>
          </w:tcPr>
          <w:p>
            <w:pPr>
              <w:pStyle w:val="15"/>
              <w:keepNext w:val="0"/>
              <w:keepLines w:val="0"/>
              <w:widowControl/>
              <w:suppressLineNumbers w:val="0"/>
              <w:spacing w:before="75" w:beforeAutospacing="0" w:after="75" w:afterAutospacing="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数量</w:t>
            </w:r>
          </w:p>
        </w:tc>
        <w:tc>
          <w:tcPr>
            <w:tcW w:w="1561" w:type="dxa"/>
            <w:noWrap w:val="0"/>
            <w:tcMar>
              <w:bottom w:w="0" w:type="dxa"/>
            </w:tcMar>
            <w:vAlign w:val="center"/>
          </w:tcPr>
          <w:p>
            <w:pPr>
              <w:pStyle w:val="15"/>
              <w:keepNext w:val="0"/>
              <w:keepLines w:val="0"/>
              <w:widowControl/>
              <w:suppressLineNumbers w:val="0"/>
              <w:spacing w:before="75" w:beforeAutospacing="0" w:after="75" w:afterAutospacing="0"/>
              <w:jc w:val="center"/>
              <w:rPr>
                <w:rFonts w:hint="eastAsia" w:ascii="宋体" w:hAnsi="宋体" w:eastAsia="宋体" w:cs="宋体"/>
                <w:b w:val="0"/>
                <w:bCs w:val="0"/>
                <w:color w:val="auto"/>
                <w:sz w:val="24"/>
                <w:szCs w:val="24"/>
                <w:highlight w:val="none"/>
                <w:lang w:val="en-US" w:eastAsia="zh-CN"/>
              </w:rPr>
            </w:pPr>
            <w:r>
              <w:rPr>
                <w:rFonts w:hint="eastAsia" w:ascii="宋体" w:cs="宋体"/>
                <w:b/>
                <w:color w:val="auto"/>
                <w:kern w:val="0"/>
                <w:sz w:val="24"/>
                <w:highlight w:val="none"/>
              </w:rPr>
              <w:t>合同包预算</w:t>
            </w:r>
          </w:p>
        </w:tc>
        <w:tc>
          <w:tcPr>
            <w:tcW w:w="1380" w:type="dxa"/>
            <w:noWrap w:val="0"/>
            <w:tcMar>
              <w:bottom w:w="0" w:type="dxa"/>
            </w:tcMar>
            <w:vAlign w:val="center"/>
          </w:tcPr>
          <w:p>
            <w:pPr>
              <w:pStyle w:val="15"/>
              <w:keepNext w:val="0"/>
              <w:keepLines w:val="0"/>
              <w:widowControl/>
              <w:suppressLineNumbers w:val="0"/>
              <w:spacing w:before="75" w:beforeAutospacing="0" w:after="75" w:afterAutospacing="0"/>
              <w:jc w:val="center"/>
              <w:rPr>
                <w:rFonts w:hint="eastAsia" w:ascii="宋体" w:hAnsi="宋体" w:eastAsia="宋体" w:cs="宋体"/>
                <w:b w:val="0"/>
                <w:bCs w:val="0"/>
                <w:color w:val="auto"/>
                <w:sz w:val="24"/>
                <w:szCs w:val="24"/>
                <w:highlight w:val="none"/>
                <w:lang w:val="en-US" w:eastAsia="zh-CN"/>
              </w:rPr>
            </w:pPr>
            <w:r>
              <w:rPr>
                <w:rFonts w:hint="eastAsia" w:ascii="宋体" w:cs="宋体"/>
                <w:b/>
                <w:color w:val="auto"/>
                <w:kern w:val="0"/>
                <w:sz w:val="24"/>
                <w:highlight w:val="none"/>
              </w:rPr>
              <w:t>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0" w:hRule="atLeast"/>
          <w:tblCellSpacing w:w="15" w:type="dxa"/>
        </w:trPr>
        <w:tc>
          <w:tcPr>
            <w:tcW w:w="954" w:type="dxa"/>
            <w:noWrap w:val="0"/>
            <w:tcMar>
              <w:bottom w:w="0" w:type="dxa"/>
            </w:tcMar>
            <w:vAlign w:val="center"/>
          </w:tcPr>
          <w:p>
            <w:pPr>
              <w:pStyle w:val="15"/>
              <w:keepNext w:val="0"/>
              <w:keepLines w:val="0"/>
              <w:widowControl/>
              <w:suppressLineNumbers w:val="0"/>
              <w:spacing w:before="75" w:beforeAutospacing="0" w:after="75" w:afterAutospacing="0"/>
              <w:jc w:val="center"/>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p>
        </w:tc>
        <w:tc>
          <w:tcPr>
            <w:tcW w:w="3882" w:type="dxa"/>
            <w:noWrap w:val="0"/>
            <w:tcMar>
              <w:bottom w:w="0" w:type="dxa"/>
            </w:tcMar>
            <w:vAlign w:val="center"/>
          </w:tcPr>
          <w:p>
            <w:pPr>
              <w:pStyle w:val="15"/>
              <w:keepNext w:val="0"/>
              <w:keepLines w:val="0"/>
              <w:widowControl/>
              <w:suppressLineNumbers w:val="0"/>
              <w:spacing w:before="75" w:beforeAutospacing="0" w:after="75" w:afterAutospacing="0"/>
              <w:jc w:val="center"/>
              <w:rPr>
                <w:rFonts w:hint="eastAsia" w:ascii="宋体" w:hAnsi="宋体" w:eastAsia="宋体" w:cs="宋体"/>
                <w:b w:val="0"/>
                <w:bCs w:val="0"/>
                <w:color w:val="auto"/>
                <w:sz w:val="24"/>
                <w:szCs w:val="24"/>
                <w:highlight w:val="none"/>
              </w:rPr>
            </w:pPr>
            <w:r>
              <w:rPr>
                <w:rFonts w:hint="eastAsia" w:ascii="宋体" w:hAnsi="宋体" w:eastAsia="宋体" w:cs="宋体"/>
                <w:kern w:val="0"/>
                <w:sz w:val="24"/>
                <w:szCs w:val="24"/>
                <w:lang w:val="en-US" w:eastAsia="zh-CN" w:bidi="ar"/>
              </w:rPr>
              <w:t>2022年莆田市中等职业学校班主任业务能力提升服务</w:t>
            </w:r>
          </w:p>
        </w:tc>
        <w:tc>
          <w:tcPr>
            <w:tcW w:w="1080" w:type="dxa"/>
            <w:noWrap w:val="0"/>
            <w:tcMar>
              <w:bottom w:w="0" w:type="dxa"/>
            </w:tcMar>
            <w:vAlign w:val="center"/>
          </w:tcPr>
          <w:p>
            <w:pPr>
              <w:pStyle w:val="15"/>
              <w:keepNext w:val="0"/>
              <w:keepLines w:val="0"/>
              <w:widowControl/>
              <w:suppressLineNumbers w:val="0"/>
              <w:spacing w:before="75" w:beforeAutospacing="0" w:after="75" w:afterAutospacing="0"/>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1项</w:t>
            </w:r>
          </w:p>
        </w:tc>
        <w:tc>
          <w:tcPr>
            <w:tcW w:w="1561" w:type="dxa"/>
            <w:noWrap w:val="0"/>
            <w:tcMar>
              <w:bottom w:w="0" w:type="dxa"/>
            </w:tcMar>
            <w:vAlign w:val="center"/>
          </w:tcPr>
          <w:p>
            <w:pPr>
              <w:pStyle w:val="15"/>
              <w:keepNext w:val="0"/>
              <w:keepLines w:val="0"/>
              <w:widowControl/>
              <w:suppressLineNumbers w:val="0"/>
              <w:spacing w:before="75" w:beforeAutospacing="0" w:after="75" w:afterAutospacing="0"/>
              <w:jc w:val="center"/>
              <w:rPr>
                <w:rFonts w:hint="default" w:ascii="宋体" w:cs="宋体" w:eastAsiaTheme="minorEastAsia"/>
                <w:b w:val="0"/>
                <w:bCs/>
                <w:color w:val="auto"/>
                <w:kern w:val="0"/>
                <w:sz w:val="24"/>
                <w:highlight w:val="none"/>
                <w:lang w:val="en-US" w:eastAsia="zh-CN"/>
              </w:rPr>
            </w:pPr>
            <w:r>
              <w:rPr>
                <w:rFonts w:hint="eastAsia" w:ascii="宋体" w:hAnsi="宋体" w:cs="宋体"/>
                <w:sz w:val="24"/>
                <w:szCs w:val="24"/>
                <w:lang w:val="en-US" w:eastAsia="zh-CN"/>
              </w:rPr>
              <w:t>225000</w:t>
            </w:r>
            <w:r>
              <w:rPr>
                <w:rFonts w:hint="eastAsia" w:ascii="宋体" w:cs="宋体"/>
                <w:b w:val="0"/>
                <w:bCs/>
                <w:color w:val="auto"/>
                <w:kern w:val="0"/>
                <w:sz w:val="24"/>
                <w:highlight w:val="none"/>
                <w:lang w:val="en-US" w:eastAsia="zh-CN"/>
              </w:rPr>
              <w:t>元</w:t>
            </w:r>
          </w:p>
        </w:tc>
        <w:tc>
          <w:tcPr>
            <w:tcW w:w="1380" w:type="dxa"/>
            <w:noWrap w:val="0"/>
            <w:tcMar>
              <w:bottom w:w="0" w:type="dxa"/>
            </w:tcMar>
            <w:vAlign w:val="center"/>
          </w:tcPr>
          <w:p>
            <w:pPr>
              <w:pStyle w:val="15"/>
              <w:keepNext w:val="0"/>
              <w:keepLines w:val="0"/>
              <w:widowControl/>
              <w:suppressLineNumbers w:val="0"/>
              <w:spacing w:before="75" w:beforeAutospacing="0" w:after="75" w:afterAutospacing="0"/>
              <w:jc w:val="center"/>
              <w:rPr>
                <w:rFonts w:hint="default" w:ascii="宋体" w:eastAsia="宋体" w:cs="宋体"/>
                <w:b w:val="0"/>
                <w:bCs/>
                <w:color w:val="auto"/>
                <w:kern w:val="0"/>
                <w:sz w:val="24"/>
                <w:highlight w:val="none"/>
                <w:lang w:val="en-US" w:eastAsia="zh-CN"/>
              </w:rPr>
            </w:pPr>
            <w:r>
              <w:rPr>
                <w:rFonts w:hint="eastAsia" w:ascii="宋体" w:eastAsia="宋体" w:cs="宋体"/>
                <w:b w:val="0"/>
                <w:bCs/>
                <w:color w:val="auto"/>
                <w:kern w:val="0"/>
                <w:sz w:val="24"/>
                <w:highlight w:val="none"/>
                <w:lang w:val="en-US" w:eastAsia="zh-CN"/>
              </w:rPr>
              <w:t>2250</w:t>
            </w:r>
            <w:r>
              <w:rPr>
                <w:rFonts w:hint="eastAsia" w:ascii="宋体" w:cs="宋体"/>
                <w:b w:val="0"/>
                <w:bCs/>
                <w:color w:val="auto"/>
                <w:kern w:val="0"/>
                <w:sz w:val="24"/>
                <w:highlight w:val="none"/>
                <w:lang w:val="en-US" w:eastAsia="zh-CN"/>
              </w:rPr>
              <w:t>元</w:t>
            </w:r>
          </w:p>
        </w:tc>
      </w:tr>
    </w:tbl>
    <w:p>
      <w:pPr>
        <w:spacing w:beforeLines="50" w:line="360" w:lineRule="auto"/>
        <w:rPr>
          <w:rFonts w:hint="eastAsia" w:ascii="宋体" w:hAnsi="宋体" w:cs="宋体"/>
          <w:b/>
          <w:color w:val="auto"/>
          <w:sz w:val="24"/>
          <w:highlight w:val="none"/>
        </w:rPr>
      </w:pPr>
    </w:p>
    <w:p>
      <w:pPr>
        <w:spacing w:beforeLines="50" w:line="360" w:lineRule="auto"/>
        <w:ind w:firstLine="354" w:firstLineChars="147"/>
        <w:rPr>
          <w:rFonts w:ascii="宋体" w:cs="宋体"/>
          <w:b/>
          <w:color w:val="auto"/>
          <w:sz w:val="24"/>
          <w:highlight w:val="none"/>
        </w:rPr>
      </w:pPr>
      <w:r>
        <w:rPr>
          <w:rFonts w:hint="eastAsia" w:ascii="宋体" w:hAnsi="宋体" w:cs="宋体"/>
          <w:b/>
          <w:color w:val="auto"/>
          <w:sz w:val="24"/>
          <w:highlight w:val="none"/>
        </w:rPr>
        <w:t>备注：</w:t>
      </w:r>
    </w:p>
    <w:p>
      <w:pPr>
        <w:pStyle w:val="10"/>
        <w:numPr>
          <w:ilvl w:val="0"/>
          <w:numId w:val="2"/>
        </w:numPr>
        <w:tabs>
          <w:tab w:val="left" w:pos="8360"/>
        </w:tabs>
        <w:spacing w:line="360" w:lineRule="auto"/>
        <w:ind w:firstLine="477" w:firstLineChars="199"/>
        <w:jc w:val="left"/>
        <w:rPr>
          <w:rFonts w:hAnsi="宋体" w:cs="宋体"/>
          <w:color w:val="auto"/>
          <w:sz w:val="24"/>
          <w:highlight w:val="none"/>
        </w:rPr>
      </w:pPr>
      <w:r>
        <w:rPr>
          <w:rFonts w:hint="eastAsia" w:hAnsi="宋体" w:cs="宋体"/>
          <w:color w:val="auto"/>
          <w:sz w:val="24"/>
          <w:highlight w:val="none"/>
        </w:rPr>
        <w:t>投标人按合同包投标，对同一合同包内所有品目号内容投标时必须完整。评标与授标以合同包为单位。</w:t>
      </w:r>
    </w:p>
    <w:p>
      <w:pPr>
        <w:numPr>
          <w:ilvl w:val="0"/>
          <w:numId w:val="2"/>
        </w:numPr>
        <w:spacing w:line="360" w:lineRule="auto"/>
        <w:ind w:firstLine="477" w:firstLineChars="199"/>
        <w:rPr>
          <w:rFonts w:ascii="宋体" w:hAnsi="宋体" w:cs="宋体"/>
          <w:color w:val="auto"/>
          <w:sz w:val="24"/>
          <w:highlight w:val="none"/>
        </w:rPr>
      </w:pPr>
      <w:r>
        <w:rPr>
          <w:rFonts w:hint="eastAsia" w:ascii="宋体" w:hAnsi="宋体" w:cs="宋体"/>
          <w:color w:val="auto"/>
          <w:sz w:val="24"/>
          <w:highlight w:val="none"/>
        </w:rPr>
        <w:t>中标人不得转包他人，若发现转包，招标人有权终止合同，并追究相应法律责任。中标人在合同期内未经招标人同意不得擅自中止合同，违反合同的要承担由此给招标人造成的损失。</w:t>
      </w:r>
    </w:p>
    <w:p>
      <w:pPr>
        <w:rPr>
          <w:rFonts w:ascii="宋体" w:hAnsi="宋体" w:eastAsia="宋体" w:cs="宋体"/>
          <w:color w:val="auto"/>
          <w:kern w:val="0"/>
          <w:sz w:val="22"/>
          <w:szCs w:val="22"/>
          <w:highlight w:val="none"/>
          <w:shd w:val="clear" w:color="auto" w:fill="FFFFFF"/>
        </w:rPr>
      </w:pPr>
      <w:r>
        <w:rPr>
          <w:rFonts w:ascii="宋体" w:hAnsi="宋体" w:eastAsia="宋体" w:cs="宋体"/>
          <w:b/>
          <w:bCs/>
          <w:color w:val="auto"/>
          <w:kern w:val="0"/>
          <w:sz w:val="44"/>
          <w:szCs w:val="44"/>
          <w:highlight w:val="none"/>
        </w:rPr>
        <w:br w:type="page"/>
      </w:r>
    </w:p>
    <w:p>
      <w:pPr>
        <w:keepNext w:val="0"/>
        <w:keepLines w:val="0"/>
        <w:pageBreakBefore w:val="0"/>
        <w:kinsoku/>
        <w:wordWrap/>
        <w:overflowPunct/>
        <w:topLinePunct w:val="0"/>
        <w:autoSpaceDE/>
        <w:autoSpaceDN/>
        <w:bidi w:val="0"/>
        <w:adjustRightInd/>
        <w:snapToGrid w:val="0"/>
        <w:spacing w:line="400" w:lineRule="exact"/>
        <w:ind w:firstLine="241" w:firstLineChars="100"/>
        <w:textAlignment w:val="auto"/>
        <w:rPr>
          <w:rFonts w:hint="eastAsia" w:ascii="宋体" w:hAnsi="宋体" w:eastAsia="宋体" w:cs="宋体"/>
          <w:b/>
          <w:bCs/>
          <w:color w:val="auto"/>
          <w:kern w:val="0"/>
          <w:sz w:val="24"/>
          <w:szCs w:val="24"/>
          <w:highlight w:val="none"/>
          <w:shd w:val="clear" w:color="auto" w:fill="FFFFFF"/>
          <w:lang w:val="en-US" w:eastAsia="zh-CN"/>
        </w:rPr>
      </w:pPr>
    </w:p>
    <w:p>
      <w:pPr>
        <w:widowControl/>
        <w:spacing w:before="75" w:after="75"/>
        <w:jc w:val="center"/>
        <w:rPr>
          <w:rFonts w:ascii="宋体" w:hAnsi="宋体" w:eastAsia="宋体" w:cs="宋体"/>
          <w:color w:val="auto"/>
          <w:kern w:val="0"/>
          <w:sz w:val="24"/>
          <w:szCs w:val="24"/>
          <w:highlight w:val="none"/>
        </w:rPr>
      </w:pPr>
      <w:r>
        <w:rPr>
          <w:rFonts w:ascii="宋体" w:hAnsi="宋体" w:eastAsia="宋体" w:cs="宋体"/>
          <w:b/>
          <w:bCs/>
          <w:color w:val="auto"/>
          <w:kern w:val="0"/>
          <w:sz w:val="44"/>
          <w:szCs w:val="44"/>
          <w:highlight w:val="none"/>
        </w:rPr>
        <w:t>第二章  竞争性谈判须知</w:t>
      </w:r>
    </w:p>
    <w:p>
      <w:pPr>
        <w:widowControl/>
        <w:spacing w:before="75" w:after="75" w:line="43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32"/>
          <w:szCs w:val="32"/>
          <w:highlight w:val="none"/>
        </w:rPr>
        <w:t>第1节  竞争性谈判须知前附表</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竞争性谈判须知前附表是对竞争性谈判须知的补充和细化，二者如有矛盾，以前附表中的要求和规定为准</w:t>
      </w:r>
    </w:p>
    <w:tbl>
      <w:tblPr>
        <w:tblStyle w:val="19"/>
        <w:tblW w:w="9616"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562"/>
        <w:gridCol w:w="889"/>
        <w:gridCol w:w="81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1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项号</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1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条款号</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1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3.2.1</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5"/>
              <w:keepNext w:val="0"/>
              <w:keepLines w:val="0"/>
              <w:widowControl/>
              <w:suppressLineNumbers w:val="0"/>
              <w:spacing w:before="0" w:beforeAutospacing="0" w:after="0" w:afterAutospacing="0" w:line="435" w:lineRule="atLeast"/>
              <w:ind w:left="0" w:right="0" w:firstLine="0"/>
              <w:rPr>
                <w:rFonts w:ascii="微软雅黑" w:hAnsi="微软雅黑" w:eastAsia="微软雅黑" w:cs="微软雅黑"/>
                <w:i w:val="0"/>
                <w:iCs w:val="0"/>
                <w:caps w:val="0"/>
                <w:color w:val="auto"/>
                <w:spacing w:val="0"/>
                <w:sz w:val="27"/>
                <w:szCs w:val="27"/>
                <w:highlight w:val="none"/>
              </w:rPr>
            </w:pPr>
            <w:r>
              <w:rPr>
                <w:rStyle w:val="23"/>
                <w:rFonts w:ascii="宋体" w:hAnsi="宋体" w:eastAsia="宋体" w:cs="宋体"/>
                <w:i w:val="0"/>
                <w:iCs w:val="0"/>
                <w:caps w:val="0"/>
                <w:color w:val="auto"/>
                <w:spacing w:val="0"/>
                <w:sz w:val="24"/>
                <w:szCs w:val="24"/>
                <w:highlight w:val="none"/>
              </w:rPr>
              <w:t>供应商的资格要求</w:t>
            </w:r>
            <w:r>
              <w:rPr>
                <w:rFonts w:hint="eastAsia" w:ascii="宋体" w:hAnsi="宋体" w:eastAsia="宋体" w:cs="宋体"/>
                <w:i w:val="0"/>
                <w:iCs w:val="0"/>
                <w:caps w:val="0"/>
                <w:color w:val="auto"/>
                <w:spacing w:val="0"/>
                <w:sz w:val="24"/>
                <w:szCs w:val="24"/>
                <w:highlight w:val="none"/>
              </w:rPr>
              <w:t>：见谈判文件第一章“采购公告/采购邀请书”</w:t>
            </w:r>
          </w:p>
          <w:p>
            <w:pPr>
              <w:pStyle w:val="15"/>
              <w:keepNext w:val="0"/>
              <w:keepLines w:val="0"/>
              <w:widowControl/>
              <w:suppressLineNumbers w:val="0"/>
              <w:spacing w:before="0" w:beforeAutospacing="0" w:after="0" w:afterAutospacing="0" w:line="435" w:lineRule="atLeast"/>
              <w:ind w:left="0" w:right="0" w:firstLine="0"/>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i w:val="0"/>
                <w:iCs w:val="0"/>
                <w:caps w:val="0"/>
                <w:color w:val="auto"/>
                <w:spacing w:val="0"/>
                <w:sz w:val="24"/>
                <w:szCs w:val="24"/>
                <w:highlight w:val="none"/>
              </w:rPr>
              <w:t>资格证明文件资料要求：</w:t>
            </w:r>
          </w:p>
          <w:tbl>
            <w:tblPr>
              <w:tblStyle w:val="19"/>
              <w:tblW w:w="7833" w:type="dxa"/>
              <w:tblCellSpacing w:w="0" w:type="dxa"/>
              <w:tblInd w:w="-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640"/>
              <w:gridCol w:w="51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2640" w:type="dxa"/>
                  <w:shd w:val="clear" w:color="auto" w:fill="auto"/>
                  <w:vAlign w:val="center"/>
                </w:tcPr>
                <w:p>
                  <w:pPr>
                    <w:keepNext w:val="0"/>
                    <w:keepLines w:val="0"/>
                    <w:widowControl/>
                    <w:suppressLineNumbers w:val="0"/>
                    <w:ind w:left="0" w:firstLine="0"/>
                    <w:jc w:val="center"/>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明细</w:t>
                  </w:r>
                </w:p>
              </w:tc>
              <w:tc>
                <w:tcPr>
                  <w:tcW w:w="5193" w:type="dxa"/>
                  <w:shd w:val="clear" w:color="auto" w:fill="auto"/>
                  <w:vAlign w:val="center"/>
                </w:tcPr>
                <w:p>
                  <w:pPr>
                    <w:keepNext w:val="0"/>
                    <w:keepLines w:val="0"/>
                    <w:widowControl/>
                    <w:suppressLineNumbers w:val="0"/>
                    <w:ind w:left="0" w:firstLine="0"/>
                    <w:jc w:val="center"/>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640"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a1投标函</w:t>
                  </w:r>
                </w:p>
              </w:tc>
              <w:tc>
                <w:tcPr>
                  <w:tcW w:w="5193" w:type="dxa"/>
                  <w:shd w:val="clear" w:color="auto" w:fill="auto"/>
                  <w:vAlign w:val="center"/>
                </w:tcPr>
                <w:p>
                  <w:pPr>
                    <w:rPr>
                      <w:rFonts w:hint="eastAsia" w:ascii="宋体" w:hAnsi="宋体" w:eastAsia="宋体" w:cs="宋体"/>
                      <w:i w:val="0"/>
                      <w:iCs w:val="0"/>
                      <w:caps w:val="0"/>
                      <w:color w:val="auto"/>
                      <w:spacing w:val="0"/>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640"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a2单位负责人授权书</w:t>
                  </w:r>
                </w:p>
              </w:tc>
              <w:tc>
                <w:tcPr>
                  <w:tcW w:w="5193"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640"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a3法人或者其他组织的营业执照等证明文件，自然人的身份证明</w:t>
                  </w:r>
                </w:p>
              </w:tc>
              <w:tc>
                <w:tcPr>
                  <w:tcW w:w="5193"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640"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a4财务状况报告</w:t>
                  </w:r>
                </w:p>
              </w:tc>
              <w:tc>
                <w:tcPr>
                  <w:tcW w:w="5193"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640"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a5依法缴纳税收的相关材料</w:t>
                  </w:r>
                </w:p>
              </w:tc>
              <w:tc>
                <w:tcPr>
                  <w:tcW w:w="5193"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640"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a6依法缴纳社会保障资金的相关材料</w:t>
                  </w:r>
                </w:p>
              </w:tc>
              <w:tc>
                <w:tcPr>
                  <w:tcW w:w="5193"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640"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a7具备履行合同所必需的设备和专业技术能力的材料</w:t>
                  </w:r>
                </w:p>
              </w:tc>
              <w:tc>
                <w:tcPr>
                  <w:tcW w:w="5193"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640"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a8参加政府采购活动前3年内在经营活动中没有重大违法记录的书面声明</w:t>
                  </w:r>
                </w:p>
              </w:tc>
              <w:tc>
                <w:tcPr>
                  <w:tcW w:w="5193"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640"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a9检察机关行贿犯罪档案查询结果告知函(若有)</w:t>
                  </w:r>
                </w:p>
              </w:tc>
              <w:tc>
                <w:tcPr>
                  <w:tcW w:w="5193"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1、未提供行贿犯罪档案查询结果或查询结果表明竞争性谈判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谈判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640"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a10信用信息查询结果</w:t>
                  </w:r>
                </w:p>
              </w:tc>
              <w:tc>
                <w:tcPr>
                  <w:tcW w:w="5193" w:type="dxa"/>
                  <w:shd w:val="clear" w:color="auto" w:fill="auto"/>
                  <w:vAlign w:val="center"/>
                </w:tcPr>
                <w:p>
                  <w:pPr>
                    <w:rPr>
                      <w:rFonts w:hint="eastAsia" w:ascii="宋体" w:hAnsi="宋体" w:eastAsia="宋体" w:cs="宋体"/>
                      <w:i w:val="0"/>
                      <w:iCs w:val="0"/>
                      <w:caps w:val="0"/>
                      <w:color w:val="auto"/>
                      <w:spacing w:val="0"/>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640"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a11投标保证金</w:t>
                  </w:r>
                </w:p>
              </w:tc>
              <w:tc>
                <w:tcPr>
                  <w:tcW w:w="5193" w:type="dxa"/>
                  <w:shd w:val="clear" w:color="auto" w:fill="auto"/>
                  <w:vAlign w:val="center"/>
                </w:tcPr>
                <w:p>
                  <w:pPr>
                    <w:rPr>
                      <w:rFonts w:hint="eastAsia" w:ascii="宋体" w:hAnsi="宋体" w:eastAsia="宋体" w:cs="宋体"/>
                      <w:i w:val="0"/>
                      <w:iCs w:val="0"/>
                      <w:caps w:val="0"/>
                      <w:color w:val="auto"/>
                      <w:spacing w:val="0"/>
                      <w:sz w:val="24"/>
                      <w:szCs w:val="24"/>
                      <w:highlight w:val="none"/>
                    </w:rPr>
                  </w:pPr>
                </w:p>
              </w:tc>
            </w:tr>
          </w:tbl>
          <w:p>
            <w:pPr>
              <w:pStyle w:val="15"/>
              <w:keepNext w:val="0"/>
              <w:keepLines w:val="0"/>
              <w:widowControl/>
              <w:suppressLineNumbers w:val="0"/>
              <w:spacing w:before="0" w:beforeAutospacing="0" w:after="0" w:afterAutospacing="0" w:line="435" w:lineRule="atLeast"/>
              <w:ind w:left="0" w:right="0" w:firstLine="0"/>
              <w:rPr>
                <w:rFonts w:hint="eastAsia" w:ascii="宋体" w:hAnsi="宋体" w:eastAsia="宋体" w:cs="宋体"/>
                <w:i w:val="0"/>
                <w:iCs w:val="0"/>
                <w:caps w:val="0"/>
                <w:color w:val="auto"/>
                <w:spacing w:val="0"/>
                <w:sz w:val="24"/>
                <w:szCs w:val="24"/>
                <w:highlight w:val="none"/>
              </w:rPr>
            </w:pPr>
          </w:p>
          <w:p>
            <w:pPr>
              <w:pStyle w:val="15"/>
              <w:keepNext w:val="0"/>
              <w:keepLines w:val="0"/>
              <w:widowControl/>
              <w:suppressLineNumbers w:val="0"/>
              <w:spacing w:before="0" w:beforeAutospacing="0" w:after="0" w:afterAutospacing="0" w:line="435" w:lineRule="atLeast"/>
              <w:ind w:left="0" w:right="0" w:firstLine="0"/>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i w:val="0"/>
                <w:iCs w:val="0"/>
                <w:caps w:val="0"/>
                <w:color w:val="auto"/>
                <w:spacing w:val="0"/>
                <w:sz w:val="24"/>
                <w:szCs w:val="24"/>
                <w:highlight w:val="none"/>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15"/>
              <w:keepNext w:val="0"/>
              <w:keepLines w:val="0"/>
              <w:widowControl/>
              <w:suppressLineNumbers w:val="0"/>
              <w:spacing w:before="0" w:beforeAutospacing="0" w:after="0" w:afterAutospacing="0" w:line="435" w:lineRule="atLeast"/>
              <w:ind w:left="0" w:right="0" w:firstLine="0"/>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i w:val="0"/>
                <w:iCs w:val="0"/>
                <w:caps w:val="0"/>
                <w:color w:val="auto"/>
                <w:spacing w:val="0"/>
                <w:sz w:val="24"/>
                <w:szCs w:val="24"/>
                <w:highlight w:val="none"/>
              </w:rPr>
              <w:t>特定资格条件：</w:t>
            </w:r>
          </w:p>
          <w:p>
            <w:pPr>
              <w:pStyle w:val="15"/>
              <w:keepNext w:val="0"/>
              <w:keepLines w:val="0"/>
              <w:widowControl/>
              <w:suppressLineNumbers w:val="0"/>
              <w:spacing w:before="0" w:beforeAutospacing="0" w:after="0" w:afterAutospacing="0" w:line="435" w:lineRule="atLeast"/>
              <w:ind w:left="0" w:right="0" w:firstLine="0"/>
              <w:rPr>
                <w:rFonts w:hint="eastAsia" w:ascii="微软雅黑" w:hAnsi="微软雅黑" w:eastAsia="微软雅黑" w:cs="微软雅黑"/>
                <w:i w:val="0"/>
                <w:iCs w:val="0"/>
                <w:caps w:val="0"/>
                <w:color w:val="auto"/>
                <w:spacing w:val="0"/>
                <w:sz w:val="27"/>
                <w:szCs w:val="27"/>
                <w:highlight w:val="none"/>
              </w:rPr>
            </w:pPr>
            <w:r>
              <w:rPr>
                <w:rStyle w:val="23"/>
                <w:rFonts w:hint="eastAsia" w:ascii="宋体" w:hAnsi="宋体" w:eastAsia="宋体" w:cs="宋体"/>
                <w:i w:val="0"/>
                <w:iCs w:val="0"/>
                <w:caps w:val="0"/>
                <w:color w:val="auto"/>
                <w:spacing w:val="0"/>
                <w:sz w:val="24"/>
                <w:szCs w:val="24"/>
                <w:highlight w:val="none"/>
                <w:shd w:val="clear" w:fill="FFFFFF"/>
              </w:rPr>
              <w:t>包：1</w:t>
            </w:r>
          </w:p>
          <w:tbl>
            <w:tblPr>
              <w:tblStyle w:val="19"/>
              <w:tblW w:w="7850" w:type="dxa"/>
              <w:tblCellSpacing w:w="0" w:type="dxa"/>
              <w:tblInd w:w="-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532"/>
              <w:gridCol w:w="43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3532" w:type="dxa"/>
                  <w:shd w:val="clear" w:color="auto" w:fill="auto"/>
                  <w:vAlign w:val="center"/>
                </w:tcPr>
                <w:p>
                  <w:pPr>
                    <w:keepNext w:val="0"/>
                    <w:keepLines w:val="0"/>
                    <w:widowControl/>
                    <w:suppressLineNumbers w:val="0"/>
                    <w:ind w:left="0" w:firstLine="0"/>
                    <w:jc w:val="center"/>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明细</w:t>
                  </w:r>
                </w:p>
              </w:tc>
              <w:tc>
                <w:tcPr>
                  <w:tcW w:w="4318" w:type="dxa"/>
                  <w:shd w:val="clear" w:color="auto" w:fill="auto"/>
                  <w:vAlign w:val="center"/>
                </w:tcPr>
                <w:p>
                  <w:pPr>
                    <w:keepNext w:val="0"/>
                    <w:keepLines w:val="0"/>
                    <w:widowControl/>
                    <w:suppressLineNumbers w:val="0"/>
                    <w:ind w:left="0" w:firstLine="0"/>
                    <w:jc w:val="center"/>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3532"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招标文件规定的其他资格证明文件（若有）</w:t>
                  </w:r>
                </w:p>
              </w:tc>
              <w:tc>
                <w:tcPr>
                  <w:tcW w:w="4318"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3532"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具备履行合同所必需设备和专业技术能力专项证明材料（若有）</w:t>
                  </w:r>
                </w:p>
              </w:tc>
              <w:tc>
                <w:tcPr>
                  <w:tcW w:w="4318" w:type="dxa"/>
                  <w:shd w:val="clear" w:color="auto" w:fill="auto"/>
                  <w:vAlign w:val="center"/>
                </w:tcPr>
                <w:p>
                  <w:pPr>
                    <w:keepNext w:val="0"/>
                    <w:keepLines w:val="0"/>
                    <w:widowControl/>
                    <w:suppressLineNumbers w:val="0"/>
                    <w:ind w:lef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widowControl/>
              <w:spacing w:line="75" w:lineRule="atLeast"/>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3.2.2</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是否接受联合体形式的响应谈判：</w:t>
            </w:r>
            <w:r>
              <w:rPr>
                <w:rFonts w:ascii="宋体" w:hAnsi="宋体" w:eastAsia="宋体" w:cs="宋体"/>
                <w:color w:val="auto"/>
                <w:kern w:val="0"/>
                <w:sz w:val="24"/>
                <w:szCs w:val="24"/>
                <w:highlight w:val="none"/>
              </w:rPr>
              <w:t>不接受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90"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3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9.1</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响应文件有效期：</w:t>
            </w:r>
            <w:r>
              <w:rPr>
                <w:rFonts w:ascii="宋体" w:hAnsi="宋体" w:eastAsia="宋体" w:cs="宋体"/>
                <w:color w:val="auto"/>
                <w:kern w:val="0"/>
                <w:sz w:val="24"/>
                <w:szCs w:val="24"/>
                <w:highlight w:val="none"/>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10.1</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提交谈判保证金：</w:t>
            </w:r>
          </w:p>
          <w:p>
            <w:pPr>
              <w:widowControl/>
              <w:spacing w:line="44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本项目谈判保证金为人民币</w:t>
            </w:r>
            <w:r>
              <w:rPr>
                <w:rFonts w:hint="eastAsia" w:ascii="宋体" w:hAnsi="宋体" w:eastAsia="宋体" w:cs="宋体"/>
                <w:color w:val="auto"/>
                <w:kern w:val="0"/>
                <w:sz w:val="24"/>
                <w:szCs w:val="24"/>
                <w:highlight w:val="none"/>
                <w:lang w:val="en-US" w:eastAsia="zh-CN"/>
              </w:rPr>
              <w:t>贰仟贰佰伍拾元</w:t>
            </w:r>
            <w:r>
              <w:rPr>
                <w:rFonts w:hint="eastAsia" w:ascii="宋体" w:hAnsi="宋体" w:eastAsia="宋体" w:cs="宋体"/>
                <w:color w:val="auto"/>
                <w:kern w:val="0"/>
                <w:sz w:val="24"/>
                <w:szCs w:val="24"/>
                <w:highlight w:val="none"/>
              </w:rPr>
              <w:t>整(¥</w:t>
            </w:r>
            <w:r>
              <w:rPr>
                <w:rFonts w:hint="eastAsia" w:ascii="宋体" w:hAnsi="宋体" w:eastAsia="宋体" w:cs="宋体"/>
                <w:color w:val="auto"/>
                <w:kern w:val="0"/>
                <w:sz w:val="24"/>
                <w:szCs w:val="24"/>
                <w:highlight w:val="none"/>
                <w:lang w:val="en-US" w:eastAsia="zh-CN"/>
              </w:rPr>
              <w:t>2250</w:t>
            </w:r>
            <w:r>
              <w:rPr>
                <w:rFonts w:hint="eastAsia" w:ascii="宋体" w:hAnsi="宋体" w:eastAsia="宋体" w:cs="宋体"/>
                <w:color w:val="auto"/>
                <w:kern w:val="0"/>
                <w:sz w:val="24"/>
                <w:szCs w:val="24"/>
                <w:highlight w:val="none"/>
              </w:rPr>
              <w:t>元)</w:t>
            </w:r>
            <w:r>
              <w:rPr>
                <w:rFonts w:hint="eastAsia" w:ascii="宋体" w:hAnsi="宋体" w:eastAsia="宋体" w:cs="宋体"/>
                <w:b/>
                <w:color w:val="auto"/>
                <w:kern w:val="0"/>
                <w:sz w:val="24"/>
                <w:szCs w:val="24"/>
                <w:highlight w:val="none"/>
              </w:rPr>
              <w:t>，</w:t>
            </w:r>
            <w:r>
              <w:rPr>
                <w:rFonts w:hint="eastAsia" w:ascii="宋体" w:hAnsi="宋体" w:eastAsia="宋体" w:cs="宋体"/>
                <w:color w:val="auto"/>
                <w:kern w:val="0"/>
                <w:sz w:val="24"/>
                <w:szCs w:val="24"/>
                <w:highlight w:val="none"/>
              </w:rPr>
              <w:t>保证金必须以供应商银行账户公对公转账至（开户名—建融建设管理集团有限责任公司莆田咨询分公司，开户行—中国农业银行莆田市分行，帐号—13400201040007163),以款到账户为准，不接受汇票。供应商在缴纳保证金时必须以公司的账户缴纳，不得以供应商代表个人的名称缴纳。</w:t>
            </w:r>
          </w:p>
          <w:p>
            <w:pPr>
              <w:widowControl/>
              <w:spacing w:line="440" w:lineRule="exact"/>
              <w:jc w:val="left"/>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保证金未按规定时间到账或提交谈判保证金的汇款人名称与投标供应商名称不一致的，其投标将被拒绝。注：谈判保证金转账时请注明所投项目的项目编号及合同包号。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10.3.1</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谈判保证金退还的其它要求：</w:t>
            </w:r>
            <w:r>
              <w:rPr>
                <w:rFonts w:ascii="宋体" w:hAnsi="宋体" w:eastAsia="宋体" w:cs="宋体"/>
                <w:color w:val="auto"/>
                <w:kern w:val="0"/>
                <w:sz w:val="24"/>
                <w:szCs w:val="24"/>
                <w:highlight w:val="none"/>
              </w:rPr>
              <w:t>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11.1</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响应文件的份数</w:t>
            </w:r>
          </w:p>
          <w:p>
            <w:pPr>
              <w:widowControl/>
              <w:wordWrap w:val="0"/>
              <w:spacing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（1）纸质响应文件 </w:t>
            </w:r>
          </w:p>
          <w:p>
            <w:pPr>
              <w:widowControl/>
              <w:wordWrap w:val="0"/>
              <w:spacing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①响应文件正本</w:t>
            </w:r>
            <w:r>
              <w:rPr>
                <w:rFonts w:hint="eastAsia" w:ascii="宋体" w:hAnsi="宋体" w:eastAsia="宋体" w:cs="宋体"/>
                <w:color w:val="auto"/>
                <w:kern w:val="0"/>
                <w:sz w:val="24"/>
                <w:szCs w:val="24"/>
                <w:highlight w:val="none"/>
                <w:u w:val="single"/>
              </w:rPr>
              <w:t>1</w:t>
            </w:r>
            <w:r>
              <w:rPr>
                <w:rFonts w:ascii="宋体" w:hAnsi="宋体" w:eastAsia="宋体" w:cs="宋体"/>
                <w:color w:val="auto"/>
                <w:kern w:val="0"/>
                <w:sz w:val="24"/>
                <w:szCs w:val="24"/>
                <w:highlight w:val="none"/>
              </w:rPr>
              <w:t>份、副本</w:t>
            </w:r>
            <w:r>
              <w:rPr>
                <w:rFonts w:hint="eastAsia" w:ascii="宋体" w:hAnsi="宋体" w:eastAsia="宋体" w:cs="宋体"/>
                <w:color w:val="auto"/>
                <w:kern w:val="0"/>
                <w:sz w:val="24"/>
                <w:szCs w:val="24"/>
                <w:highlight w:val="none"/>
                <w:u w:val="single"/>
              </w:rPr>
              <w:t>2</w:t>
            </w:r>
            <w:r>
              <w:rPr>
                <w:rFonts w:ascii="宋体" w:hAnsi="宋体" w:eastAsia="宋体" w:cs="宋体"/>
                <w:color w:val="auto"/>
                <w:kern w:val="0"/>
                <w:sz w:val="24"/>
                <w:szCs w:val="24"/>
                <w:highlight w:val="none"/>
              </w:rPr>
              <w:t>份。</w:t>
            </w:r>
          </w:p>
          <w:p>
            <w:pPr>
              <w:widowControl/>
              <w:wordWrap w:val="0"/>
              <w:spacing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②可读介质（光盘或U盘）</w:t>
            </w:r>
            <w:r>
              <w:rPr>
                <w:rFonts w:ascii="宋体" w:hAnsi="宋体" w:eastAsia="宋体" w:cs="宋体"/>
                <w:color w:val="auto"/>
                <w:kern w:val="0"/>
                <w:sz w:val="24"/>
                <w:szCs w:val="24"/>
                <w:highlight w:val="none"/>
                <w:u w:val="single"/>
              </w:rPr>
              <w:t>1</w:t>
            </w:r>
            <w:r>
              <w:rPr>
                <w:rFonts w:ascii="宋体" w:hAnsi="宋体" w:eastAsia="宋体" w:cs="宋体"/>
                <w:color w:val="auto"/>
                <w:kern w:val="0"/>
                <w:sz w:val="24"/>
                <w:szCs w:val="24"/>
                <w:highlight w:val="none"/>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14.4</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谈判过程中可能发生实质性变动的内容：</w:t>
            </w:r>
          </w:p>
          <w:p>
            <w:pPr>
              <w:widowControl/>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22.2</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440" w:lineRule="exact"/>
              <w:ind w:left="0" w:leftChars="0" w:firstLine="0" w:firstLineChars="0"/>
              <w:rPr>
                <w:rFonts w:hint="eastAsia" w:ascii="宋体" w:hAnsi="宋体" w:cs="宋体"/>
                <w:b/>
                <w:bCs/>
                <w:color w:val="auto"/>
                <w:sz w:val="24"/>
                <w:highlight w:val="none"/>
              </w:rPr>
            </w:pPr>
            <w:r>
              <w:rPr>
                <w:rFonts w:hint="eastAsia" w:ascii="宋体" w:hAnsi="宋体" w:cs="宋体"/>
                <w:b/>
                <w:bCs/>
                <w:color w:val="auto"/>
                <w:sz w:val="24"/>
                <w:highlight w:val="none"/>
              </w:rPr>
              <w:t>信息公告指定媒体（以下简称：“指定媒体”）：</w:t>
            </w:r>
          </w:p>
          <w:p>
            <w:pPr>
              <w:widowControl/>
              <w:spacing w:line="440" w:lineRule="exact"/>
              <w:ind w:left="0" w:leftChars="0" w:firstLine="0" w:firstLineChars="0"/>
              <w:rPr>
                <w:rFonts w:hint="eastAsia" w:ascii="宋体" w:hAnsi="宋体" w:cs="宋体"/>
                <w:color w:val="auto"/>
                <w:sz w:val="24"/>
                <w:highlight w:val="none"/>
              </w:rPr>
            </w:pPr>
            <w:r>
              <w:rPr>
                <w:rFonts w:hint="eastAsia" w:ascii="宋体" w:hAnsi="宋体" w:cs="宋体"/>
                <w:color w:val="auto"/>
                <w:sz w:val="24"/>
                <w:highlight w:val="none"/>
              </w:rPr>
              <w:t>（1）中国政府采购网</w:t>
            </w:r>
          </w:p>
          <w:p>
            <w:pPr>
              <w:widowControl/>
              <w:spacing w:line="440" w:lineRule="exact"/>
              <w:ind w:left="0" w:leftChars="0" w:firstLine="0" w:firstLineChars="0"/>
              <w:rPr>
                <w:rFonts w:hint="eastAsia" w:ascii="宋体" w:hAnsi="宋体" w:cs="宋体"/>
                <w:color w:val="auto"/>
                <w:sz w:val="24"/>
                <w:highlight w:val="none"/>
                <w:lang w:val="en-US"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中国采购与招标网</w:t>
            </w:r>
          </w:p>
          <w:p>
            <w:pPr>
              <w:widowControl/>
              <w:spacing w:line="440" w:lineRule="exact"/>
              <w:ind w:left="0" w:leftChars="0" w:firstLine="0" w:firstLineChars="0"/>
              <w:rPr>
                <w:rFonts w:hint="eastAsia" w:eastAsiaTheme="minorEastAsia"/>
                <w:color w:val="auto"/>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湄洲湾职业技术学院官网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23.1</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本项目监督管理部门：</w:t>
            </w:r>
          </w:p>
          <w:p>
            <w:pPr>
              <w:widowControl/>
              <w:spacing w:line="75" w:lineRule="atLeas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湄洲湾职业技术学院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24.1</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履约保证金</w:t>
            </w:r>
            <w:r>
              <w:rPr>
                <w:rFonts w:hint="eastAsia" w:ascii="宋体" w:hAnsi="宋体" w:eastAsia="宋体" w:cs="宋体"/>
                <w:b/>
                <w:bCs w:val="0"/>
                <w:color w:val="auto"/>
                <w:sz w:val="24"/>
                <w:szCs w:val="24"/>
                <w:highlight w:val="none"/>
              </w:rPr>
              <w:t>：</w:t>
            </w:r>
          </w:p>
          <w:p>
            <w:pPr>
              <w:widowControl/>
              <w:spacing w:line="435" w:lineRule="atLeast"/>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     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0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10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105" w:lineRule="atLeast"/>
              <w:jc w:val="left"/>
              <w:rPr>
                <w:rFonts w:ascii="宋体" w:hAnsi="宋体" w:eastAsia="宋体" w:cs="宋体"/>
                <w:color w:val="auto"/>
                <w:kern w:val="0"/>
                <w:sz w:val="24"/>
                <w:szCs w:val="24"/>
                <w:highlight w:val="none"/>
              </w:rPr>
            </w:pPr>
            <w:r>
              <w:rPr>
                <w:rFonts w:hint="eastAsia"/>
                <w:color w:val="auto"/>
                <w:sz w:val="24"/>
                <w:szCs w:val="24"/>
                <w:highlight w:val="none"/>
              </w:rPr>
              <w:t>代理服务费</w:t>
            </w: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numPr>
                <w:ilvl w:val="0"/>
                <w:numId w:val="0"/>
              </w:numPr>
              <w:wordWrap w:val="0"/>
              <w:spacing w:line="440" w:lineRule="exact"/>
              <w:ind w:leftChars="0" w:firstLine="720" w:firstLineChars="300"/>
              <w:jc w:val="left"/>
              <w:rPr>
                <w:rFonts w:ascii="宋体" w:hAnsi="宋体" w:eastAsia="宋体" w:cs="宋体"/>
                <w:color w:val="auto"/>
                <w:kern w:val="0"/>
                <w:sz w:val="24"/>
                <w:szCs w:val="24"/>
                <w:highlight w:val="none"/>
              </w:rPr>
            </w:pPr>
            <w:r>
              <w:rPr>
                <w:rFonts w:hint="eastAsia" w:ascii="宋体" w:hAnsi="宋体" w:cs="宋体"/>
                <w:color w:val="auto"/>
                <w:sz w:val="24"/>
                <w:highlight w:val="none"/>
                <w:shd w:val="clear" w:color="auto" w:fill="FFFFFF"/>
              </w:rPr>
              <w:t>由中标人支付，中标人应在领取中标通知书的同时按中标金额的1.5%向招标代理人缴纳招标服务费(其中包含该项目采购有跟标或增加补充而产生的采购金额。但若采购人的实际采购金额低于中标总金额的，招标代理人将不予退还原缴纳的费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05" w:hRule="atLeast"/>
          <w:tblCellSpacing w:w="15" w:type="dxa"/>
        </w:trPr>
        <w:tc>
          <w:tcPr>
            <w:tcW w:w="51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105" w:lineRule="atLeas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105" w:lineRule="atLeast"/>
              <w:jc w:val="left"/>
              <w:rPr>
                <w:rFonts w:ascii="宋体" w:hAnsi="宋体" w:eastAsia="宋体" w:cs="宋体"/>
                <w:color w:val="auto"/>
                <w:kern w:val="0"/>
                <w:sz w:val="24"/>
                <w:szCs w:val="24"/>
                <w:highlight w:val="none"/>
              </w:rPr>
            </w:pPr>
          </w:p>
        </w:tc>
        <w:tc>
          <w:tcPr>
            <w:tcW w:w="81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spacing w:line="460" w:lineRule="exact"/>
              <w:rPr>
                <w:rFonts w:hint="default"/>
                <w:b/>
                <w:bCs/>
                <w:color w:val="auto"/>
                <w:sz w:val="24"/>
                <w:szCs w:val="24"/>
                <w:highlight w:val="none"/>
                <w:lang w:val="en-US" w:eastAsia="zh-CN"/>
              </w:rPr>
            </w:pPr>
            <w:r>
              <w:rPr>
                <w:rFonts w:hint="eastAsia"/>
                <w:color w:val="auto"/>
                <w:sz w:val="24"/>
                <w:szCs w:val="24"/>
                <w:highlight w:val="none"/>
              </w:rPr>
              <w:t>评定成交的标准和方法：</w:t>
            </w:r>
          </w:p>
          <w:p>
            <w:pPr>
              <w:spacing w:line="460" w:lineRule="exact"/>
              <w:ind w:firstLine="475" w:firstLineChars="197"/>
              <w:rPr>
                <w:color w:val="auto"/>
                <w:sz w:val="24"/>
                <w:szCs w:val="24"/>
                <w:highlight w:val="none"/>
              </w:rPr>
            </w:pPr>
            <w:r>
              <w:rPr>
                <w:b/>
                <w:bCs/>
                <w:color w:val="auto"/>
                <w:sz w:val="24"/>
                <w:szCs w:val="24"/>
                <w:highlight w:val="none"/>
              </w:rPr>
              <w:t>谈判小组采用最低评审价法对提交最后报价的合格供应商的响应文件和最后报价进行评审，并推荐成交候选人。</w:t>
            </w:r>
          </w:p>
          <w:p>
            <w:pPr>
              <w:spacing w:line="460" w:lineRule="exact"/>
              <w:ind w:firstLine="480" w:firstLineChars="200"/>
              <w:rPr>
                <w:color w:val="auto"/>
                <w:sz w:val="24"/>
                <w:szCs w:val="24"/>
                <w:highlight w:val="none"/>
              </w:rPr>
            </w:pPr>
            <w:r>
              <w:rPr>
                <w:rFonts w:hint="eastAsia"/>
                <w:color w:val="auto"/>
                <w:sz w:val="24"/>
                <w:szCs w:val="24"/>
                <w:highlight w:val="none"/>
              </w:rPr>
              <w:t>报价分为两轮。第一轮报价为响应文件，第二轮为响应人现场报价，第二轮报价不能高于第一轮报价。如响应人放弃第二轮报价，则以该响应人第一轮报价作为最终报价。响应人无提供第一轮报价的作为无效投标。即在全部满足谈判文件实质性要求前提下，依据统一的价格要素评定最低报价，以提出最低报价的供应商作为成交候选人。价格相等的情况下，则</w:t>
            </w:r>
            <w:r>
              <w:rPr>
                <w:rFonts w:hint="eastAsia"/>
                <w:color w:val="auto"/>
                <w:sz w:val="24"/>
                <w:szCs w:val="24"/>
                <w:highlight w:val="none"/>
                <w:lang w:eastAsia="zh-CN"/>
              </w:rPr>
              <w:t>评标委员会通过现场随机抽取的方式确定成交供应商</w:t>
            </w:r>
            <w:r>
              <w:rPr>
                <w:rFonts w:hint="eastAsia"/>
                <w:color w:val="auto"/>
                <w:sz w:val="24"/>
                <w:szCs w:val="24"/>
                <w:highlight w:val="none"/>
              </w:rPr>
              <w:t>。</w:t>
            </w:r>
          </w:p>
          <w:p>
            <w:pPr>
              <w:widowControl/>
              <w:wordWrap w:val="0"/>
              <w:spacing w:line="440" w:lineRule="exact"/>
              <w:jc w:val="left"/>
              <w:rPr>
                <w:rFonts w:hint="eastAsia"/>
                <w:b/>
                <w:bCs/>
                <w:color w:val="auto"/>
                <w:sz w:val="24"/>
                <w:szCs w:val="24"/>
                <w:highlight w:val="none"/>
              </w:rPr>
            </w:pPr>
            <w:r>
              <w:rPr>
                <w:rFonts w:hint="eastAsia"/>
                <w:b/>
                <w:bCs/>
                <w:color w:val="auto"/>
                <w:sz w:val="24"/>
                <w:szCs w:val="24"/>
                <w:highlight w:val="none"/>
              </w:rPr>
              <w:t>注：供应商须带多份空白报价函加盖单位公章以备现场二次报价。</w:t>
            </w:r>
          </w:p>
          <w:p>
            <w:pPr>
              <w:pStyle w:val="15"/>
              <w:widowControl/>
              <w:shd w:val="clear" w:color="auto" w:fill="FFFFFF"/>
              <w:spacing w:beforeAutospacing="0" w:afterAutospacing="0" w:line="380" w:lineRule="exact"/>
              <w:ind w:firstLine="480"/>
              <w:rPr>
                <w:rFonts w:hint="eastAsia" w:ascii="Times New Roman" w:hAnsi="Times New Roman" w:eastAsia="宋体" w:cs="Times New Roman"/>
                <w:b/>
                <w:color w:val="auto"/>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09" w:hRule="atLeast"/>
          <w:tblCellSpacing w:w="15" w:type="dxa"/>
        </w:trPr>
        <w:tc>
          <w:tcPr>
            <w:tcW w:w="517"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59"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4"/>
                <w:szCs w:val="24"/>
                <w:highlight w:val="none"/>
              </w:rPr>
            </w:pPr>
          </w:p>
        </w:tc>
        <w:tc>
          <w:tcPr>
            <w:tcW w:w="8120"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是否组织现场考察或召开开标前答疑会：否</w:t>
            </w:r>
            <w:r>
              <w:rPr>
                <w:rFonts w:ascii="宋体" w:hAnsi="宋体" w:eastAsia="宋体" w:cs="宋体"/>
                <w:color w:val="auto"/>
                <w:kern w:val="0"/>
                <w:sz w:val="24"/>
                <w:szCs w:val="24"/>
                <w:highlight w:val="none"/>
              </w:rPr>
              <w:t>。</w:t>
            </w:r>
          </w:p>
        </w:tc>
      </w:tr>
    </w:tbl>
    <w:p>
      <w:pPr>
        <w:widowControl/>
        <w:spacing w:before="75" w:after="75" w:line="435" w:lineRule="atLeast"/>
        <w:jc w:val="both"/>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line="405" w:lineRule="atLeast"/>
        <w:jc w:val="center"/>
        <w:rPr>
          <w:rFonts w:ascii="宋体" w:hAnsi="宋体" w:eastAsia="宋体" w:cs="宋体"/>
          <w:b/>
          <w:bCs/>
          <w:color w:val="auto"/>
          <w:kern w:val="0"/>
          <w:sz w:val="24"/>
          <w:szCs w:val="24"/>
          <w:highlight w:val="none"/>
        </w:rPr>
      </w:pPr>
    </w:p>
    <w:p>
      <w:pPr>
        <w:widowControl/>
        <w:spacing w:before="75" w:after="75" w:line="40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一、谈判小组</w:t>
      </w:r>
    </w:p>
    <w:p>
      <w:pPr>
        <w:widowControl/>
        <w:spacing w:before="75" w:after="75" w:line="40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1.1采购人根据项目的特点依法组建谈判小组。</w:t>
      </w:r>
    </w:p>
    <w:p>
      <w:pPr>
        <w:widowControl/>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1.2谈判小组由采购人代表和评审专家两部分（以下简称“评委”）共</w:t>
      </w:r>
      <w:r>
        <w:rPr>
          <w:rFonts w:hint="eastAsia" w:ascii="宋体" w:hAnsi="宋体" w:eastAsia="宋体" w:cs="宋体"/>
          <w:color w:val="auto"/>
          <w:kern w:val="0"/>
          <w:sz w:val="24"/>
          <w:szCs w:val="24"/>
          <w:highlight w:val="none"/>
          <w:u w:val="single"/>
        </w:rPr>
        <w:t>3</w:t>
      </w:r>
      <w:r>
        <w:rPr>
          <w:rFonts w:ascii="宋体" w:hAnsi="宋体" w:eastAsia="宋体" w:cs="宋体"/>
          <w:color w:val="auto"/>
          <w:kern w:val="0"/>
          <w:sz w:val="24"/>
          <w:szCs w:val="24"/>
          <w:highlight w:val="none"/>
        </w:rPr>
        <w:t>人组成，其中：采购人代表</w:t>
      </w:r>
      <w:r>
        <w:rPr>
          <w:rFonts w:ascii="宋体" w:hAnsi="宋体" w:eastAsia="宋体" w:cs="宋体"/>
          <w:color w:val="auto"/>
          <w:kern w:val="0"/>
          <w:sz w:val="24"/>
          <w:szCs w:val="24"/>
          <w:highlight w:val="none"/>
          <w:u w:val="single"/>
        </w:rPr>
        <w:t>1</w:t>
      </w:r>
      <w:r>
        <w:rPr>
          <w:rFonts w:ascii="宋体" w:hAnsi="宋体" w:eastAsia="宋体" w:cs="宋体"/>
          <w:color w:val="auto"/>
          <w:kern w:val="0"/>
          <w:sz w:val="24"/>
          <w:szCs w:val="24"/>
          <w:highlight w:val="none"/>
        </w:rPr>
        <w:t>人由采购人派出，评审专家</w:t>
      </w:r>
      <w:r>
        <w:rPr>
          <w:rFonts w:hint="eastAsia" w:ascii="宋体" w:hAnsi="宋体" w:eastAsia="宋体" w:cs="宋体"/>
          <w:color w:val="auto"/>
          <w:kern w:val="0"/>
          <w:sz w:val="24"/>
          <w:szCs w:val="24"/>
          <w:highlight w:val="none"/>
          <w:u w:val="single"/>
        </w:rPr>
        <w:t>2</w:t>
      </w:r>
      <w:r>
        <w:rPr>
          <w:rFonts w:ascii="宋体" w:hAnsi="宋体" w:eastAsia="宋体" w:cs="宋体"/>
          <w:color w:val="auto"/>
          <w:kern w:val="0"/>
          <w:sz w:val="24"/>
          <w:szCs w:val="24"/>
          <w:highlight w:val="none"/>
        </w:rPr>
        <w:t>人由福建省政府采购评审专家库产生。达到公开招标数额标准的货物或者服务采购项目，或者达到招标规模标准的政府采购工程，竞争性谈判小组应当由5人或以上单数组成。</w:t>
      </w:r>
    </w:p>
    <w:p>
      <w:pPr>
        <w:widowControl/>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1.3谈判小组负责具体谈判和评审事务，并按照下列原则依法独立履行有关职责：</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1.3.1评审应保护国家利益、社会公共利益和各方当事人合法权益，提高采购效益，保证项目质量。</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1.3.2评审应遵循公平、公正、科学、严谨和择优原则。</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1.3.3评审的依据是谈判文件和响应文件，谈判文件中没有规定的评审标准不得作为评审依据。</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1.3.4谈判小组应按照谈判文件规定推荐成交候选供应商或根据采购人的授权确定成交供应商。</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1.3.5评审应遵守下列评审纪律：</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w:t>
      </w:r>
      <w:r>
        <w:rPr>
          <w:rFonts w:ascii="宋体" w:hAnsi="宋体" w:eastAsia="宋体" w:cs="宋体"/>
          <w:color w:val="auto"/>
          <w:kern w:val="0"/>
          <w:sz w:val="24"/>
          <w:szCs w:val="24"/>
          <w:highlight w:val="none"/>
        </w:rPr>
        <w:t>评审情况不得私自外泄，有关信息由采购人或其委托的代理机构统一对外发布。</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w:t>
      </w:r>
      <w:r>
        <w:rPr>
          <w:rFonts w:ascii="宋体" w:hAnsi="宋体" w:eastAsia="宋体" w:cs="宋体"/>
          <w:color w:val="auto"/>
          <w:kern w:val="0"/>
          <w:sz w:val="24"/>
          <w:szCs w:val="24"/>
          <w:highlight w:val="none"/>
        </w:rPr>
        <w:t>对采购人或供应商提供的要求保密的资料，不得摘记翻印和外传。</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w:t>
      </w:r>
      <w:r>
        <w:rPr>
          <w:rFonts w:ascii="宋体" w:hAnsi="宋体" w:eastAsia="宋体" w:cs="宋体"/>
          <w:color w:val="auto"/>
          <w:kern w:val="0"/>
          <w:sz w:val="24"/>
          <w:szCs w:val="24"/>
          <w:highlight w:val="none"/>
        </w:rPr>
        <w:t>不得收受供应商或有关人员的任何礼物，不得串联鼓动其他人袒护某供应商。若与供应商存在利害关系，则应主动声明并回避。</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w:t>
      </w:r>
      <w:r>
        <w:rPr>
          <w:rFonts w:ascii="宋体" w:hAnsi="宋体" w:eastAsia="宋体" w:cs="宋体"/>
          <w:color w:val="auto"/>
          <w:kern w:val="0"/>
          <w:sz w:val="24"/>
          <w:szCs w:val="24"/>
          <w:highlight w:val="none"/>
        </w:rPr>
        <w:t>全体谈判小组成员应按照谈判文件规定进行评审，一切认定事项应查有实据且不得弄虚作假。</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⑤</w:t>
      </w:r>
      <w:r>
        <w:rPr>
          <w:rFonts w:ascii="宋体" w:hAnsi="宋体" w:eastAsia="宋体" w:cs="宋体"/>
          <w:color w:val="auto"/>
          <w:kern w:val="0"/>
          <w:sz w:val="24"/>
          <w:szCs w:val="24"/>
          <w:highlight w:val="none"/>
        </w:rPr>
        <w:t>评审中应充分发扬民主，推荐成交供应商候选人或根据采购人授权确定成交供应商后要服从评审报告。</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ascii="宋体" w:hAnsi="宋体" w:eastAsia="宋体" w:cs="宋体"/>
          <w:b/>
          <w:bCs/>
          <w:color w:val="auto"/>
          <w:kern w:val="0"/>
          <w:sz w:val="24"/>
          <w:szCs w:val="24"/>
          <w:highlight w:val="none"/>
        </w:rPr>
        <w:t>对违反评审纪律的评委，将取消其评委资格，对评审工作造成严重损失者将予以通报批评乃至追究法律责任。</w:t>
      </w:r>
    </w:p>
    <w:p>
      <w:pPr>
        <w:widowControl/>
        <w:spacing w:before="75" w:after="75" w:line="40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0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二、</w:t>
      </w:r>
      <w:r>
        <w:rPr>
          <w:rFonts w:ascii="宋体" w:hAnsi="宋体" w:eastAsia="宋体" w:cs="宋体"/>
          <w:b/>
          <w:bCs/>
          <w:color w:val="auto"/>
          <w:kern w:val="0"/>
          <w:sz w:val="24"/>
          <w:szCs w:val="24"/>
          <w:highlight w:val="none"/>
        </w:rPr>
        <w:t>谈判程序</w:t>
      </w:r>
    </w:p>
    <w:p>
      <w:pPr>
        <w:widowControl/>
        <w:spacing w:before="75" w:after="75" w:line="40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2.1谈判程序按照谈判文件第二章第2节“竞争性谈判须知”第14条“谈判程序以及评定成交的标准”的相关条款规定执行。</w:t>
      </w:r>
    </w:p>
    <w:p>
      <w:pPr>
        <w:widowControl/>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r>
        <w:rPr>
          <w:rFonts w:hint="eastAsia" w:ascii="宋体" w:hAnsi="宋体" w:eastAsia="宋体" w:cs="宋体"/>
          <w:color w:val="auto"/>
          <w:kern w:val="0"/>
          <w:sz w:val="24"/>
          <w:szCs w:val="24"/>
          <w:highlight w:val="none"/>
        </w:rPr>
        <w:t>当投标截止时间结束后参加投标的响应人只有两家的，根据《政府采购非招标采购方式管理办法》[财政部令第74号]第二十七条规定并已得到政府采购监管部门的批准，现场继续谈判。当参加投标的响应人只有一家的，竞争性谈判终止</w:t>
      </w:r>
      <w:r>
        <w:rPr>
          <w:rFonts w:ascii="宋体" w:hAnsi="宋体" w:eastAsia="宋体" w:cs="宋体"/>
          <w:color w:val="auto"/>
          <w:kern w:val="0"/>
          <w:sz w:val="24"/>
          <w:szCs w:val="24"/>
          <w:highlight w:val="none"/>
        </w:rPr>
        <w:t>。</w:t>
      </w:r>
    </w:p>
    <w:p>
      <w:pPr>
        <w:widowControl/>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widowControl/>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2.3只有资格审查和实质性响应审查均合格且按规定提交最后报价的合格供应商才能参加评定成交的最后价格排序和成交候选人推荐。</w:t>
      </w:r>
    </w:p>
    <w:p>
      <w:pPr>
        <w:widowControl/>
        <w:spacing w:before="75" w:after="75" w:line="40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line="40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三、最低评审价法和成交候选人推荐</w:t>
      </w:r>
    </w:p>
    <w:p>
      <w:pPr>
        <w:widowControl/>
        <w:spacing w:before="75" w:after="75" w:line="40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3.1谈判小组将采用最低评审价法对提交最后报价的合格供应商的响应文件和最后报价进行评审，并推荐成交候选人。如果谈判项目有多个合同包，则按相应合同包分别进行，具体评审的标准和方法如下：</w:t>
      </w:r>
    </w:p>
    <w:p>
      <w:pPr>
        <w:widowControl/>
        <w:spacing w:line="405" w:lineRule="atLeast"/>
        <w:ind w:firstLine="46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3.1.1根据财政部及福建省财政厅等有关政府采购文件规定执行价格评审优惠政策，价格扣除规则如下：</w:t>
      </w:r>
    </w:p>
    <w:p>
      <w:pPr>
        <w:widowControl/>
        <w:spacing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包1: </w:t>
      </w:r>
    </w:p>
    <w:p>
      <w:pPr>
        <w:widowControl/>
        <w:autoSpaceDE w:val="0"/>
        <w:spacing w:before="100" w:beforeAutospacing="1" w:after="100" w:afterAutospacing="1"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（1）小型、微型企业产品： </w:t>
      </w:r>
      <w:r>
        <w:rPr>
          <w:rFonts w:hint="eastAsia" w:ascii="宋体" w:hAnsi="宋体" w:eastAsia="宋体" w:cs="宋体"/>
          <w:color w:val="auto"/>
          <w:kern w:val="0"/>
          <w:sz w:val="24"/>
          <w:szCs w:val="24"/>
          <w:highlight w:val="none"/>
          <w:lang w:val="en-US" w:eastAsia="zh-CN"/>
        </w:rPr>
        <w:t>本项目为专门面向小微企业，</w:t>
      </w:r>
      <w:r>
        <w:rPr>
          <w:rFonts w:ascii="宋体" w:hAnsi="宋体" w:eastAsia="宋体" w:cs="宋体"/>
          <w:kern w:val="0"/>
          <w:sz w:val="24"/>
          <w:szCs w:val="24"/>
          <w:lang w:val="en-US" w:eastAsia="zh-CN" w:bidi="ar"/>
        </w:rPr>
        <w:t>本合同包为</w:t>
      </w:r>
      <w:r>
        <w:rPr>
          <w:rFonts w:hint="eastAsia" w:ascii="宋体" w:hAnsi="宋体" w:eastAsia="宋体" w:cs="宋体"/>
          <w:kern w:val="0"/>
          <w:sz w:val="24"/>
          <w:szCs w:val="24"/>
          <w:lang w:val="en-US" w:eastAsia="zh-CN" w:bidi="ar"/>
        </w:rPr>
        <w:t>服务</w:t>
      </w:r>
      <w:r>
        <w:rPr>
          <w:rFonts w:ascii="宋体" w:hAnsi="宋体" w:eastAsia="宋体" w:cs="宋体"/>
          <w:kern w:val="0"/>
          <w:sz w:val="24"/>
          <w:szCs w:val="24"/>
          <w:lang w:val="en-US" w:eastAsia="zh-CN" w:bidi="ar"/>
        </w:rPr>
        <w:t>类采购项目，采购标的对应的中小企业划分标准所属行业为“</w:t>
      </w:r>
      <w:r>
        <w:rPr>
          <w:rFonts w:hint="eastAsia" w:ascii="宋体" w:hAnsi="宋体" w:eastAsia="宋体" w:cs="宋体"/>
          <w:kern w:val="0"/>
          <w:sz w:val="24"/>
          <w:szCs w:val="24"/>
          <w:lang w:val="en-US" w:eastAsia="zh-CN" w:bidi="ar"/>
        </w:rPr>
        <w:t>其他未列明行业</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w:t>
      </w:r>
      <w:r>
        <w:rPr>
          <w:rFonts w:ascii="宋体" w:hAnsi="宋体" w:eastAsia="宋体" w:cs="宋体"/>
          <w:color w:val="auto"/>
          <w:kern w:val="0"/>
          <w:sz w:val="24"/>
          <w:szCs w:val="24"/>
          <w:highlight w:val="none"/>
        </w:rPr>
        <w:t>1、</w:t>
      </w:r>
      <w:r>
        <w:rPr>
          <w:rFonts w:hint="eastAsia" w:ascii="宋体" w:hAnsi="宋体" w:cs="宋体"/>
          <w:color w:val="auto"/>
          <w:kern w:val="0"/>
          <w:sz w:val="24"/>
          <w:szCs w:val="24"/>
          <w:highlight w:val="none"/>
        </w:rPr>
        <w:t>评审时，对符合《政府采购促进中小企业发展管理办法》（财库﹝2020﹞46号）规定的小微企业报价给予价格扣除【货物和服务项目为</w:t>
      </w:r>
      <w:r>
        <w:rPr>
          <w:rFonts w:hint="eastAsia" w:ascii="宋体" w:hAnsi="宋体" w:cs="宋体"/>
          <w:color w:val="auto"/>
          <w:kern w:val="0"/>
          <w:sz w:val="24"/>
          <w:szCs w:val="24"/>
          <w:highlight w:val="none"/>
          <w:lang w:val="en-US" w:eastAsia="zh-CN"/>
        </w:rPr>
        <w:t>15</w:t>
      </w:r>
      <w:r>
        <w:rPr>
          <w:rFonts w:hint="eastAsia" w:ascii="宋体" w:hAnsi="宋体" w:cs="宋体"/>
          <w:color w:val="auto"/>
          <w:kern w:val="0"/>
          <w:sz w:val="24"/>
          <w:szCs w:val="24"/>
          <w:highlight w:val="none"/>
        </w:rPr>
        <w:t>%；工程项目为 3%。投标人须提供合格的中小企业声明函（格式详见第</w:t>
      </w:r>
      <w:r>
        <w:rPr>
          <w:rFonts w:hint="eastAsia" w:ascii="宋体" w:hAnsi="宋体" w:cs="宋体"/>
          <w:color w:val="auto"/>
          <w:kern w:val="0"/>
          <w:sz w:val="24"/>
          <w:szCs w:val="24"/>
          <w:highlight w:val="none"/>
          <w:lang w:eastAsia="zh-CN"/>
        </w:rPr>
        <w:t>六</w:t>
      </w:r>
      <w:r>
        <w:rPr>
          <w:rFonts w:hint="eastAsia" w:ascii="宋体" w:hAnsi="宋体" w:cs="宋体"/>
          <w:color w:val="auto"/>
          <w:kern w:val="0"/>
          <w:sz w:val="24"/>
          <w:szCs w:val="24"/>
          <w:highlight w:val="none"/>
        </w:rPr>
        <w:t>章），否则不予价格扣除。若同一合同包内的小型、微型企业产品仅是构成报价产品的部件、组件或零件的，则该报价产品不给予价格扣除。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cs="宋体"/>
          <w:color w:val="auto"/>
          <w:kern w:val="0"/>
          <w:sz w:val="24"/>
          <w:szCs w:val="24"/>
          <w:highlight w:val="none"/>
          <w:lang w:val="en-US" w:eastAsia="zh-CN"/>
        </w:rPr>
        <w:t>15</w:t>
      </w:r>
      <w:r>
        <w:rPr>
          <w:rFonts w:hint="eastAsia" w:ascii="宋体" w:hAnsi="宋体" w:cs="宋体"/>
          <w:color w:val="auto"/>
          <w:kern w:val="0"/>
          <w:sz w:val="24"/>
          <w:szCs w:val="24"/>
          <w:highlight w:val="none"/>
        </w:rPr>
        <w:t>%的价格扣除，但必须提供由省级以上监狱管理局、戒毒管理局（含新疆生产建设兵团）出具的属于监狱企业的证明文件，否则评审时不予价格扣除优惠。 3、根据财政部、民政部、中国残联文件（财库[2017]141号）及福建省财政、福建省民政厅、福建省残疾人联合会联合发布的《关于进一步落实政府采购支持残疾人就业政策的通知》、福建省财政《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10%的扣除（对残疾人福利性单位与其他组织组成联合体参与政府采购活动的，残疾人福利性单位的协议合同金额占总合同金额30%以上的，给予联合体合同金额3%的价格扣除），但必须提供《残疾人福利性单位声明函》（格式</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详见第</w:t>
      </w:r>
      <w:r>
        <w:rPr>
          <w:rFonts w:hint="eastAsia" w:ascii="宋体" w:hAnsi="宋体" w:cs="宋体"/>
          <w:color w:val="auto"/>
          <w:kern w:val="0"/>
          <w:sz w:val="24"/>
          <w:szCs w:val="24"/>
          <w:highlight w:val="none"/>
          <w:lang w:eastAsia="zh-CN"/>
        </w:rPr>
        <w:t>六</w:t>
      </w:r>
      <w:r>
        <w:rPr>
          <w:rFonts w:hint="eastAsia" w:ascii="宋体" w:hAnsi="宋体" w:cs="宋体"/>
          <w:color w:val="auto"/>
          <w:kern w:val="0"/>
          <w:sz w:val="24"/>
          <w:szCs w:val="24"/>
          <w:highlight w:val="none"/>
        </w:rPr>
        <w:t>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w:t>
      </w:r>
      <w:r>
        <w:rPr>
          <w:rFonts w:ascii="宋体" w:hAnsi="宋体" w:eastAsia="宋体" w:cs="宋体"/>
          <w:color w:val="auto"/>
          <w:kern w:val="0"/>
          <w:sz w:val="24"/>
          <w:szCs w:val="24"/>
          <w:highlight w:val="none"/>
        </w:rPr>
        <w:t xml:space="preserve"> 。 </w:t>
      </w:r>
    </w:p>
    <w:p>
      <w:pPr>
        <w:widowControl/>
        <w:autoSpaceDE w:val="0"/>
        <w:spacing w:before="100" w:beforeAutospacing="1" w:after="100" w:afterAutospacing="1"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（2）优先类节能产品、环境标志产品：</w:t>
      </w:r>
      <w:r>
        <w:rPr>
          <w:rFonts w:hint="eastAsia" w:ascii="宋体" w:hAnsi="宋体" w:eastAsia="宋体" w:cs="宋体"/>
          <w:color w:val="auto"/>
          <w:sz w:val="24"/>
          <w:szCs w:val="24"/>
          <w:highlight w:val="none"/>
        </w:rPr>
        <w:t>优先类节能产品、环境标志产品： 若同一合同包内节能、环境标志产品报价总金额低于本合同包报价总金额10%（含10%）以下，将给予节能、环境标志产品每个单项报价3%的价格扣除；若同一合同包内节能、环境标志产品报价总金额占本合同包报价总金额10%-30%（含30%），将给予节能、环境标志产品每个单项报价6%的价格扣除；若同一合同包内节能、环境标志产品报价总金额占本合同包报价总金额30%-50%（含50%），将给予节能、环境标志产品每个单项报价8%的价格扣除；若同一合同包内节能、环境标志产品报价总金额超过本合同包报价总金额50%以上，将给予节能、环境标志产品每个单项报价10%的价格扣除</w:t>
      </w:r>
      <w:r>
        <w:rPr>
          <w:rFonts w:ascii="宋体" w:hAnsi="宋体" w:eastAsia="宋体" w:cs="宋体"/>
          <w:color w:val="auto"/>
          <w:kern w:val="0"/>
          <w:sz w:val="24"/>
          <w:szCs w:val="24"/>
          <w:highlight w:val="none"/>
        </w:rPr>
        <w:t xml:space="preserve"> 。 </w:t>
      </w:r>
    </w:p>
    <w:p>
      <w:pPr>
        <w:widowControl/>
        <w:spacing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c.其他：无。</w:t>
      </w:r>
    </w:p>
    <w:p>
      <w:pPr>
        <w:widowControl/>
        <w:spacing w:before="75" w:after="75" w:line="405" w:lineRule="atLeast"/>
        <w:ind w:firstLine="46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3.1.2合格供应商提交的最后报价按照上文3.1.1款规定的价格扣除规则计算后，得出的价格称为最后报价评审价。</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（1）谈判文件可以约定出现并列最低评审价情形时的优先顺序规则，具体规则为：无。</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（2）谈判文件未约定优先顺序规则时，则由谈判小组中的采购人代表从并列最低评审价名单中自行选择确定优先顺序</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（3）采购人代表放弃自行选择确定权利的，则通过随机抽取方式确定优先顺序。</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0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四、评审报告</w:t>
      </w:r>
    </w:p>
    <w:p>
      <w:pPr>
        <w:widowControl/>
        <w:spacing w:before="75" w:after="75" w:line="40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4.1谈判小组完成评审后，应当编写评审报告并提交给采购人。</w:t>
      </w:r>
    </w:p>
    <w:p>
      <w:pPr>
        <w:widowControl/>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4.2评审报告应当包括以下主要内容：</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（一）邀请供应商参加采购活动的具体方式和相关情况，以及参加采购活动的供应商名单；</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（二）评审日期和地点，谈判小组成员名单；</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（三）评审情况记录和说明，包括对供应商的资格审查情况、供应商响应文件评审情况、谈判情况、报价情况等；</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（四）提出的成交候选人的名单及理由。</w:t>
      </w:r>
    </w:p>
    <w:p>
      <w:pPr>
        <w:widowControl/>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0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五、其他规定</w:t>
      </w:r>
    </w:p>
    <w:p>
      <w:pPr>
        <w:widowControl/>
        <w:spacing w:before="75" w:after="75" w:line="40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0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5.1其他规定</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5.1.1评审应全程保密且不得透露给任一供应商或与评审工作无关的人员。</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5.1.2评审将进行全程实时录音录像，录音录像资料随采购文件一并存档。</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5.1.3若供应商有任何试图干扰具体评审事务，影响谈判小组独立履行职责的行为，其响应无效且不予退还谈判保证金。情节严重的，由财政部门列入不良行为记录。</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5.1.4根据采购项目的特点和需要，需要加以详细说明的其他谈判程序规定、要求等内容：</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无。</w:t>
      </w:r>
    </w:p>
    <w:p>
      <w:pPr>
        <w:widowControl/>
        <w:spacing w:before="75" w:after="75" w:line="435" w:lineRule="atLeast"/>
        <w:jc w:val="left"/>
        <w:rPr>
          <w:rFonts w:ascii="宋体" w:hAnsi="宋体" w:eastAsia="宋体" w:cs="宋体"/>
          <w:color w:val="auto"/>
          <w:kern w:val="0"/>
          <w:sz w:val="24"/>
          <w:szCs w:val="24"/>
          <w:highlight w:val="none"/>
        </w:rPr>
      </w:pP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r>
        <w:rPr>
          <w:rFonts w:ascii="宋体" w:hAnsi="宋体" w:eastAsia="宋体" w:cs="宋体"/>
          <w:b/>
          <w:bCs/>
          <w:color w:val="auto"/>
          <w:kern w:val="0"/>
          <w:sz w:val="30"/>
          <w:szCs w:val="30"/>
          <w:highlight w:val="none"/>
        </w:rPr>
        <w:t>第2节  竞争性谈判须知</w:t>
      </w:r>
    </w:p>
    <w:p>
      <w:pPr>
        <w:widowControl/>
        <w:spacing w:before="75" w:after="75"/>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一、总则</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1.适用范围：</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1.1适用于谈判文件载明项目的采购活动（以下简称：“本次采购活动”）。</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2.定义及要求：</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2.1“采购标的”指谈判文件载明的需要采购的货物、服务、工程。</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2.2“采购人”指本次采购项目的买方、或业主方、或甲方，具体见谈判文件第一章；“采购代理机构”系指接受采购人委托，组织开展竞争性谈判采购活动的代理机构，具体见谈判文件第一章。</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2.3“潜在供应商”按照谈判文件第一章规定进行报名，且有意向参加本项目响应谈判的供应商。</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2.4“供应商”指按照谈判文件第一章规定进行报名，且已经提交响应文件的法人或其他组织或自然人。只有适合自然人参与和承接的政府采购项目，供应商才可以是自然人。</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2.5“单位负责人”指单位法定代表人（供应商为法人的）或法律、法规规定代表单位行使职权的主要负责人（供应商为其他组织的）。</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2.6“供应商代表”指供应商（为法人或其他组织的）的单位负责人或由其授权的委托代理人，即单位负责人授权书中载明的接受授权方。供应商为自然人的，由本人签字并附身份证明。</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3.合格的供应商：</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3.1一般规定</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3.1.1供应商应当遵守中国的有关法律、法规和规章的规定，参加政府采购活动时已经自觉检查并按照政府采购相关法律规定，主动回避相应利害关系。</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3.1.2为采购项目提供整体设计、规范编制或项目管理、监理、检测等服务的供应商，不得再参加该采购项目除整体设计、规范编制和项目管理、监理、检测等服务之外的其他采购活动</w:t>
      </w:r>
      <w:r>
        <w:rPr>
          <w:rFonts w:ascii="宋体" w:hAnsi="宋体" w:eastAsia="宋体" w:cs="宋体"/>
          <w:b/>
          <w:bCs/>
          <w:color w:val="auto"/>
          <w:kern w:val="0"/>
          <w:sz w:val="24"/>
          <w:szCs w:val="24"/>
          <w:highlight w:val="none"/>
        </w:rPr>
        <w:t>。</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3.1.3列入失信被执行人、重大税收违法案件当事人名单、政府采购严重违法失信行为记录名单及其他不符合《中华人民共和国政府采购法》第二十二条规定条件的供应商，不得参加政府采购活动</w:t>
      </w:r>
      <w:r>
        <w:rPr>
          <w:rFonts w:ascii="宋体" w:hAnsi="宋体" w:eastAsia="宋体" w:cs="宋体"/>
          <w:b/>
          <w:bCs/>
          <w:color w:val="auto"/>
          <w:kern w:val="0"/>
          <w:sz w:val="24"/>
          <w:szCs w:val="24"/>
          <w:highlight w:val="none"/>
        </w:rPr>
        <w:t>。</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供应商有责任检查自身情况，在响应文件中对是否违反以上一般规定做出如实声明，否则其响应文件将被否决。</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3.2特别规定</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3.2.1供应商的资格要求：详见竞争性谈判须知前附表第1项。</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3.2.2是否接受联合体形式的响应谈判：详见竞争性谈判须知前附表第2项。若接受联合体形式且供应商为联合体，则联合体各方除了应遵守本章第3.1条规定外，还应遵守下列规定：</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（1）联合体各方应提交联合体协议，联合体协议应符合谈判文件规定。</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（2）联合体各方不得再单独参加或与其他供应商另外组成联合体参加同一合同项下的响应谈判。</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（3）联合体各方应共同与采购人签订政府采购合同，就政府采购合同约定的事项对采购人承担连带责任。</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4.参与竞争性谈判费用：</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4.1除法律法规或采购文件另有规定之外，供应商应自行承担其准备与参加竞争性谈判所涉及的一切费用。</w:t>
      </w:r>
    </w:p>
    <w:p>
      <w:pPr>
        <w:widowControl/>
        <w:spacing w:before="75" w:after="75" w:line="43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二、竞争性谈判文件</w:t>
      </w:r>
    </w:p>
    <w:p>
      <w:pPr>
        <w:widowControl/>
        <w:spacing w:before="75" w:after="75" w:line="43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5.竞争性谈判文件的组成：</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5.1竞争性谈判文件由下述部分组成：</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第一章 采购公告（或采购邀请书）</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第二章 竞争性谈判须知</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第三章 采购内容及要求</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第四章 合同主要条款及格式</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第五章 首次响应文件格式</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5.2除上述内容以外，采购人、采购代理机构或者谈判小组在采购过程期间对谈判文件所作的澄清、修改或补充，均构成谈判文件的组成部分，对采购人和供应商具有约束力。</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6.竞争性谈判文件的澄清、补充或修改：</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三、响应文件编制</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7.应标要求</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Fonts w:ascii="宋体" w:hAnsi="宋体" w:eastAsia="宋体" w:cs="宋体"/>
          <w:b/>
          <w:bCs/>
          <w:color w:val="auto"/>
          <w:kern w:val="0"/>
          <w:sz w:val="24"/>
          <w:szCs w:val="24"/>
          <w:highlight w:val="none"/>
        </w:rPr>
        <w:t>否则其相应合同包的响应文件将被否决。</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7.2供应商代表在同一个合同项下只能接受一个供应商的委托参加响应谈判，</w:t>
      </w:r>
      <w:r>
        <w:rPr>
          <w:rFonts w:ascii="宋体" w:hAnsi="宋体" w:eastAsia="宋体" w:cs="宋体"/>
          <w:b/>
          <w:bCs/>
          <w:color w:val="auto"/>
          <w:kern w:val="0"/>
          <w:sz w:val="24"/>
          <w:szCs w:val="24"/>
          <w:highlight w:val="none"/>
        </w:rPr>
        <w:t>否则其响应文件将被否决。</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7.3供应商应仔细阅读谈判文件的所有内容和要求，按谈判文件的规定提供响应文件，并对其所提供的全部资料、承诺和声明的真实性、合法性和准确性负责。</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7.4除非竞争性谈判须知前附表另有规定外，供应商提供的响应文件应使用中文文本，若有不同文字文本，以中文文本为准。</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7.6除非竞争性谈判须知前附表另有规定外，供应商承诺的报价应以人民币进行报价，合同实施结算时亦以人民币支付；所有计量均采用中华人民共和国法定计量单位。</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8.首次响应文件的组成：</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8.1首次响应文件包括但不限于下列部分：</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（1）谈判响应声明</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（2）报价一览表（含详细报价书）</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（3）资格证明文件</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（4）谈判保证金凭证</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（5）技术和商务偏离表</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（6）相关技术、商务、服务响应承诺及资料</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（7）供应商提交符合政府采购政策的证明材料</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（8）要求作为响应文件组成部分的其他内容（若有）</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9.响应文件有效期：</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9.1响应文件有效期见竞争性谈判须知前附表第3项，响应文件承诺的有效期不得少于谈判文件载明的有效期，</w:t>
      </w:r>
      <w:r>
        <w:rPr>
          <w:rFonts w:ascii="宋体" w:hAnsi="宋体" w:eastAsia="宋体" w:cs="宋体"/>
          <w:b/>
          <w:bCs/>
          <w:color w:val="auto"/>
          <w:kern w:val="0"/>
          <w:sz w:val="24"/>
          <w:szCs w:val="24"/>
          <w:highlight w:val="none"/>
        </w:rPr>
        <w:t>否则其响应文件将被否决。</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10.谈判保证金：</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10.2谈判保证金为响应文件的重要组成部分之一。谈判保证金用于保护本次谈判活动免受供应商的违约或失信行为而引起的风险。未按规定提交谈判保证金的，</w:t>
      </w:r>
      <w:r>
        <w:rPr>
          <w:rFonts w:ascii="宋体" w:hAnsi="宋体" w:eastAsia="宋体" w:cs="宋体"/>
          <w:b/>
          <w:bCs/>
          <w:color w:val="auto"/>
          <w:kern w:val="0"/>
          <w:sz w:val="24"/>
          <w:szCs w:val="24"/>
          <w:highlight w:val="none"/>
        </w:rPr>
        <w:t>其响应文件将被否决。</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10.3谈判保证金退还：</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10.3.2质疑或投诉涉及的供应商，若其谈判保证金尚未退还，则待质疑或投诉处理完毕后，且没有发生法律法规或者谈判文件规定的不予退还谈判保证金情形，则由采购人或采购代理机构给予及时退还。</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10.4如果供应商发生以下任何一种情况时，其谈判保证金将被不予退还：</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(1)供应商在提交响应文件截止时间后撤回响应文件的；</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(2)供应商在响应文件中提供虚假材料的；</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(3)除因不可抗力或谈判文件认可的情形以外，成交供应商不与采购人签订合同的；</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(4)供应商与采购人、其他供应商或者采购代理机构恶意串通的；</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(5)供应商在提交最后报价后要求退出谈判的；</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(6)供应商假借以他人名义参加谈判或者以其他方式弄虚作假，骗取成交；</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(7)国家法律法规以及谈判文件中规定的其他谈判保证金不予退还的情形。</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上述不予退还谈判保证金的情况不能抵偿给采购人或采购代理机构造成损失的，供应商还要承担赔偿责任。</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11.纸质响应文件基本编制要求：</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11.2响应文件应由供应商代表签字并加盖公章。供应商代表如果不是竞争性谈判须知中定义的“单位负责人”，则其响应文件中还必须提供“单位负责人授权书”。</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11.3响应文件应尽量避免涂改、行间插字或删除。如果出现上述情况，改动之处应加盖供应商单位公章或由供应商代表签字确认。</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11.4供应商应提交证明其拟提供货物、服务或工程符合谈判文件要求的技术和商务响应文件，该文件可以是文字资料、图纸和数据，并对拟提供的货物、服务或工程的主要内容进行详细描述。</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12.纸质响应文件的密封、标识、签署和提交（除谈判文件相应章节已有规定之外）</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12.1供应商应当将响应文件密封包装提交，并在外封套上标识项目名称、项目编号、供应商单位名称以及“于         之前（指首次响应文件递交截止日期及时间）不准启封响应文件”的字样</w:t>
      </w: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由于供应商未按照要求对其提交的响应文件进行密封、标识、确认等，由此可能产生的后果（包括拒收、误放、遗漏或提前拆封等情形），将由供应商自行承担相应结果，采购人或采购代理机构不承担责任。</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12.5</w:t>
      </w:r>
      <w:r>
        <w:rPr>
          <w:rFonts w:hint="eastAsia" w:ascii="宋体" w:hAnsi="宋体" w:eastAsia="宋体" w:cs="宋体"/>
          <w:color w:val="auto"/>
          <w:kern w:val="0"/>
          <w:sz w:val="24"/>
          <w:szCs w:val="24"/>
          <w:highlight w:val="none"/>
        </w:rPr>
        <w:t>当投标截止时间结束后参加投标的响应人只有两家的，根据《政府采购非招标采购方式管理办法》[财政部令第74号]第二十七条规定并已得到政府采购监管部门的批准，现场继续谈判。当参加投标的响应人只有一家的，竞争性谈判终止</w:t>
      </w:r>
      <w:r>
        <w:rPr>
          <w:rFonts w:ascii="宋体" w:hAnsi="宋体" w:eastAsia="宋体" w:cs="宋体"/>
          <w:color w:val="auto"/>
          <w:kern w:val="0"/>
          <w:sz w:val="24"/>
          <w:szCs w:val="24"/>
          <w:highlight w:val="none"/>
        </w:rPr>
        <w:t>，除采购任务取消情形外，采购人将依法重新组织采购或者采取其他方式采购。</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四、竞争性谈判</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13.评审和谈判基本准则</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13.1对所有供应商的评审和谈判，都采用相同的程序和标准。</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13.2谈判及评审过程将严格按照谈判文件的要求和条件进行，谈判小组将根据供应商的响应文件，按谈判文件规定的谈判程序和评定成交标准进行评审和谈判，并推荐成交候选人。</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14.谈判程序以及评定成交标准</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14.1采购人将根据项目的特点依法组建谈判小组。谈判小组将根据谈判文件规定的程序、评定成交标准等内容对供应商进行评审、谈判。</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14.2.1供应商有下列情况之一者，其提交的响应文件将被视为未实质性响应谈判文件要求，谈判小组将否决其响应文件，按无效处理：</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(1)响应文件中提供的资格证明文件不全的；</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(2)响应文件未按谈判文件规定由供应商代表签字，或未按谈判文件规定加盖供应商单位公章的；或供应商代表未获得有效授权的；</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(3)供应商未按谈判文件规定提交谈判保证金的；</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(4)响应文件有效期不满足谈判文件要求的；</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(5)响应内容与谈判采购内容及要求有重大偏离或保留的，限制了采购人的权利或者减少成交供应商合同项下的义务；（由于谈判项目本身特点，不能详细列明采购标的的技术、服务要求的除外）；</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(6)响应文件中附有采购人无法接受的条件的；</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(7)不符合谈判文件中规定的其它实质性条款（比如：报价超过了谈判文件规定的最高限价）。</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14.2.2其他情形</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xml:space="preserve">   包：1 </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xml:space="preserve">包一般情形 </w:t>
      </w:r>
      <w:r>
        <w:rPr>
          <w:rFonts w:ascii="宋体" w:hAnsi="宋体" w:eastAsia="宋体" w:cs="宋体"/>
          <w:color w:val="auto"/>
          <w:kern w:val="0"/>
          <w:sz w:val="24"/>
          <w:szCs w:val="24"/>
          <w:highlight w:val="none"/>
        </w:rPr>
        <w:br w:type="textWrapping"/>
      </w:r>
      <w:r>
        <w:rPr>
          <w:rFonts w:ascii="宋体" w:hAnsi="宋体" w:eastAsia="宋体" w:cs="宋体"/>
          <w:b/>
          <w:bCs/>
          <w:color w:val="auto"/>
          <w:kern w:val="0"/>
          <w:sz w:val="24"/>
          <w:szCs w:val="24"/>
          <w:highlight w:val="none"/>
        </w:rPr>
        <w:t>         无</w:t>
      </w:r>
    </w:p>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xml:space="preserve">技术符合性 </w:t>
      </w:r>
    </w:p>
    <w:tbl>
      <w:tblPr>
        <w:tblStyle w:val="19"/>
        <w:tblW w:w="934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3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934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934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不符合</w:t>
            </w:r>
            <w:r>
              <w:rPr>
                <w:rFonts w:hint="eastAsia" w:ascii="宋体" w:hAnsi="宋体" w:eastAsia="宋体" w:cs="宋体"/>
                <w:color w:val="auto"/>
                <w:kern w:val="0"/>
                <w:sz w:val="24"/>
                <w:szCs w:val="24"/>
                <w:highlight w:val="none"/>
              </w:rPr>
              <w:t>谈判</w:t>
            </w:r>
            <w:r>
              <w:rPr>
                <w:rFonts w:ascii="宋体" w:hAnsi="宋体" w:eastAsia="宋体" w:cs="宋体"/>
                <w:color w:val="auto"/>
                <w:kern w:val="0"/>
                <w:sz w:val="24"/>
                <w:szCs w:val="24"/>
                <w:highlight w:val="none"/>
              </w:rPr>
              <w:t>文件中规定的实质性要求条款的视为无效投标。</w:t>
            </w:r>
          </w:p>
        </w:tc>
      </w:tr>
    </w:tbl>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xml:space="preserve">商务符合性 </w:t>
      </w:r>
    </w:p>
    <w:tbl>
      <w:tblPr>
        <w:tblStyle w:val="19"/>
        <w:tblW w:w="934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3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934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934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不符合</w:t>
            </w:r>
            <w:r>
              <w:rPr>
                <w:rFonts w:hint="eastAsia" w:ascii="宋体" w:hAnsi="宋体" w:eastAsia="宋体" w:cs="宋体"/>
                <w:color w:val="auto"/>
                <w:kern w:val="0"/>
                <w:sz w:val="24"/>
                <w:szCs w:val="24"/>
                <w:highlight w:val="none"/>
              </w:rPr>
              <w:t>谈判</w:t>
            </w:r>
            <w:r>
              <w:rPr>
                <w:rFonts w:ascii="宋体" w:hAnsi="宋体" w:eastAsia="宋体" w:cs="宋体"/>
                <w:color w:val="auto"/>
                <w:kern w:val="0"/>
                <w:sz w:val="24"/>
                <w:szCs w:val="24"/>
                <w:highlight w:val="none"/>
              </w:rPr>
              <w:t>文件中规定的实质性要求条款的视为无效投标。</w:t>
            </w:r>
          </w:p>
        </w:tc>
      </w:tr>
    </w:tbl>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附加符合性</w:t>
      </w:r>
      <w:r>
        <w:rPr>
          <w:rFonts w:ascii="宋体" w:hAnsi="宋体" w:eastAsia="宋体" w:cs="宋体"/>
          <w:color w:val="auto"/>
          <w:kern w:val="0"/>
          <w:sz w:val="24"/>
          <w:szCs w:val="24"/>
          <w:highlight w:val="none"/>
        </w:rPr>
        <w:br w:type="textWrapping"/>
      </w:r>
      <w:r>
        <w:rPr>
          <w:rFonts w:ascii="宋体" w:hAnsi="宋体" w:eastAsia="宋体" w:cs="宋体"/>
          <w:b/>
          <w:bCs/>
          <w:color w:val="auto"/>
          <w:kern w:val="0"/>
          <w:sz w:val="24"/>
          <w:szCs w:val="24"/>
          <w:highlight w:val="none"/>
        </w:rPr>
        <w:t>         无</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xml:space="preserve">价格符合性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谈判小组决定供应商的响应性只根据响应文件本身的内容，而不寻求其他的外部证据。</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14.6谈判文件能够详细列明采购标的的技术、服务要求的，谈判结束后，谈判小组应当要求所有继续参加谈判的供应商在规定时间内提交最后报价。</w:t>
      </w:r>
      <w:r>
        <w:rPr>
          <w:rFonts w:hint="eastAsia" w:ascii="宋体" w:hAnsi="宋体" w:eastAsia="宋体" w:cs="宋体"/>
          <w:color w:val="auto"/>
          <w:kern w:val="0"/>
          <w:sz w:val="24"/>
          <w:szCs w:val="24"/>
          <w:highlight w:val="none"/>
          <w:lang w:eastAsia="zh-CN"/>
        </w:rPr>
        <w:t>本项目根据《政府采购非招标采购方式管理办法》[财政部令第74号]第二十七条规定并已得到政府采购监管部门的批准，当投标截止时间结束后参加投标的响应人只有两家的，现场继续谈判。</w:t>
      </w:r>
      <w:r>
        <w:rPr>
          <w:rFonts w:ascii="宋体" w:hAnsi="宋体" w:eastAsia="宋体" w:cs="宋体"/>
          <w:color w:val="auto"/>
          <w:kern w:val="0"/>
          <w:sz w:val="24"/>
          <w:szCs w:val="24"/>
          <w:highlight w:val="none"/>
        </w:rPr>
        <w:t>属于《政府采购非招标采购方式管理办法》等相关法律法规及财政部门颁布等规范性文件允许的两家供应商进行竞争性谈判采购情形，则提交最后报价的供应商可以为2家。</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w:t>
      </w:r>
      <w:r>
        <w:rPr>
          <w:rFonts w:hint="eastAsia" w:ascii="宋体" w:hAnsi="宋体" w:eastAsia="宋体" w:cs="宋体"/>
          <w:color w:val="auto"/>
          <w:kern w:val="0"/>
          <w:sz w:val="24"/>
          <w:szCs w:val="24"/>
          <w:highlight w:val="none"/>
          <w:lang w:eastAsia="zh-CN"/>
        </w:rPr>
        <w:t>本项目根据《政府采购非招标采购方式管理办法》[财政部令第74号]第二十七条规定并已得到政府采购监管部门的批准，当投标截止时间结束后参加投标的响应人只有两家的，现场继续谈判。</w:t>
      </w:r>
      <w:r>
        <w:rPr>
          <w:rFonts w:ascii="宋体" w:hAnsi="宋体" w:eastAsia="宋体" w:cs="宋体"/>
          <w:color w:val="auto"/>
          <w:kern w:val="0"/>
          <w:sz w:val="24"/>
          <w:szCs w:val="24"/>
          <w:highlight w:val="none"/>
        </w:rPr>
        <w:t>属于《政府采购非招标采购方式管理办法》等相关法律法规及财政部门颁布</w:t>
      </w:r>
      <w:r>
        <w:rPr>
          <w:rFonts w:hint="eastAsia" w:ascii="宋体" w:hAnsi="宋体" w:eastAsia="宋体" w:cs="宋体"/>
          <w:color w:val="auto"/>
          <w:kern w:val="0"/>
          <w:sz w:val="24"/>
          <w:szCs w:val="24"/>
          <w:highlight w:val="none"/>
          <w:lang w:eastAsia="zh-CN"/>
        </w:rPr>
        <w:t>的</w:t>
      </w:r>
      <w:r>
        <w:rPr>
          <w:rFonts w:ascii="宋体" w:hAnsi="宋体" w:eastAsia="宋体" w:cs="宋体"/>
          <w:color w:val="auto"/>
          <w:kern w:val="0"/>
          <w:sz w:val="24"/>
          <w:szCs w:val="24"/>
          <w:highlight w:val="none"/>
        </w:rPr>
        <w:t>规范性文件允许的两家供应商进行竞争性谈判采购情形，则提交最后报价的供应商可以为2家。</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14.9谈判小组将从质量和服务均能满足采购文件实质性响应要求的供应商中，按照评审价由低到高的顺序提出3名以上成交候选人，并编写评审报告。</w:t>
      </w:r>
      <w:r>
        <w:rPr>
          <w:rFonts w:hint="eastAsia" w:ascii="宋体" w:hAnsi="宋体" w:eastAsia="宋体" w:cs="宋体"/>
          <w:color w:val="auto"/>
          <w:kern w:val="0"/>
          <w:sz w:val="24"/>
          <w:szCs w:val="24"/>
          <w:highlight w:val="none"/>
          <w:lang w:eastAsia="zh-CN"/>
        </w:rPr>
        <w:t>本项目根据《政府采购非招标采购方式管理办法》[财政部令第74号]第二十七条规定并已得到政府采购监管部门的批准，当投标截止时间结束后参加投标的响应人只有两家的，现场继续谈判。</w:t>
      </w:r>
      <w:r>
        <w:rPr>
          <w:rFonts w:ascii="宋体" w:hAnsi="宋体" w:eastAsia="宋体" w:cs="宋体"/>
          <w:color w:val="auto"/>
          <w:kern w:val="0"/>
          <w:sz w:val="24"/>
          <w:szCs w:val="24"/>
          <w:highlight w:val="none"/>
        </w:rPr>
        <w:t>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14.10供应商提交的响应文件和资料将给予保密，但不退回（有关证件或证照的原件除外）。</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center"/>
        <w:rPr>
          <w:rFonts w:ascii="宋体" w:hAnsi="宋体" w:eastAsia="宋体" w:cs="宋体"/>
          <w:color w:val="auto"/>
          <w:kern w:val="0"/>
          <w:sz w:val="32"/>
          <w:szCs w:val="32"/>
          <w:highlight w:val="none"/>
        </w:rPr>
      </w:pPr>
      <w:r>
        <w:rPr>
          <w:rFonts w:ascii="宋体" w:hAnsi="宋体" w:eastAsia="宋体" w:cs="宋体"/>
          <w:b/>
          <w:bCs/>
          <w:color w:val="auto"/>
          <w:kern w:val="0"/>
          <w:sz w:val="32"/>
          <w:szCs w:val="32"/>
          <w:highlight w:val="none"/>
        </w:rPr>
        <w:t>五、合同授予</w:t>
      </w:r>
    </w:p>
    <w:p>
      <w:pPr>
        <w:widowControl/>
        <w:spacing w:before="75" w:after="75" w:line="43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15.授予合同的准则：</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15.1除不可抗力等因素外，合同将授予响应文件符合竞争性谈判文件要求，能够圆满地履行合同，且被谈判小组推</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荐为第一成交候选人的供应商。</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15.3为维护国家利益和社会公共利益，最低报价不是被授予合同的绝对保证。</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16.确定成交供应商：</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16.1采购人委托代理机构组织竞争性谈判采购活动的，采购代理机构在评审结束后2个工作日内将评审报告送采购人确认。</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17.成交通知:</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18.签订合同：</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18.1</w:t>
      </w:r>
      <w:r>
        <w:rPr>
          <w:rFonts w:ascii="宋体" w:hAnsi="宋体" w:eastAsia="宋体" w:cs="宋体"/>
          <w:b/>
          <w:bCs/>
          <w:color w:val="auto"/>
          <w:kern w:val="0"/>
          <w:sz w:val="24"/>
          <w:szCs w:val="24"/>
          <w:highlight w:val="none"/>
        </w:rPr>
        <w:t>采购人与成交供应商应当在成交通知书发出之日起30日内</w:t>
      </w:r>
      <w:r>
        <w:rPr>
          <w:rFonts w:ascii="宋体" w:hAnsi="宋体" w:eastAsia="宋体" w:cs="宋体"/>
          <w:color w:val="auto"/>
          <w:kern w:val="0"/>
          <w:sz w:val="24"/>
          <w:szCs w:val="24"/>
          <w:highlight w:val="none"/>
        </w:rPr>
        <w:t>，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18.2竞争性谈判文件、成交供应商的响应文件及其有关澄清承诺文件等，均为签订政府采购合同的依据和组成部分。</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六、询问、质疑与投诉</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19.询问</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19.1潜在供应商或供应商对本次采购活动的有关事项若有疑问，可向采购人或采购代理机构提出询问，采购人或采购代理机构将按照政府采购法及实施条例的有关规定进行答复。</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20.质疑</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20.1质疑应在政府采购法及实施条例规定的时效内提出，并符合下列条件：</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20.1.2质疑人应提交质疑函原件。</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20.1.3质疑函应包括下列主要内容：</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rPr>
        <w:t>①</w:t>
      </w:r>
      <w:r>
        <w:rPr>
          <w:rFonts w:ascii="宋体" w:hAnsi="宋体" w:eastAsia="宋体" w:cs="宋体"/>
          <w:color w:val="auto"/>
          <w:kern w:val="0"/>
          <w:sz w:val="24"/>
          <w:szCs w:val="24"/>
          <w:highlight w:val="none"/>
        </w:rPr>
        <w:t>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rPr>
        <w:t>②</w:t>
      </w:r>
      <w:r>
        <w:rPr>
          <w:rFonts w:ascii="宋体" w:hAnsi="宋体" w:eastAsia="宋体" w:cs="宋体"/>
          <w:color w:val="auto"/>
          <w:kern w:val="0"/>
          <w:sz w:val="24"/>
          <w:szCs w:val="24"/>
          <w:highlight w:val="none"/>
        </w:rPr>
        <w:t>所质疑项目的基本信息，至少包括：项目编号、项目名称等；</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rPr>
        <w:t>③</w:t>
      </w:r>
      <w:r>
        <w:rPr>
          <w:rFonts w:ascii="宋体" w:hAnsi="宋体" w:eastAsia="宋体" w:cs="宋体"/>
          <w:color w:val="auto"/>
          <w:kern w:val="0"/>
          <w:sz w:val="24"/>
          <w:szCs w:val="24"/>
          <w:highlight w:val="none"/>
        </w:rPr>
        <w:t>所质疑的具体事项（以下简称：“质疑事项”）；</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w:t>
      </w:r>
      <w:r>
        <w:rPr>
          <w:rFonts w:ascii="宋体" w:hAnsi="宋体" w:eastAsia="宋体" w:cs="宋体"/>
          <w:color w:val="auto"/>
          <w:kern w:val="0"/>
          <w:sz w:val="24"/>
          <w:szCs w:val="24"/>
          <w:highlight w:val="none"/>
        </w:rPr>
        <w:t>质疑人自身权益受到损害的事实依据和证明材料，至少包括：</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a1所质疑的具体事项事实存在的证明材料；</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a2所质疑的具体事项事实导致质疑人自身权益受到损害的证明材料，如：采购文件、采购过程或成交结果违法违规，损害自已合法权益等证明材料；</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⑤</w:t>
      </w:r>
      <w:r>
        <w:rPr>
          <w:rFonts w:ascii="宋体" w:hAnsi="宋体" w:eastAsia="宋体" w:cs="宋体"/>
          <w:color w:val="auto"/>
          <w:kern w:val="0"/>
          <w:sz w:val="24"/>
          <w:szCs w:val="24"/>
          <w:highlight w:val="none"/>
        </w:rPr>
        <w:t>针对质疑事项提出的明确请求和法律依据，</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rPr>
        <w:t>⑥</w:t>
      </w:r>
      <w:r>
        <w:rPr>
          <w:rFonts w:ascii="宋体" w:hAnsi="宋体" w:eastAsia="宋体" w:cs="宋体"/>
          <w:color w:val="auto"/>
          <w:kern w:val="0"/>
          <w:sz w:val="24"/>
          <w:szCs w:val="24"/>
          <w:highlight w:val="none"/>
        </w:rPr>
        <w:t>提出质疑的日期以及质疑人代表联系方式，至少包括：姓名、手机、电子信箱、邮寄地址等。</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20.2对不符合前文第20.1条规定的质疑，采购人或采购代理机构将按照下列规定进行处理：</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20.2.1超过质疑时效提交的或者质疑人不是直接参与所质疑项目采购活动的供应商，书面告知质疑人其质疑不成立的原因和理由。</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20.2.3质疑人修改、补充质疑函超过质疑时效提交的按20.2.1款处理。供应商提交质疑函时，要认真阅读本章第20条关于质疑的相关规定，以免内容或资料不齐，需要修改补充而延误时间。</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20.3对符合前文第20.1条规定的质疑，采购人或采购代理机构将按照政府采购法及实施条例的有关规定进行答复。</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21.投诉</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21.1若对质疑答复不满意或质疑答复未在答复期限内作出，质疑人可在答复期限届满之日起15个工作日内向谈判文件中载明的监督管理部门投诉。</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21.1投诉应有明确的请求和必要的证明材料，投诉的事项不得超出已质疑事项的范围。</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七、有关信息公告和监督部门</w:t>
      </w:r>
    </w:p>
    <w:p>
      <w:pPr>
        <w:widowControl/>
        <w:spacing w:before="75" w:after="75" w:line="43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22.政府采购信息公告媒体</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22.2信息公告指定媒体：详见竞争性谈判须知前附表第8项。</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23.监督管理部门</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23.1谈判采购活动的监督管理部门详见竞争性谈判须知前附表第9项。</w:t>
      </w:r>
    </w:p>
    <w:p>
      <w:pPr>
        <w:widowControl/>
        <w:spacing w:before="75" w:after="75" w:line="43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line="43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八、根据采购项目特点或政策需要补充的其他内容</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24.履约保证金</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24.2谈判文件要求在合同签订前提交履约保证金，如果成交供应商无故拖延或者拒不提交履约保证金的，则视为成交供应商拒绝与采购人签订合同，该成交供应商将承担违法行为的法律责任。</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25.其他新增内容：</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根据采购项目特点或政策需要补充的其他新增内容详见竞争性谈判须知前附表第11项。</w:t>
      </w:r>
    </w:p>
    <w:p>
      <w:pPr>
        <w:widowControl/>
        <w:spacing w:before="75" w:after="75"/>
        <w:jc w:val="both"/>
        <w:rPr>
          <w:rFonts w:ascii="宋体" w:hAnsi="宋体" w:eastAsia="宋体" w:cs="宋体"/>
          <w:b/>
          <w:bCs/>
          <w:color w:val="auto"/>
          <w:kern w:val="0"/>
          <w:sz w:val="24"/>
          <w:szCs w:val="24"/>
          <w:highlight w:val="none"/>
        </w:rPr>
      </w:pPr>
    </w:p>
    <w:p>
      <w:pPr>
        <w:widowControl/>
        <w:spacing w:before="75" w:after="75"/>
        <w:jc w:val="both"/>
        <w:rPr>
          <w:rFonts w:ascii="宋体" w:hAnsi="宋体" w:eastAsia="宋体" w:cs="宋体"/>
          <w:b/>
          <w:bCs/>
          <w:color w:val="auto"/>
          <w:kern w:val="0"/>
          <w:sz w:val="24"/>
          <w:szCs w:val="24"/>
          <w:highlight w:val="none"/>
        </w:rPr>
      </w:pPr>
    </w:p>
    <w:p>
      <w:pPr>
        <w:widowControl/>
        <w:spacing w:before="75" w:after="75"/>
        <w:jc w:val="both"/>
        <w:rPr>
          <w:rFonts w:ascii="宋体" w:hAnsi="宋体" w:eastAsia="宋体" w:cs="宋体"/>
          <w:b/>
          <w:bCs/>
          <w:color w:val="auto"/>
          <w:kern w:val="0"/>
          <w:sz w:val="24"/>
          <w:szCs w:val="24"/>
          <w:highlight w:val="none"/>
        </w:rPr>
      </w:pPr>
    </w:p>
    <w:p>
      <w:pPr>
        <w:widowControl/>
        <w:spacing w:before="75" w:after="75"/>
        <w:jc w:val="both"/>
        <w:rPr>
          <w:rFonts w:ascii="宋体" w:hAnsi="宋体" w:eastAsia="宋体" w:cs="宋体"/>
          <w:b/>
          <w:bCs/>
          <w:color w:val="auto"/>
          <w:kern w:val="0"/>
          <w:sz w:val="24"/>
          <w:szCs w:val="24"/>
          <w:highlight w:val="none"/>
        </w:rPr>
      </w:pPr>
    </w:p>
    <w:p>
      <w:pPr>
        <w:widowControl/>
        <w:spacing w:before="75" w:after="75"/>
        <w:jc w:val="both"/>
        <w:rPr>
          <w:rFonts w:ascii="宋体" w:hAnsi="宋体" w:eastAsia="宋体" w:cs="宋体"/>
          <w:b/>
          <w:bCs/>
          <w:color w:val="auto"/>
          <w:kern w:val="0"/>
          <w:sz w:val="24"/>
          <w:szCs w:val="24"/>
          <w:highlight w:val="none"/>
        </w:rPr>
      </w:pPr>
    </w:p>
    <w:p>
      <w:pPr>
        <w:widowControl/>
        <w:spacing w:before="75" w:after="75"/>
        <w:jc w:val="both"/>
        <w:rPr>
          <w:rFonts w:ascii="宋体" w:hAnsi="宋体" w:eastAsia="宋体" w:cs="宋体"/>
          <w:b/>
          <w:bCs/>
          <w:color w:val="auto"/>
          <w:kern w:val="0"/>
          <w:sz w:val="24"/>
          <w:szCs w:val="24"/>
          <w:highlight w:val="none"/>
        </w:rPr>
      </w:pPr>
    </w:p>
    <w:p>
      <w:pPr>
        <w:widowControl/>
        <w:spacing w:before="75" w:after="75"/>
        <w:jc w:val="both"/>
        <w:rPr>
          <w:rFonts w:ascii="宋体" w:hAnsi="宋体" w:eastAsia="宋体" w:cs="宋体"/>
          <w:b/>
          <w:bCs/>
          <w:color w:val="auto"/>
          <w:kern w:val="0"/>
          <w:sz w:val="24"/>
          <w:szCs w:val="24"/>
          <w:highlight w:val="none"/>
        </w:rPr>
      </w:pPr>
    </w:p>
    <w:p>
      <w:pPr>
        <w:widowControl/>
        <w:spacing w:before="75" w:after="75"/>
        <w:jc w:val="both"/>
        <w:rPr>
          <w:rFonts w:ascii="宋体" w:hAnsi="宋体" w:eastAsia="宋体" w:cs="宋体"/>
          <w:b/>
          <w:bCs/>
          <w:color w:val="auto"/>
          <w:kern w:val="0"/>
          <w:sz w:val="24"/>
          <w:szCs w:val="24"/>
          <w:highlight w:val="none"/>
        </w:rPr>
      </w:pPr>
    </w:p>
    <w:p>
      <w:pPr>
        <w:widowControl/>
        <w:spacing w:before="75" w:after="75"/>
        <w:jc w:val="both"/>
        <w:rPr>
          <w:rFonts w:ascii="宋体" w:hAnsi="宋体" w:eastAsia="宋体" w:cs="宋体"/>
          <w:b/>
          <w:bCs/>
          <w:color w:val="auto"/>
          <w:kern w:val="0"/>
          <w:sz w:val="24"/>
          <w:szCs w:val="24"/>
          <w:highlight w:val="none"/>
        </w:rPr>
      </w:pPr>
    </w:p>
    <w:p>
      <w:pP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pacing w:before="75" w:after="75"/>
        <w:jc w:val="center"/>
        <w:rPr>
          <w:rFonts w:ascii="宋体" w:hAnsi="宋体" w:eastAsia="宋体" w:cs="宋体"/>
          <w:color w:val="auto"/>
          <w:kern w:val="0"/>
          <w:sz w:val="28"/>
          <w:szCs w:val="28"/>
          <w:highlight w:val="none"/>
        </w:rPr>
      </w:pPr>
      <w:r>
        <w:rPr>
          <w:rFonts w:ascii="宋体" w:hAnsi="宋体" w:eastAsia="宋体" w:cs="宋体"/>
          <w:b/>
          <w:bCs/>
          <w:color w:val="auto"/>
          <w:kern w:val="0"/>
          <w:sz w:val="30"/>
          <w:szCs w:val="30"/>
          <w:highlight w:val="none"/>
        </w:rPr>
        <w:t>第三章  采购内容及要求</w:t>
      </w:r>
    </w:p>
    <w:p>
      <w:pPr>
        <w:pStyle w:val="15"/>
        <w:widowControl/>
        <w:spacing w:before="75" w:after="75"/>
        <w:rPr>
          <w:b/>
          <w:bCs/>
          <w:color w:val="auto"/>
          <w:highlight w:val="none"/>
        </w:rPr>
      </w:pPr>
      <w:r>
        <w:rPr>
          <w:b/>
          <w:bCs/>
          <w:color w:val="auto"/>
          <w:highlight w:val="none"/>
        </w:rPr>
        <w:t>一、项目概况（采购标的）</w:t>
      </w:r>
    </w:p>
    <w:p>
      <w:pPr>
        <w:pStyle w:val="15"/>
        <w:keepNext w:val="0"/>
        <w:keepLines w:val="0"/>
        <w:pageBreakBefore w:val="0"/>
        <w:widowControl/>
        <w:numPr>
          <w:ilvl w:val="0"/>
          <w:numId w:val="3"/>
        </w:numPr>
        <w:kinsoku/>
        <w:wordWrap/>
        <w:overflowPunct/>
        <w:topLinePunct w:val="0"/>
        <w:autoSpaceDE/>
        <w:autoSpaceDN/>
        <w:bidi w:val="0"/>
        <w:adjustRightInd/>
        <w:snapToGrid/>
        <w:spacing w:before="20" w:after="157" w:afterLines="50" w:line="440" w:lineRule="exact"/>
        <w:textAlignment w:val="auto"/>
        <w:rPr>
          <w:rStyle w:val="23"/>
          <w:rFonts w:ascii="宋体" w:hAnsi="宋体" w:cs="宋体"/>
          <w:color w:val="auto"/>
          <w:highlight w:val="none"/>
        </w:rPr>
      </w:pPr>
      <w:r>
        <w:rPr>
          <w:rFonts w:hint="eastAsia" w:ascii="宋体" w:hAnsi="宋体" w:cs="宋体"/>
          <w:b/>
          <w:bCs/>
          <w:color w:val="auto"/>
          <w:highlight w:val="none"/>
        </w:rPr>
        <w:t>技术和服务要求</w:t>
      </w:r>
      <w:r>
        <w:rPr>
          <w:rStyle w:val="23"/>
          <w:rFonts w:hint="eastAsia" w:ascii="宋体" w:hAnsi="宋体" w:cs="宋体"/>
          <w:bCs/>
          <w:color w:val="auto"/>
          <w:highlight w:val="none"/>
        </w:rPr>
        <w:t>（</w:t>
      </w:r>
      <w:r>
        <w:rPr>
          <w:rStyle w:val="23"/>
          <w:rFonts w:hint="eastAsia" w:ascii="宋体" w:hAnsi="宋体" w:cs="宋体"/>
          <w:color w:val="auto"/>
          <w:highlight w:val="none"/>
        </w:rPr>
        <w:t>以“★”标示的内容为不允许负偏离的实质性要求）</w:t>
      </w:r>
    </w:p>
    <w:p>
      <w:pPr>
        <w:pStyle w:val="25"/>
        <w:keepNext w:val="0"/>
        <w:keepLines w:val="0"/>
        <w:pageBreakBefore w:val="0"/>
        <w:widowControl w:val="0"/>
        <w:numPr>
          <w:ilvl w:val="0"/>
          <w:numId w:val="0"/>
        </w:numPr>
        <w:kinsoku/>
        <w:wordWrap/>
        <w:overflowPunct w:val="0"/>
        <w:topLinePunct w:val="0"/>
        <w:autoSpaceDE w:val="0"/>
        <w:autoSpaceDN w:val="0"/>
        <w:bidi w:val="0"/>
        <w:adjustRightInd w:val="0"/>
        <w:snapToGrid/>
        <w:spacing w:line="400" w:lineRule="exact"/>
        <w:ind w:left="0"/>
        <w:jc w:val="both"/>
        <w:textAlignment w:val="baseline"/>
        <w:rPr>
          <w:rFonts w:hint="default" w:ascii="宋体" w:hAnsi="宋体" w:eastAsia="宋体" w:cs="宋体"/>
          <w:b/>
          <w:bCs/>
          <w:sz w:val="24"/>
          <w:szCs w:val="24"/>
          <w:lang w:val="en-US" w:eastAsia="zh-CN"/>
        </w:rPr>
      </w:pPr>
      <w:bookmarkStart w:id="1" w:name="_Toc21637"/>
      <w:r>
        <w:rPr>
          <w:rFonts w:hint="eastAsia" w:ascii="宋体" w:hAnsi="宋体" w:eastAsia="宋体" w:cs="宋体"/>
          <w:b/>
          <w:bCs/>
          <w:sz w:val="24"/>
          <w:szCs w:val="24"/>
          <w:lang w:val="en-US" w:eastAsia="zh-CN"/>
        </w:rPr>
        <w:t>（一）</w:t>
      </w:r>
      <w:r>
        <w:rPr>
          <w:rFonts w:hint="eastAsia" w:ascii="宋体" w:hAnsi="宋体" w:cs="宋体"/>
          <w:b/>
          <w:bCs/>
          <w:sz w:val="24"/>
          <w:szCs w:val="24"/>
          <w:lang w:val="en-US" w:eastAsia="zh-CN"/>
        </w:rPr>
        <w:t>服务</w:t>
      </w:r>
      <w:r>
        <w:rPr>
          <w:rFonts w:hint="eastAsia" w:ascii="宋体" w:hAnsi="宋体" w:eastAsia="宋体" w:cs="宋体"/>
          <w:b/>
          <w:bCs/>
          <w:sz w:val="24"/>
          <w:szCs w:val="24"/>
          <w:lang w:val="en-US" w:eastAsia="zh-CN"/>
        </w:rPr>
        <w:t>对象</w:t>
      </w:r>
    </w:p>
    <w:p>
      <w:pPr>
        <w:keepNext w:val="0"/>
        <w:keepLines w:val="0"/>
        <w:pageBreakBefore w:val="0"/>
        <w:widowControl w:val="0"/>
        <w:kinsoku/>
        <w:wordWrap/>
        <w:topLinePunct w:val="0"/>
        <w:bidi w:val="0"/>
        <w:snapToGrid w:val="0"/>
        <w:spacing w:line="400" w:lineRule="exact"/>
        <w:ind w:left="0" w:firstLine="480" w:firstLineChars="200"/>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w:t>
      </w:r>
      <w:r>
        <w:rPr>
          <w:rFonts w:hint="eastAsia" w:ascii="宋体" w:hAnsi="宋体" w:cs="宋体"/>
          <w:b w:val="0"/>
          <w:i w:val="0"/>
          <w:caps w:val="0"/>
          <w:color w:val="auto"/>
          <w:spacing w:val="0"/>
          <w:w w:val="100"/>
          <w:kern w:val="2"/>
          <w:sz w:val="24"/>
          <w:szCs w:val="24"/>
          <w:highlight w:val="none"/>
          <w:lang w:val="en-US" w:eastAsia="zh-CN" w:bidi="ar-SA"/>
        </w:rPr>
        <w:t>服务</w:t>
      </w:r>
      <w:r>
        <w:rPr>
          <w:rFonts w:hint="eastAsia" w:ascii="宋体" w:hAnsi="宋体" w:eastAsia="宋体" w:cs="宋体"/>
          <w:b w:val="0"/>
          <w:i w:val="0"/>
          <w:caps w:val="0"/>
          <w:color w:val="auto"/>
          <w:spacing w:val="0"/>
          <w:w w:val="100"/>
          <w:kern w:val="2"/>
          <w:sz w:val="24"/>
          <w:szCs w:val="24"/>
          <w:highlight w:val="none"/>
          <w:lang w:val="en-US" w:eastAsia="zh-CN" w:bidi="ar-SA"/>
        </w:rPr>
        <w:t>对象为2021—2022学年担任中职或五年制高职前三年级的班主任，且实际带班达3学年以上（不含3学年），共计60人。</w:t>
      </w:r>
    </w:p>
    <w:p>
      <w:pPr>
        <w:pStyle w:val="25"/>
        <w:keepNext w:val="0"/>
        <w:keepLines w:val="0"/>
        <w:pageBreakBefore w:val="0"/>
        <w:widowControl w:val="0"/>
        <w:kinsoku/>
        <w:wordWrap/>
        <w:topLinePunct w:val="0"/>
        <w:bidi w:val="0"/>
        <w:snapToGrid w:val="0"/>
        <w:spacing w:line="400" w:lineRule="exact"/>
        <w:ind w:left="0" w:firstLine="480" w:firstLineChars="200"/>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2.除上述规定外，其他参训对象为现任班主任或担任一年及以上班主任。</w:t>
      </w:r>
    </w:p>
    <w:p>
      <w:pPr>
        <w:pStyle w:val="25"/>
        <w:keepNext w:val="0"/>
        <w:keepLines w:val="0"/>
        <w:pageBreakBefore w:val="0"/>
        <w:widowControl w:val="0"/>
        <w:numPr>
          <w:ilvl w:val="0"/>
          <w:numId w:val="0"/>
        </w:numPr>
        <w:kinsoku/>
        <w:wordWrap/>
        <w:overflowPunct w:val="0"/>
        <w:topLinePunct w:val="0"/>
        <w:autoSpaceDE w:val="0"/>
        <w:autoSpaceDN w:val="0"/>
        <w:bidi w:val="0"/>
        <w:adjustRightInd w:val="0"/>
        <w:snapToGrid/>
        <w:spacing w:line="400" w:lineRule="exact"/>
        <w:ind w:left="0"/>
        <w:jc w:val="both"/>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（二）服务方式</w:t>
      </w:r>
    </w:p>
    <w:p>
      <w:pPr>
        <w:pStyle w:val="25"/>
        <w:keepLines w:val="0"/>
        <w:pageBreakBefore w:val="0"/>
        <w:widowControl w:val="0"/>
        <w:kinsoku/>
        <w:wordWrap/>
        <w:topLinePunct w:val="0"/>
        <w:bidi w:val="0"/>
        <w:spacing w:line="400" w:lineRule="exact"/>
        <w:ind w:left="0" w:firstLine="480" w:firstLineChars="200"/>
        <w:rPr>
          <w:rFonts w:hint="eastAsia" w:ascii="宋体" w:hAnsi="宋体" w:eastAsia="宋体" w:cs="仿宋"/>
          <w:color w:val="000000"/>
          <w:kern w:val="0"/>
          <w:sz w:val="24"/>
          <w:szCs w:val="24"/>
          <w:lang w:val="en-US" w:eastAsia="zh-CN" w:bidi="ar-SA"/>
        </w:rPr>
      </w:pPr>
      <w:r>
        <w:rPr>
          <w:rFonts w:hint="eastAsia" w:ascii="宋体" w:hAnsi="宋体" w:cs="仿宋"/>
          <w:color w:val="000000"/>
          <w:kern w:val="0"/>
          <w:sz w:val="24"/>
          <w:szCs w:val="24"/>
          <w:lang w:val="en-US" w:eastAsia="zh-CN" w:bidi="ar-SA"/>
        </w:rPr>
        <w:t>辅导</w:t>
      </w:r>
      <w:r>
        <w:rPr>
          <w:rFonts w:hint="eastAsia" w:ascii="宋体" w:hAnsi="宋体" w:eastAsia="宋体" w:cs="仿宋"/>
          <w:color w:val="000000"/>
          <w:kern w:val="0"/>
          <w:sz w:val="24"/>
          <w:szCs w:val="24"/>
          <w:lang w:val="en-US" w:eastAsia="zh-CN" w:bidi="ar-SA"/>
        </w:rPr>
        <w:t>方式坚持专家引领、同伴互助、赛训一体，主要采用“实战指导＋模拟训练”相结合的方式。</w:t>
      </w:r>
    </w:p>
    <w:p>
      <w:pPr>
        <w:pStyle w:val="25"/>
        <w:keepNext w:val="0"/>
        <w:keepLines w:val="0"/>
        <w:pageBreakBefore w:val="0"/>
        <w:widowControl w:val="0"/>
        <w:numPr>
          <w:ilvl w:val="0"/>
          <w:numId w:val="4"/>
        </w:numPr>
        <w:kinsoku/>
        <w:wordWrap/>
        <w:overflowPunct w:val="0"/>
        <w:topLinePunct w:val="0"/>
        <w:autoSpaceDE w:val="0"/>
        <w:autoSpaceDN w:val="0"/>
        <w:bidi w:val="0"/>
        <w:adjustRightInd w:val="0"/>
        <w:snapToGrid/>
        <w:spacing w:line="400" w:lineRule="exact"/>
        <w:ind w:left="0" w:leftChars="0" w:firstLineChars="0"/>
        <w:jc w:val="both"/>
        <w:textAlignment w:val="baseline"/>
        <w:rPr>
          <w:rFonts w:hint="eastAsia" w:ascii="宋体" w:hAnsi="宋体" w:eastAsia="宋体" w:cs="宋体"/>
          <w:b/>
          <w:bCs/>
          <w:sz w:val="24"/>
          <w:szCs w:val="24"/>
          <w:lang w:val="en-US" w:eastAsia="zh-CN"/>
        </w:rPr>
      </w:pPr>
      <w:bookmarkStart w:id="2" w:name="_Toc24009"/>
      <w:r>
        <w:rPr>
          <w:rFonts w:hint="eastAsia" w:ascii="宋体" w:hAnsi="宋体" w:eastAsia="宋体" w:cs="宋体"/>
          <w:b/>
          <w:bCs/>
          <w:sz w:val="24"/>
          <w:szCs w:val="24"/>
          <w:lang w:val="en-US" w:eastAsia="zh-CN"/>
        </w:rPr>
        <w:t>服务内容</w:t>
      </w:r>
      <w:bookmarkEnd w:id="2"/>
    </w:p>
    <w:tbl>
      <w:tblPr>
        <w:tblStyle w:val="19"/>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737"/>
        <w:gridCol w:w="1883"/>
        <w:gridCol w:w="3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center"/>
          </w:tcPr>
          <w:p>
            <w:pPr>
              <w:keepNext w:val="0"/>
              <w:keepLines w:val="0"/>
              <w:pageBreakBefore w:val="0"/>
              <w:widowControl w:val="0"/>
              <w:kinsoku/>
              <w:wordWrap/>
              <w:topLinePunct w:val="0"/>
              <w:bidi w:val="0"/>
              <w:spacing w:line="400" w:lineRule="exact"/>
              <w:ind w:left="0"/>
              <w:jc w:val="center"/>
              <w:rPr>
                <w:rFonts w:hint="eastAsia" w:ascii="宋体" w:hAnsi="宋体" w:eastAsia="宋体" w:cs="宋体"/>
                <w:b/>
                <w:sz w:val="24"/>
                <w:lang w:eastAsia="zh-CN"/>
              </w:rPr>
            </w:pPr>
            <w:r>
              <w:rPr>
                <w:rFonts w:hint="eastAsia" w:ascii="宋体" w:hAnsi="宋体" w:eastAsia="宋体" w:cs="宋体"/>
                <w:b/>
                <w:sz w:val="24"/>
                <w:lang w:eastAsia="zh-CN"/>
              </w:rPr>
              <w:t>序号</w:t>
            </w:r>
          </w:p>
        </w:tc>
        <w:tc>
          <w:tcPr>
            <w:tcW w:w="2737" w:type="dxa"/>
            <w:noWrap w:val="0"/>
            <w:vAlign w:val="center"/>
          </w:tcPr>
          <w:p>
            <w:pPr>
              <w:keepNext w:val="0"/>
              <w:keepLines w:val="0"/>
              <w:pageBreakBefore w:val="0"/>
              <w:widowControl w:val="0"/>
              <w:kinsoku/>
              <w:wordWrap/>
              <w:topLinePunct w:val="0"/>
              <w:bidi w:val="0"/>
              <w:spacing w:line="400" w:lineRule="exact"/>
              <w:ind w:left="0"/>
              <w:jc w:val="center"/>
              <w:rPr>
                <w:rFonts w:hint="eastAsia" w:ascii="宋体" w:hAnsi="宋体" w:eastAsia="宋体" w:cs="宋体"/>
                <w:b/>
                <w:sz w:val="24"/>
                <w:lang w:eastAsia="zh-CN"/>
              </w:rPr>
            </w:pPr>
            <w:r>
              <w:rPr>
                <w:rFonts w:hint="eastAsia" w:ascii="宋体" w:hAnsi="宋体" w:cs="宋体"/>
                <w:b/>
                <w:sz w:val="24"/>
                <w:lang w:val="en-US" w:eastAsia="zh-CN"/>
              </w:rPr>
              <w:t>类型</w:t>
            </w:r>
          </w:p>
        </w:tc>
        <w:tc>
          <w:tcPr>
            <w:tcW w:w="1883" w:type="dxa"/>
            <w:noWrap w:val="0"/>
            <w:vAlign w:val="center"/>
          </w:tcPr>
          <w:p>
            <w:pPr>
              <w:keepNext w:val="0"/>
              <w:keepLines w:val="0"/>
              <w:pageBreakBefore w:val="0"/>
              <w:widowControl w:val="0"/>
              <w:kinsoku/>
              <w:wordWrap/>
              <w:topLinePunct w:val="0"/>
              <w:bidi w:val="0"/>
              <w:spacing w:line="400" w:lineRule="exact"/>
              <w:ind w:left="0"/>
              <w:jc w:val="center"/>
              <w:rPr>
                <w:rFonts w:hint="eastAsia" w:ascii="宋体" w:hAnsi="宋体" w:eastAsia="宋体" w:cs="宋体"/>
                <w:b/>
                <w:sz w:val="24"/>
                <w:lang w:eastAsia="zh-CN"/>
              </w:rPr>
            </w:pPr>
            <w:r>
              <w:rPr>
                <w:rFonts w:hint="eastAsia" w:ascii="宋体" w:hAnsi="宋体" w:eastAsia="宋体" w:cs="宋体"/>
                <w:b/>
                <w:sz w:val="24"/>
                <w:lang w:eastAsia="zh-CN"/>
              </w:rPr>
              <w:t>服务项目</w:t>
            </w:r>
          </w:p>
        </w:tc>
        <w:tc>
          <w:tcPr>
            <w:tcW w:w="3472" w:type="dxa"/>
            <w:noWrap w:val="0"/>
            <w:vAlign w:val="center"/>
          </w:tcPr>
          <w:p>
            <w:pPr>
              <w:keepNext w:val="0"/>
              <w:keepLines w:val="0"/>
              <w:pageBreakBefore w:val="0"/>
              <w:widowControl w:val="0"/>
              <w:kinsoku/>
              <w:wordWrap/>
              <w:topLinePunct w:val="0"/>
              <w:bidi w:val="0"/>
              <w:spacing w:line="400" w:lineRule="exact"/>
              <w:ind w:left="0"/>
              <w:jc w:val="center"/>
              <w:rPr>
                <w:rFonts w:hint="eastAsia" w:ascii="宋体" w:hAnsi="宋体" w:eastAsia="宋体" w:cs="宋体"/>
                <w:b/>
                <w:sz w:val="24"/>
                <w:lang w:eastAsia="zh-CN"/>
              </w:rPr>
            </w:pPr>
            <w:r>
              <w:rPr>
                <w:rFonts w:hint="eastAsia" w:ascii="宋体" w:hAnsi="宋体" w:eastAsia="宋体" w:cs="宋体"/>
                <w:b/>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80" w:type="dxa"/>
            <w:vMerge w:val="restart"/>
            <w:noWrap w:val="0"/>
            <w:vAlign w:val="center"/>
          </w:tcPr>
          <w:p>
            <w:pPr>
              <w:keepNext w:val="0"/>
              <w:keepLines w:val="0"/>
              <w:pageBreakBefore w:val="0"/>
              <w:widowControl w:val="0"/>
              <w:kinsoku/>
              <w:wordWrap/>
              <w:topLinePunct w:val="0"/>
              <w:bidi w:val="0"/>
              <w:spacing w:line="400" w:lineRule="exact"/>
              <w:ind w:left="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w:t>
            </w:r>
          </w:p>
        </w:tc>
        <w:tc>
          <w:tcPr>
            <w:tcW w:w="2737" w:type="dxa"/>
            <w:vMerge w:val="restart"/>
            <w:noWrap w:val="0"/>
            <w:vAlign w:val="center"/>
          </w:tcPr>
          <w:p>
            <w:pPr>
              <w:keepNext w:val="0"/>
              <w:keepLines w:val="0"/>
              <w:pageBreakBefore w:val="0"/>
              <w:widowControl w:val="0"/>
              <w:kinsoku/>
              <w:wordWrap/>
              <w:topLinePunct w:val="0"/>
              <w:bidi w:val="0"/>
              <w:spacing w:line="400" w:lineRule="exact"/>
              <w:ind w:left="0"/>
              <w:jc w:val="center"/>
              <w:rPr>
                <w:rFonts w:hint="eastAsia" w:ascii="宋体" w:hAnsi="宋体" w:cs="宋体"/>
                <w:sz w:val="24"/>
                <w:lang w:val="en-US" w:eastAsia="zh-CN"/>
              </w:rPr>
            </w:pPr>
          </w:p>
          <w:p>
            <w:pPr>
              <w:keepNext w:val="0"/>
              <w:keepLines w:val="0"/>
              <w:pageBreakBefore w:val="0"/>
              <w:widowControl w:val="0"/>
              <w:kinsoku/>
              <w:wordWrap/>
              <w:topLinePunct w:val="0"/>
              <w:bidi w:val="0"/>
              <w:spacing w:line="400" w:lineRule="exact"/>
              <w:ind w:left="0"/>
              <w:jc w:val="center"/>
              <w:rPr>
                <w:rFonts w:hint="eastAsia" w:ascii="宋体" w:hAnsi="宋体" w:cs="宋体"/>
                <w:sz w:val="24"/>
                <w:lang w:val="en-US" w:eastAsia="zh-CN"/>
              </w:rPr>
            </w:pPr>
            <w:r>
              <w:rPr>
                <w:rFonts w:hint="eastAsia" w:ascii="宋体" w:hAnsi="宋体" w:cs="宋体"/>
                <w:sz w:val="24"/>
                <w:lang w:val="en-US" w:eastAsia="zh-CN"/>
              </w:rPr>
              <w:t>2022年</w:t>
            </w:r>
            <w:r>
              <w:rPr>
                <w:rFonts w:hint="eastAsia" w:ascii="宋体" w:hAnsi="宋体" w:eastAsia="宋体" w:cs="宋体"/>
                <w:sz w:val="24"/>
                <w:lang w:val="en-US" w:eastAsia="zh-CN"/>
              </w:rPr>
              <w:t>莆田市中等职业学校班主任业务能力提升服务</w:t>
            </w:r>
          </w:p>
          <w:p>
            <w:pPr>
              <w:keepNext w:val="0"/>
              <w:keepLines w:val="0"/>
              <w:pageBreakBefore w:val="0"/>
              <w:widowControl w:val="0"/>
              <w:kinsoku/>
              <w:wordWrap/>
              <w:topLinePunct w:val="0"/>
              <w:bidi w:val="0"/>
              <w:spacing w:line="400" w:lineRule="exact"/>
              <w:ind w:left="0"/>
              <w:jc w:val="center"/>
              <w:rPr>
                <w:rFonts w:hint="eastAsia" w:ascii="宋体" w:hAnsi="宋体" w:eastAsia="宋体" w:cs="宋体"/>
                <w:kern w:val="0"/>
                <w:sz w:val="24"/>
                <w:lang w:eastAsia="zh-CN"/>
              </w:rPr>
            </w:pPr>
          </w:p>
        </w:tc>
        <w:tc>
          <w:tcPr>
            <w:tcW w:w="1883" w:type="dxa"/>
            <w:noWrap w:val="0"/>
            <w:vAlign w:val="center"/>
          </w:tcPr>
          <w:p>
            <w:pPr>
              <w:pStyle w:val="5"/>
              <w:keepLines w:val="0"/>
              <w:pageBreakBefore w:val="0"/>
              <w:widowControl w:val="0"/>
              <w:numPr>
                <w:ilvl w:val="0"/>
                <w:numId w:val="0"/>
              </w:numPr>
              <w:kinsoku/>
              <w:wordWrap/>
              <w:topLinePunct w:val="0"/>
              <w:bidi w:val="0"/>
              <w:spacing w:line="400" w:lineRule="exact"/>
              <w:ind w:left="0" w:leftChars="0" w:firstLine="0" w:firstLineChars="0"/>
              <w:jc w:val="center"/>
              <w:rPr>
                <w:rFonts w:hint="default" w:ascii="宋体" w:hAnsi="宋体" w:cs="宋体"/>
                <w:sz w:val="24"/>
                <w:highlight w:val="yellow"/>
                <w:lang w:val="en-US" w:eastAsia="zh-CN"/>
              </w:rPr>
            </w:pPr>
            <w:r>
              <w:rPr>
                <w:rFonts w:hint="eastAsia" w:ascii="宋体" w:hAnsi="宋体" w:cs="宋体"/>
                <w:bCs/>
                <w:sz w:val="24"/>
                <w:highlight w:val="none"/>
                <w:lang w:val="en-US" w:eastAsia="zh-CN"/>
              </w:rPr>
              <w:t>专家讲座</w:t>
            </w:r>
          </w:p>
        </w:tc>
        <w:tc>
          <w:tcPr>
            <w:tcW w:w="3472" w:type="dxa"/>
            <w:noWrap w:val="0"/>
            <w:vAlign w:val="center"/>
          </w:tcPr>
          <w:p>
            <w:pPr>
              <w:keepNext w:val="0"/>
              <w:keepLines w:val="0"/>
              <w:pageBreakBefore w:val="0"/>
              <w:widowControl w:val="0"/>
              <w:kinsoku/>
              <w:wordWrap/>
              <w:topLinePunct w:val="0"/>
              <w:bidi w:val="0"/>
              <w:spacing w:line="400" w:lineRule="exact"/>
              <w:ind w:left="0"/>
              <w:jc w:val="center"/>
              <w:rPr>
                <w:rFonts w:hint="default" w:ascii="宋体" w:hAnsi="宋体" w:eastAsia="宋体" w:cs="宋体"/>
                <w:bCs/>
                <w:sz w:val="24"/>
                <w:lang w:val="en-US" w:eastAsia="zh-CN"/>
              </w:rPr>
            </w:pPr>
            <w:r>
              <w:rPr>
                <w:rFonts w:hint="eastAsia" w:ascii="宋体" w:hAnsi="宋体" w:cs="宋体"/>
                <w:bCs/>
                <w:sz w:val="24"/>
                <w:lang w:val="en-US" w:eastAsia="zh-CN"/>
              </w:rPr>
              <w:t>合计辅导天数不少于4天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80" w:type="dxa"/>
            <w:vMerge w:val="continue"/>
            <w:noWrap w:val="0"/>
            <w:vAlign w:val="center"/>
          </w:tcPr>
          <w:p>
            <w:pPr>
              <w:keepNext w:val="0"/>
              <w:keepLines w:val="0"/>
              <w:pageBreakBefore w:val="0"/>
              <w:widowControl w:val="0"/>
              <w:kinsoku/>
              <w:wordWrap/>
              <w:topLinePunct w:val="0"/>
              <w:bidi w:val="0"/>
              <w:spacing w:line="400" w:lineRule="exact"/>
              <w:ind w:left="0"/>
              <w:jc w:val="center"/>
              <w:rPr>
                <w:rFonts w:hint="eastAsia" w:ascii="宋体" w:hAnsi="宋体" w:cs="宋体"/>
                <w:kern w:val="0"/>
                <w:sz w:val="24"/>
                <w:lang w:val="en-US" w:eastAsia="zh-CN"/>
              </w:rPr>
            </w:pPr>
          </w:p>
        </w:tc>
        <w:tc>
          <w:tcPr>
            <w:tcW w:w="2737" w:type="dxa"/>
            <w:vMerge w:val="continue"/>
            <w:noWrap w:val="0"/>
            <w:vAlign w:val="center"/>
          </w:tcPr>
          <w:p>
            <w:pPr>
              <w:keepNext w:val="0"/>
              <w:keepLines w:val="0"/>
              <w:pageBreakBefore w:val="0"/>
              <w:widowControl w:val="0"/>
              <w:kinsoku/>
              <w:wordWrap/>
              <w:topLinePunct w:val="0"/>
              <w:bidi w:val="0"/>
              <w:spacing w:line="400" w:lineRule="exact"/>
              <w:ind w:left="0"/>
              <w:jc w:val="center"/>
              <w:rPr>
                <w:rFonts w:hint="eastAsia" w:ascii="宋体" w:hAnsi="宋体" w:cs="宋体"/>
                <w:sz w:val="24"/>
                <w:lang w:eastAsia="zh-CN"/>
              </w:rPr>
            </w:pPr>
          </w:p>
        </w:tc>
        <w:tc>
          <w:tcPr>
            <w:tcW w:w="1883" w:type="dxa"/>
            <w:noWrap w:val="0"/>
            <w:vAlign w:val="center"/>
          </w:tcPr>
          <w:p>
            <w:pPr>
              <w:pStyle w:val="5"/>
              <w:keepLines w:val="0"/>
              <w:pageBreakBefore w:val="0"/>
              <w:widowControl w:val="0"/>
              <w:numPr>
                <w:ilvl w:val="0"/>
                <w:numId w:val="0"/>
              </w:numPr>
              <w:kinsoku/>
              <w:wordWrap/>
              <w:topLinePunct w:val="0"/>
              <w:bidi w:val="0"/>
              <w:spacing w:line="400" w:lineRule="exact"/>
              <w:ind w:left="0" w:leftChars="0" w:firstLine="0" w:firstLineChars="0"/>
              <w:jc w:val="center"/>
              <w:rPr>
                <w:rFonts w:hint="default" w:ascii="宋体" w:hAnsi="宋体" w:cs="宋体"/>
                <w:sz w:val="24"/>
                <w:highlight w:val="none"/>
                <w:lang w:val="en-US" w:eastAsia="zh-CN"/>
              </w:rPr>
            </w:pPr>
            <w:r>
              <w:rPr>
                <w:rFonts w:hint="eastAsia" w:ascii="宋体" w:hAnsi="宋体" w:cs="宋体"/>
                <w:sz w:val="24"/>
                <w:highlight w:val="none"/>
              </w:rPr>
              <w:t>模拟</w:t>
            </w:r>
            <w:r>
              <w:rPr>
                <w:rFonts w:hint="eastAsia" w:ascii="宋体" w:hAnsi="宋体" w:cs="宋体"/>
                <w:sz w:val="24"/>
                <w:highlight w:val="none"/>
                <w:lang w:eastAsia="zh-CN"/>
              </w:rPr>
              <w:t>省赛</w:t>
            </w:r>
            <w:r>
              <w:rPr>
                <w:rFonts w:hint="eastAsia" w:ascii="宋体" w:hAnsi="宋体" w:cs="宋体"/>
                <w:sz w:val="24"/>
                <w:highlight w:val="none"/>
                <w:lang w:val="en-US" w:eastAsia="zh-CN"/>
              </w:rPr>
              <w:t>决赛现场答辩辅导</w:t>
            </w:r>
          </w:p>
        </w:tc>
        <w:tc>
          <w:tcPr>
            <w:tcW w:w="3472" w:type="dxa"/>
            <w:noWrap w:val="0"/>
            <w:vAlign w:val="center"/>
          </w:tcPr>
          <w:p>
            <w:pPr>
              <w:keepNext w:val="0"/>
              <w:keepLines w:val="0"/>
              <w:pageBreakBefore w:val="0"/>
              <w:widowControl w:val="0"/>
              <w:kinsoku/>
              <w:wordWrap/>
              <w:topLinePunct w:val="0"/>
              <w:bidi w:val="0"/>
              <w:spacing w:line="400" w:lineRule="exact"/>
              <w:ind w:left="0"/>
              <w:jc w:val="center"/>
              <w:rPr>
                <w:rFonts w:hint="default" w:ascii="宋体" w:hAnsi="宋体" w:cs="宋体"/>
                <w:bCs/>
                <w:sz w:val="24"/>
                <w:lang w:val="en-US" w:eastAsia="zh-CN"/>
              </w:rPr>
            </w:pPr>
            <w:r>
              <w:rPr>
                <w:rFonts w:hint="eastAsia" w:ascii="宋体" w:hAnsi="宋体" w:cs="宋体"/>
                <w:bCs/>
                <w:sz w:val="24"/>
                <w:lang w:val="en-US" w:eastAsia="zh-CN"/>
              </w:rPr>
              <w:t>合计辅导天数不少于2天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center"/>
          </w:tcPr>
          <w:p>
            <w:pPr>
              <w:keepNext w:val="0"/>
              <w:keepLines w:val="0"/>
              <w:pageBreakBefore w:val="0"/>
              <w:widowControl w:val="0"/>
              <w:kinsoku/>
              <w:wordWrap/>
              <w:topLinePunct w:val="0"/>
              <w:bidi w:val="0"/>
              <w:spacing w:line="400" w:lineRule="exact"/>
              <w:ind w:left="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w:t>
            </w:r>
          </w:p>
        </w:tc>
        <w:tc>
          <w:tcPr>
            <w:tcW w:w="2737" w:type="dxa"/>
            <w:vMerge w:val="continue"/>
            <w:noWrap w:val="0"/>
            <w:vAlign w:val="center"/>
          </w:tcPr>
          <w:p>
            <w:pPr>
              <w:keepNext w:val="0"/>
              <w:keepLines w:val="0"/>
              <w:pageBreakBefore w:val="0"/>
              <w:widowControl w:val="0"/>
              <w:kinsoku/>
              <w:wordWrap/>
              <w:topLinePunct w:val="0"/>
              <w:bidi w:val="0"/>
              <w:spacing w:line="400" w:lineRule="exact"/>
              <w:ind w:left="0"/>
              <w:jc w:val="center"/>
              <w:rPr>
                <w:rFonts w:hint="eastAsia" w:ascii="宋体" w:hAnsi="宋体" w:eastAsia="宋体" w:cs="宋体"/>
                <w:kern w:val="0"/>
                <w:sz w:val="24"/>
                <w:lang w:eastAsia="zh-CN"/>
              </w:rPr>
            </w:pPr>
          </w:p>
        </w:tc>
        <w:tc>
          <w:tcPr>
            <w:tcW w:w="1883" w:type="dxa"/>
            <w:noWrap w:val="0"/>
            <w:vAlign w:val="center"/>
          </w:tcPr>
          <w:p>
            <w:pPr>
              <w:pStyle w:val="5"/>
              <w:keepLines w:val="0"/>
              <w:pageBreakBefore w:val="0"/>
              <w:widowControl w:val="0"/>
              <w:numPr>
                <w:ilvl w:val="0"/>
                <w:numId w:val="0"/>
              </w:numPr>
              <w:kinsoku/>
              <w:wordWrap/>
              <w:topLinePunct w:val="0"/>
              <w:bidi w:val="0"/>
              <w:spacing w:line="400" w:lineRule="exact"/>
              <w:ind w:left="0" w:leftChars="0" w:firstLine="0" w:firstLineChars="0"/>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作品评审、遴选</w:t>
            </w:r>
          </w:p>
        </w:tc>
        <w:tc>
          <w:tcPr>
            <w:tcW w:w="3472" w:type="dxa"/>
            <w:noWrap w:val="0"/>
            <w:vAlign w:val="center"/>
          </w:tcPr>
          <w:p>
            <w:pPr>
              <w:pStyle w:val="5"/>
              <w:keepLines w:val="0"/>
              <w:pageBreakBefore w:val="0"/>
              <w:widowControl w:val="0"/>
              <w:numPr>
                <w:ilvl w:val="0"/>
                <w:numId w:val="0"/>
              </w:numPr>
              <w:kinsoku/>
              <w:wordWrap/>
              <w:topLinePunct w:val="0"/>
              <w:bidi w:val="0"/>
              <w:spacing w:line="400" w:lineRule="exact"/>
              <w:ind w:left="0" w:leftChars="0" w:firstLine="0" w:firstLineChars="0"/>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评审作品60份，4人分别评审打分，取平均分，且在答辩辅导后根据综合成绩遴选优秀作品</w:t>
            </w:r>
          </w:p>
        </w:tc>
      </w:tr>
    </w:tbl>
    <w:p>
      <w:pPr>
        <w:pStyle w:val="25"/>
        <w:keepNext w:val="0"/>
        <w:keepLines w:val="0"/>
        <w:pageBreakBefore w:val="0"/>
        <w:widowControl w:val="0"/>
        <w:numPr>
          <w:ilvl w:val="0"/>
          <w:numId w:val="0"/>
        </w:numPr>
        <w:kinsoku/>
        <w:wordWrap/>
        <w:overflowPunct w:val="0"/>
        <w:topLinePunct w:val="0"/>
        <w:autoSpaceDE w:val="0"/>
        <w:autoSpaceDN w:val="0"/>
        <w:bidi w:val="0"/>
        <w:adjustRightInd w:val="0"/>
        <w:snapToGrid/>
        <w:spacing w:line="400" w:lineRule="exact"/>
        <w:ind w:left="0"/>
        <w:jc w:val="both"/>
        <w:textAlignment w:val="baseline"/>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（四）技术要求</w:t>
      </w:r>
    </w:p>
    <w:tbl>
      <w:tblPr>
        <w:tblStyle w:val="19"/>
        <w:tblW w:w="8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395"/>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noWrap w:val="0"/>
            <w:vAlign w:val="center"/>
          </w:tcPr>
          <w:p>
            <w:pPr>
              <w:keepNext w:val="0"/>
              <w:keepLines w:val="0"/>
              <w:pageBreakBefore w:val="0"/>
              <w:widowControl w:val="0"/>
              <w:kinsoku/>
              <w:wordWrap/>
              <w:topLinePunct w:val="0"/>
              <w:bidi w:val="0"/>
              <w:spacing w:line="400" w:lineRule="exact"/>
              <w:ind w:left="0"/>
              <w:jc w:val="center"/>
              <w:rPr>
                <w:rFonts w:hint="eastAsia" w:ascii="宋体" w:hAnsi="宋体" w:eastAsia="宋体" w:cs="宋体"/>
                <w:b/>
                <w:sz w:val="24"/>
                <w:lang w:eastAsia="zh-CN"/>
              </w:rPr>
            </w:pPr>
            <w:r>
              <w:rPr>
                <w:rFonts w:hint="eastAsia" w:ascii="宋体" w:hAnsi="宋体" w:eastAsia="宋体" w:cs="宋体"/>
                <w:b/>
                <w:sz w:val="24"/>
                <w:lang w:eastAsia="zh-CN"/>
              </w:rPr>
              <w:t>序号</w:t>
            </w:r>
          </w:p>
        </w:tc>
        <w:tc>
          <w:tcPr>
            <w:tcW w:w="1395" w:type="dxa"/>
            <w:noWrap w:val="0"/>
            <w:vAlign w:val="center"/>
          </w:tcPr>
          <w:p>
            <w:pPr>
              <w:keepNext w:val="0"/>
              <w:keepLines w:val="0"/>
              <w:pageBreakBefore w:val="0"/>
              <w:widowControl w:val="0"/>
              <w:kinsoku/>
              <w:wordWrap/>
              <w:topLinePunct w:val="0"/>
              <w:bidi w:val="0"/>
              <w:spacing w:line="400" w:lineRule="exact"/>
              <w:ind w:left="0"/>
              <w:jc w:val="center"/>
              <w:rPr>
                <w:rFonts w:hint="eastAsia" w:ascii="宋体" w:hAnsi="宋体" w:eastAsia="宋体" w:cs="宋体"/>
                <w:b/>
                <w:sz w:val="24"/>
                <w:lang w:eastAsia="zh-CN"/>
              </w:rPr>
            </w:pPr>
            <w:r>
              <w:rPr>
                <w:rFonts w:hint="eastAsia" w:ascii="宋体" w:hAnsi="宋体" w:eastAsia="宋体" w:cs="宋体"/>
                <w:b/>
                <w:sz w:val="24"/>
                <w:lang w:eastAsia="zh-CN"/>
              </w:rPr>
              <w:t>服务项目</w:t>
            </w:r>
          </w:p>
        </w:tc>
        <w:tc>
          <w:tcPr>
            <w:tcW w:w="6474" w:type="dxa"/>
            <w:noWrap w:val="0"/>
            <w:vAlign w:val="center"/>
          </w:tcPr>
          <w:p>
            <w:pPr>
              <w:keepNext w:val="0"/>
              <w:keepLines w:val="0"/>
              <w:pageBreakBefore w:val="0"/>
              <w:widowControl w:val="0"/>
              <w:kinsoku/>
              <w:wordWrap/>
              <w:topLinePunct w:val="0"/>
              <w:bidi w:val="0"/>
              <w:spacing w:line="400" w:lineRule="exact"/>
              <w:ind w:left="0"/>
              <w:jc w:val="center"/>
              <w:rPr>
                <w:rFonts w:hint="eastAsia" w:ascii="宋体" w:hAnsi="宋体" w:eastAsia="宋体" w:cs="宋体"/>
                <w:b/>
                <w:sz w:val="24"/>
                <w:lang w:eastAsia="zh-CN"/>
              </w:rPr>
            </w:pPr>
            <w:r>
              <w:rPr>
                <w:rFonts w:hint="eastAsia" w:ascii="宋体" w:hAnsi="宋体" w:eastAsia="宋体" w:cs="宋体"/>
                <w:b/>
                <w:sz w:val="24"/>
                <w:lang w:eastAsia="zh-CN"/>
              </w:rPr>
              <w:t>达到要求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noWrap w:val="0"/>
            <w:vAlign w:val="center"/>
          </w:tcPr>
          <w:p>
            <w:pPr>
              <w:keepNext w:val="0"/>
              <w:keepLines w:val="0"/>
              <w:pageBreakBefore w:val="0"/>
              <w:widowControl w:val="0"/>
              <w:kinsoku/>
              <w:wordWrap/>
              <w:topLinePunct w:val="0"/>
              <w:bidi w:val="0"/>
              <w:spacing w:line="400" w:lineRule="exact"/>
              <w:ind w:left="0"/>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1395" w:type="dxa"/>
            <w:noWrap w:val="0"/>
            <w:vAlign w:val="center"/>
          </w:tcPr>
          <w:p>
            <w:pPr>
              <w:pStyle w:val="5"/>
              <w:keepLines w:val="0"/>
              <w:pageBreakBefore w:val="0"/>
              <w:widowControl w:val="0"/>
              <w:numPr>
                <w:ilvl w:val="0"/>
                <w:numId w:val="0"/>
              </w:numPr>
              <w:kinsoku/>
              <w:wordWrap/>
              <w:topLinePunct w:val="0"/>
              <w:bidi w:val="0"/>
              <w:spacing w:line="400" w:lineRule="exact"/>
              <w:ind w:left="0" w:leftChars="0" w:firstLine="0" w:firstLineChars="0"/>
              <w:jc w:val="center"/>
              <w:rPr>
                <w:rFonts w:hint="default" w:ascii="宋体" w:hAnsi="宋体" w:cs="宋体"/>
                <w:sz w:val="24"/>
                <w:lang w:val="en-US" w:eastAsia="zh-CN"/>
              </w:rPr>
            </w:pPr>
            <w:r>
              <w:rPr>
                <w:rFonts w:hint="eastAsia" w:ascii="宋体" w:hAnsi="宋体" w:cs="宋体"/>
                <w:bCs/>
                <w:sz w:val="24"/>
                <w:lang w:val="en-US" w:eastAsia="zh-CN"/>
              </w:rPr>
              <w:t>专家讲座</w:t>
            </w:r>
          </w:p>
        </w:tc>
        <w:tc>
          <w:tcPr>
            <w:tcW w:w="6474" w:type="dxa"/>
            <w:noWrap w:val="0"/>
            <w:vAlign w:val="center"/>
          </w:tcPr>
          <w:p>
            <w:pPr>
              <w:pStyle w:val="5"/>
              <w:keepLines w:val="0"/>
              <w:pageBreakBefore w:val="0"/>
              <w:widowControl w:val="0"/>
              <w:numPr>
                <w:ilvl w:val="0"/>
                <w:numId w:val="0"/>
              </w:numPr>
              <w:kinsoku/>
              <w:wordWrap/>
              <w:topLinePunct w:val="0"/>
              <w:bidi w:val="0"/>
              <w:spacing w:line="400" w:lineRule="exact"/>
              <w:ind w:left="0" w:leftChars="0" w:firstLine="0" w:firstLineChars="0"/>
              <w:jc w:val="both"/>
              <w:rPr>
                <w:rFonts w:hint="default" w:ascii="宋体" w:hAnsi="宋体" w:eastAsia="宋体" w:cs="宋体"/>
                <w:bCs/>
                <w:sz w:val="24"/>
                <w:lang w:val="en-US" w:eastAsia="zh-CN"/>
              </w:rPr>
            </w:pPr>
            <w:r>
              <w:rPr>
                <w:rFonts w:hint="eastAsia" w:ascii="宋体" w:hAnsi="宋体" w:cs="宋体"/>
                <w:bCs/>
                <w:sz w:val="24"/>
                <w:lang w:val="en-US" w:eastAsia="zh-CN"/>
              </w:rPr>
              <w:t>4天讲座，所邀专家不少于5人，要求不少于4名专家为副高及以上职称，且其中不少于4人是近两年班主任业务能力比赛省赛或国赛专家评委，其余专家为国赛一等奖获得者。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noWrap w:val="0"/>
            <w:vAlign w:val="center"/>
          </w:tcPr>
          <w:p>
            <w:pPr>
              <w:keepNext w:val="0"/>
              <w:keepLines w:val="0"/>
              <w:pageBreakBefore w:val="0"/>
              <w:widowControl w:val="0"/>
              <w:kinsoku/>
              <w:wordWrap/>
              <w:topLinePunct w:val="0"/>
              <w:bidi w:val="0"/>
              <w:spacing w:line="400" w:lineRule="exact"/>
              <w:ind w:left="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w:t>
            </w:r>
          </w:p>
        </w:tc>
        <w:tc>
          <w:tcPr>
            <w:tcW w:w="1395" w:type="dxa"/>
            <w:noWrap w:val="0"/>
            <w:vAlign w:val="center"/>
          </w:tcPr>
          <w:p>
            <w:pPr>
              <w:pStyle w:val="5"/>
              <w:keepLines w:val="0"/>
              <w:pageBreakBefore w:val="0"/>
              <w:widowControl w:val="0"/>
              <w:numPr>
                <w:ilvl w:val="0"/>
                <w:numId w:val="0"/>
              </w:numPr>
              <w:kinsoku/>
              <w:wordWrap/>
              <w:topLinePunct w:val="0"/>
              <w:bidi w:val="0"/>
              <w:spacing w:line="400" w:lineRule="exact"/>
              <w:ind w:left="0" w:leftChars="0" w:firstLine="0" w:firstLineChars="0"/>
              <w:jc w:val="center"/>
              <w:rPr>
                <w:rFonts w:hint="default" w:ascii="宋体" w:hAnsi="宋体" w:cs="宋体"/>
                <w:bCs/>
                <w:sz w:val="24"/>
                <w:lang w:val="en-US" w:eastAsia="zh-CN"/>
              </w:rPr>
            </w:pPr>
            <w:r>
              <w:rPr>
                <w:rFonts w:hint="eastAsia" w:ascii="宋体" w:hAnsi="宋体" w:cs="宋体"/>
                <w:bCs/>
                <w:sz w:val="24"/>
                <w:lang w:val="en-US" w:eastAsia="zh-CN"/>
              </w:rPr>
              <w:t>线上作品评审</w:t>
            </w:r>
          </w:p>
        </w:tc>
        <w:tc>
          <w:tcPr>
            <w:tcW w:w="6474" w:type="dxa"/>
            <w:noWrap w:val="0"/>
            <w:vAlign w:val="center"/>
          </w:tcPr>
          <w:p>
            <w:pPr>
              <w:pStyle w:val="5"/>
              <w:keepLines w:val="0"/>
              <w:pageBreakBefore w:val="0"/>
              <w:widowControl w:val="0"/>
              <w:numPr>
                <w:ilvl w:val="0"/>
                <w:numId w:val="0"/>
              </w:numPr>
              <w:kinsoku/>
              <w:wordWrap/>
              <w:topLinePunct w:val="0"/>
              <w:bidi w:val="0"/>
              <w:spacing w:line="400" w:lineRule="exact"/>
              <w:ind w:left="0" w:leftChars="0" w:firstLine="0" w:firstLineChars="0"/>
              <w:jc w:val="both"/>
              <w:rPr>
                <w:rFonts w:hint="default"/>
                <w:sz w:val="24"/>
                <w:lang w:val="en-US" w:eastAsia="zh-CN"/>
              </w:rPr>
            </w:pPr>
            <w:r>
              <w:rPr>
                <w:rFonts w:hint="eastAsia"/>
                <w:sz w:val="24"/>
                <w:lang w:val="en-US" w:eastAsia="zh-CN"/>
              </w:rPr>
              <w:t>60份作品评审，四人分别打分，取平均分为最终成绩。所邀评审专家四人，专家职称不低于副高级职称，且必须为近两年来班主任业务能力比赛</w:t>
            </w:r>
            <w:r>
              <w:rPr>
                <w:rFonts w:hint="eastAsia" w:ascii="宋体" w:hAnsi="宋体" w:cs="宋体"/>
                <w:bCs/>
                <w:sz w:val="24"/>
                <w:lang w:val="en-US" w:eastAsia="zh-CN"/>
              </w:rPr>
              <w:t>省赛或国赛专家评委。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noWrap w:val="0"/>
            <w:vAlign w:val="center"/>
          </w:tcPr>
          <w:p>
            <w:pPr>
              <w:keepNext w:val="0"/>
              <w:keepLines w:val="0"/>
              <w:pageBreakBefore w:val="0"/>
              <w:widowControl w:val="0"/>
              <w:kinsoku/>
              <w:wordWrap/>
              <w:topLinePunct w:val="0"/>
              <w:bidi w:val="0"/>
              <w:spacing w:line="400" w:lineRule="exact"/>
              <w:ind w:left="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w:t>
            </w:r>
          </w:p>
        </w:tc>
        <w:tc>
          <w:tcPr>
            <w:tcW w:w="1395" w:type="dxa"/>
            <w:noWrap w:val="0"/>
            <w:vAlign w:val="center"/>
          </w:tcPr>
          <w:p>
            <w:pPr>
              <w:pStyle w:val="5"/>
              <w:keepLines w:val="0"/>
              <w:pageBreakBefore w:val="0"/>
              <w:widowControl w:val="0"/>
              <w:numPr>
                <w:ilvl w:val="0"/>
                <w:numId w:val="0"/>
              </w:numPr>
              <w:kinsoku/>
              <w:wordWrap/>
              <w:topLinePunct w:val="0"/>
              <w:bidi w:val="0"/>
              <w:spacing w:line="400" w:lineRule="exact"/>
              <w:ind w:left="0" w:leftChars="0" w:firstLine="0" w:firstLineChars="0"/>
              <w:jc w:val="center"/>
              <w:rPr>
                <w:rFonts w:hint="default" w:ascii="宋体" w:hAnsi="宋体" w:eastAsia="宋体" w:cs="宋体"/>
                <w:sz w:val="24"/>
                <w:lang w:val="en-US" w:eastAsia="zh-CN"/>
              </w:rPr>
            </w:pPr>
            <w:r>
              <w:rPr>
                <w:rFonts w:hint="eastAsia" w:ascii="宋体" w:hAnsi="宋体" w:cs="宋体"/>
                <w:sz w:val="24"/>
                <w:highlight w:val="none"/>
              </w:rPr>
              <w:t>模拟</w:t>
            </w:r>
            <w:r>
              <w:rPr>
                <w:rFonts w:hint="eastAsia" w:ascii="宋体" w:hAnsi="宋体" w:cs="宋体"/>
                <w:sz w:val="24"/>
                <w:highlight w:val="none"/>
                <w:lang w:eastAsia="zh-CN"/>
              </w:rPr>
              <w:t>省赛</w:t>
            </w:r>
            <w:r>
              <w:rPr>
                <w:rFonts w:hint="eastAsia" w:ascii="宋体" w:hAnsi="宋体" w:cs="宋体"/>
                <w:sz w:val="24"/>
                <w:highlight w:val="none"/>
                <w:lang w:val="en-US" w:eastAsia="zh-CN"/>
              </w:rPr>
              <w:t>决赛现场答辩辅导</w:t>
            </w:r>
          </w:p>
        </w:tc>
        <w:tc>
          <w:tcPr>
            <w:tcW w:w="6474" w:type="dxa"/>
            <w:noWrap w:val="0"/>
            <w:vAlign w:val="center"/>
          </w:tcPr>
          <w:p>
            <w:pPr>
              <w:pStyle w:val="5"/>
              <w:keepLines w:val="0"/>
              <w:pageBreakBefore w:val="0"/>
              <w:widowControl w:val="0"/>
              <w:numPr>
                <w:ilvl w:val="0"/>
                <w:numId w:val="0"/>
              </w:numPr>
              <w:kinsoku/>
              <w:wordWrap/>
              <w:topLinePunct w:val="0"/>
              <w:bidi w:val="0"/>
              <w:spacing w:line="400" w:lineRule="exact"/>
              <w:ind w:left="0" w:leftChars="0" w:firstLine="0" w:firstLineChars="0"/>
              <w:jc w:val="both"/>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两天答辩，</w:t>
            </w:r>
            <w:r>
              <w:rPr>
                <w:rFonts w:hint="eastAsia" w:ascii="宋体" w:hAnsi="宋体" w:cs="宋体"/>
                <w:sz w:val="24"/>
                <w:highlight w:val="none"/>
              </w:rPr>
              <w:t>聘请</w:t>
            </w:r>
            <w:r>
              <w:rPr>
                <w:rFonts w:hint="eastAsia" w:ascii="宋体" w:hAnsi="宋体" w:cs="宋体"/>
                <w:sz w:val="24"/>
                <w:highlight w:val="none"/>
                <w:lang w:val="en-US" w:eastAsia="zh-CN"/>
              </w:rPr>
              <w:t>三名</w:t>
            </w:r>
            <w:r>
              <w:rPr>
                <w:rFonts w:hint="eastAsia" w:ascii="宋体" w:hAnsi="宋体" w:cs="宋体"/>
                <w:sz w:val="24"/>
                <w:highlight w:val="none"/>
              </w:rPr>
              <w:t>专家开展</w:t>
            </w:r>
            <w:r>
              <w:rPr>
                <w:rFonts w:hint="eastAsia" w:ascii="宋体" w:hAnsi="宋体" w:cs="宋体"/>
                <w:sz w:val="24"/>
                <w:highlight w:val="none"/>
                <w:lang w:val="en-US" w:eastAsia="zh-CN"/>
              </w:rPr>
              <w:t>决赛</w:t>
            </w:r>
            <w:r>
              <w:rPr>
                <w:rFonts w:hint="eastAsia" w:ascii="宋体" w:hAnsi="宋体" w:cs="宋体"/>
                <w:sz w:val="24"/>
                <w:highlight w:val="none"/>
              </w:rPr>
              <w:t>现场答辩模拟演练，对教师</w:t>
            </w:r>
            <w:r>
              <w:rPr>
                <w:rFonts w:hint="eastAsia" w:ascii="宋体" w:hAnsi="宋体" w:cs="宋体"/>
                <w:sz w:val="24"/>
                <w:highlight w:val="none"/>
                <w:lang w:val="en-US" w:eastAsia="zh-CN"/>
              </w:rPr>
              <w:t>答辩能力、</w:t>
            </w:r>
            <w:r>
              <w:rPr>
                <w:rFonts w:hint="eastAsia" w:ascii="宋体" w:hAnsi="宋体" w:cs="宋体"/>
                <w:sz w:val="24"/>
                <w:highlight w:val="none"/>
              </w:rPr>
              <w:t>现场</w:t>
            </w:r>
            <w:r>
              <w:rPr>
                <w:rFonts w:hint="eastAsia" w:ascii="宋体" w:hAnsi="宋体" w:cs="宋体"/>
                <w:sz w:val="24"/>
                <w:highlight w:val="none"/>
                <w:lang w:val="en-US" w:eastAsia="zh-CN"/>
              </w:rPr>
              <w:t>抽取题目展示</w:t>
            </w:r>
            <w:r>
              <w:rPr>
                <w:rFonts w:hint="eastAsia" w:ascii="宋体" w:hAnsi="宋体" w:cs="宋体"/>
                <w:sz w:val="24"/>
                <w:highlight w:val="none"/>
              </w:rPr>
              <w:t>等方面进行指导</w:t>
            </w:r>
            <w:r>
              <w:rPr>
                <w:rFonts w:hint="eastAsia" w:ascii="宋体" w:hAnsi="宋体" w:cs="宋体"/>
                <w:sz w:val="24"/>
                <w:highlight w:val="none"/>
                <w:lang w:val="en-US" w:eastAsia="zh-CN"/>
              </w:rPr>
              <w:t>和辅导</w:t>
            </w:r>
            <w:r>
              <w:rPr>
                <w:rFonts w:hint="eastAsia" w:ascii="宋体" w:hAnsi="宋体" w:cs="宋体"/>
                <w:sz w:val="24"/>
                <w:highlight w:val="none"/>
              </w:rPr>
              <w:t>。</w:t>
            </w:r>
            <w:r>
              <w:rPr>
                <w:rFonts w:hint="eastAsia" w:ascii="宋体" w:hAnsi="宋体" w:cs="宋体"/>
                <w:sz w:val="24"/>
                <w:highlight w:val="none"/>
                <w:lang w:val="en-US" w:eastAsia="zh-CN"/>
              </w:rPr>
              <w:t>所邀专家</w:t>
            </w:r>
            <w:r>
              <w:rPr>
                <w:rFonts w:hint="eastAsia"/>
                <w:sz w:val="24"/>
                <w:lang w:val="en-US" w:eastAsia="zh-CN"/>
              </w:rPr>
              <w:t>专家职称不低于副高级职称，且必须为近两年来班主任业务能力比赛</w:t>
            </w:r>
            <w:r>
              <w:rPr>
                <w:rFonts w:hint="eastAsia" w:ascii="宋体" w:hAnsi="宋体" w:cs="宋体"/>
                <w:bCs/>
                <w:sz w:val="24"/>
                <w:lang w:val="en-US" w:eastAsia="zh-CN"/>
              </w:rPr>
              <w:t>省赛、国赛专家评委。</w:t>
            </w:r>
          </w:p>
        </w:tc>
      </w:tr>
    </w:tbl>
    <w:p>
      <w:pPr>
        <w:pStyle w:val="25"/>
        <w:keepNext w:val="0"/>
        <w:keepLines w:val="0"/>
        <w:pageBreakBefore w:val="0"/>
        <w:widowControl w:val="0"/>
        <w:numPr>
          <w:ilvl w:val="0"/>
          <w:numId w:val="0"/>
        </w:numPr>
        <w:kinsoku/>
        <w:wordWrap/>
        <w:overflowPunct w:val="0"/>
        <w:topLinePunct w:val="0"/>
        <w:autoSpaceDE w:val="0"/>
        <w:autoSpaceDN w:val="0"/>
        <w:bidi w:val="0"/>
        <w:adjustRightInd w:val="0"/>
        <w:snapToGrid/>
        <w:spacing w:line="400" w:lineRule="exact"/>
        <w:ind w:left="0"/>
        <w:jc w:val="both"/>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五</w:t>
      </w:r>
      <w:r>
        <w:rPr>
          <w:rFonts w:hint="eastAsia" w:ascii="宋体" w:hAnsi="宋体" w:eastAsia="宋体" w:cs="宋体"/>
          <w:b/>
          <w:bCs/>
          <w:sz w:val="24"/>
          <w:szCs w:val="24"/>
          <w:lang w:val="en-US" w:eastAsia="zh-CN"/>
        </w:rPr>
        <w:t>）实施内容进度安排计划</w:t>
      </w:r>
    </w:p>
    <w:tbl>
      <w:tblPr>
        <w:tblStyle w:val="19"/>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4575"/>
        <w:gridCol w:w="1462"/>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noWrap w:val="0"/>
            <w:vAlign w:val="center"/>
          </w:tcPr>
          <w:p>
            <w:pPr>
              <w:keepLines w:val="0"/>
              <w:pageBreakBefore w:val="0"/>
              <w:widowControl w:val="0"/>
              <w:kinsoku/>
              <w:wordWrap/>
              <w:topLinePunct w:val="0"/>
              <w:bidi w:val="0"/>
              <w:spacing w:line="400" w:lineRule="exact"/>
              <w:ind w:left="0"/>
              <w:jc w:val="center"/>
              <w:rPr>
                <w:rFonts w:hint="eastAsia" w:ascii="宋体" w:hAnsi="宋体" w:cs="宋体"/>
                <w:b/>
                <w:sz w:val="24"/>
              </w:rPr>
            </w:pPr>
            <w:r>
              <w:rPr>
                <w:rFonts w:hint="eastAsia" w:ascii="宋体" w:hAnsi="宋体" w:cs="宋体"/>
                <w:kern w:val="0"/>
                <w:sz w:val="24"/>
              </w:rPr>
              <w:t>项目名称</w:t>
            </w:r>
          </w:p>
        </w:tc>
        <w:tc>
          <w:tcPr>
            <w:tcW w:w="4575" w:type="dxa"/>
            <w:noWrap w:val="0"/>
            <w:vAlign w:val="center"/>
          </w:tcPr>
          <w:p>
            <w:pPr>
              <w:keepLines w:val="0"/>
              <w:pageBreakBefore w:val="0"/>
              <w:widowControl w:val="0"/>
              <w:kinsoku/>
              <w:wordWrap/>
              <w:topLinePunct w:val="0"/>
              <w:bidi w:val="0"/>
              <w:spacing w:line="400" w:lineRule="exact"/>
              <w:ind w:left="0"/>
              <w:jc w:val="center"/>
              <w:rPr>
                <w:rFonts w:hint="eastAsia" w:ascii="宋体" w:hAnsi="宋体" w:cs="宋体"/>
                <w:b/>
                <w:sz w:val="24"/>
              </w:rPr>
            </w:pPr>
            <w:r>
              <w:rPr>
                <w:rFonts w:hint="eastAsia" w:ascii="宋体" w:hAnsi="宋体" w:cs="宋体"/>
                <w:kern w:val="0"/>
                <w:sz w:val="24"/>
              </w:rPr>
              <w:t>实施内容</w:t>
            </w:r>
          </w:p>
        </w:tc>
        <w:tc>
          <w:tcPr>
            <w:tcW w:w="1462" w:type="dxa"/>
            <w:noWrap w:val="0"/>
            <w:vAlign w:val="center"/>
          </w:tcPr>
          <w:p>
            <w:pPr>
              <w:keepLines w:val="0"/>
              <w:pageBreakBefore w:val="0"/>
              <w:widowControl w:val="0"/>
              <w:kinsoku/>
              <w:wordWrap/>
              <w:topLinePunct w:val="0"/>
              <w:bidi w:val="0"/>
              <w:spacing w:line="400" w:lineRule="exact"/>
              <w:ind w:left="0"/>
              <w:jc w:val="center"/>
              <w:rPr>
                <w:rFonts w:hint="eastAsia" w:ascii="宋体" w:hAnsi="宋体" w:cs="宋体"/>
                <w:b/>
                <w:sz w:val="24"/>
              </w:rPr>
            </w:pPr>
            <w:r>
              <w:rPr>
                <w:rFonts w:hint="eastAsia" w:ascii="宋体" w:hAnsi="宋体" w:cs="宋体"/>
                <w:kern w:val="0"/>
                <w:sz w:val="24"/>
              </w:rPr>
              <w:t>实施方式</w:t>
            </w:r>
          </w:p>
        </w:tc>
        <w:tc>
          <w:tcPr>
            <w:tcW w:w="1250" w:type="dxa"/>
            <w:noWrap w:val="0"/>
            <w:vAlign w:val="center"/>
          </w:tcPr>
          <w:p>
            <w:pPr>
              <w:keepLines w:val="0"/>
              <w:pageBreakBefore w:val="0"/>
              <w:widowControl w:val="0"/>
              <w:kinsoku/>
              <w:wordWrap/>
              <w:topLinePunct w:val="0"/>
              <w:bidi w:val="0"/>
              <w:spacing w:line="400" w:lineRule="exact"/>
              <w:ind w:left="0"/>
              <w:jc w:val="center"/>
              <w:rPr>
                <w:rFonts w:hint="eastAsia" w:ascii="宋体" w:hAnsi="宋体" w:cs="宋体"/>
                <w:b/>
                <w:sz w:val="24"/>
              </w:rPr>
            </w:pPr>
            <w:r>
              <w:rPr>
                <w:rFonts w:hint="eastAsia" w:ascii="宋体" w:hAnsi="宋体" w:cs="宋体"/>
                <w:kern w:val="0"/>
                <w:sz w:val="24"/>
              </w:rPr>
              <w:t>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vMerge w:val="restart"/>
            <w:noWrap w:val="0"/>
            <w:vAlign w:val="center"/>
          </w:tcPr>
          <w:p>
            <w:pPr>
              <w:keepLines w:val="0"/>
              <w:pageBreakBefore w:val="0"/>
              <w:widowControl w:val="0"/>
              <w:tabs>
                <w:tab w:val="left" w:pos="312"/>
              </w:tabs>
              <w:kinsoku/>
              <w:wordWrap/>
              <w:topLinePunct w:val="0"/>
              <w:bidi w:val="0"/>
              <w:spacing w:line="400" w:lineRule="exact"/>
              <w:ind w:left="0"/>
              <w:jc w:val="left"/>
              <w:rPr>
                <w:rFonts w:hint="eastAsia" w:ascii="宋体" w:hAnsi="宋体" w:eastAsia="宋体" w:cs="宋体"/>
                <w:i w:val="0"/>
                <w:iCs w:val="0"/>
                <w:color w:val="000000"/>
                <w:kern w:val="0"/>
                <w:sz w:val="24"/>
                <w:szCs w:val="24"/>
                <w:u w:val="none"/>
                <w:lang w:val="en-US" w:eastAsia="zh-CN" w:bidi="ar"/>
              </w:rPr>
            </w:pPr>
          </w:p>
          <w:p>
            <w:pPr>
              <w:keepNext w:val="0"/>
              <w:keepLines w:val="0"/>
              <w:pageBreakBefore w:val="0"/>
              <w:widowControl w:val="0"/>
              <w:kinsoku/>
              <w:wordWrap/>
              <w:topLinePunct w:val="0"/>
              <w:bidi w:val="0"/>
              <w:spacing w:line="400" w:lineRule="exact"/>
              <w:ind w:left="0"/>
              <w:jc w:val="center"/>
              <w:rPr>
                <w:rFonts w:hint="eastAsia" w:ascii="宋体" w:hAnsi="宋体" w:cs="宋体"/>
                <w:sz w:val="24"/>
                <w:lang w:val="en-US" w:eastAsia="zh-CN"/>
              </w:rPr>
            </w:pPr>
            <w:r>
              <w:rPr>
                <w:rFonts w:hint="eastAsia" w:ascii="宋体" w:hAnsi="宋体" w:cs="宋体"/>
                <w:sz w:val="24"/>
                <w:lang w:val="en-US" w:eastAsia="zh-CN"/>
              </w:rPr>
              <w:t>2022年</w:t>
            </w:r>
            <w:r>
              <w:rPr>
                <w:rFonts w:hint="eastAsia" w:ascii="宋体" w:hAnsi="宋体" w:eastAsia="宋体" w:cs="宋体"/>
                <w:sz w:val="24"/>
                <w:lang w:val="en-US" w:eastAsia="zh-CN"/>
              </w:rPr>
              <w:t>莆田市中等职业学校班主任业务能力提升服务</w:t>
            </w:r>
          </w:p>
          <w:p>
            <w:pPr>
              <w:keepLines w:val="0"/>
              <w:pageBreakBefore w:val="0"/>
              <w:widowControl w:val="0"/>
              <w:tabs>
                <w:tab w:val="left" w:pos="312"/>
              </w:tabs>
              <w:kinsoku/>
              <w:wordWrap/>
              <w:topLinePunct w:val="0"/>
              <w:bidi w:val="0"/>
              <w:spacing w:line="400" w:lineRule="exact"/>
              <w:ind w:left="0"/>
              <w:jc w:val="left"/>
              <w:rPr>
                <w:rFonts w:hint="eastAsia" w:ascii="宋体" w:hAnsi="宋体" w:eastAsia="宋体" w:cs="宋体"/>
                <w:i w:val="0"/>
                <w:iCs w:val="0"/>
                <w:color w:val="000000"/>
                <w:kern w:val="0"/>
                <w:sz w:val="24"/>
                <w:szCs w:val="24"/>
                <w:u w:val="none"/>
                <w:lang w:val="en-US" w:eastAsia="zh-CN" w:bidi="ar"/>
              </w:rPr>
            </w:pPr>
          </w:p>
        </w:tc>
        <w:tc>
          <w:tcPr>
            <w:tcW w:w="4575" w:type="dxa"/>
            <w:noWrap w:val="0"/>
            <w:vAlign w:val="center"/>
          </w:tcPr>
          <w:p>
            <w:pPr>
              <w:keepLines w:val="0"/>
              <w:pageBreakBefore w:val="0"/>
              <w:widowControl w:val="0"/>
              <w:tabs>
                <w:tab w:val="left" w:pos="312"/>
              </w:tabs>
              <w:kinsoku/>
              <w:wordWrap/>
              <w:topLinePunct w:val="0"/>
              <w:bidi w:val="0"/>
              <w:spacing w:line="400" w:lineRule="exact"/>
              <w:ind w:left="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专家讲座，按要求</w:t>
            </w:r>
            <w:r>
              <w:rPr>
                <w:rFonts w:hint="eastAsia" w:ascii="宋体" w:hAnsi="宋体" w:cs="宋体"/>
                <w:i w:val="0"/>
                <w:iCs w:val="0"/>
                <w:color w:val="000000"/>
                <w:kern w:val="0"/>
                <w:sz w:val="24"/>
                <w:szCs w:val="24"/>
                <w:u w:val="none"/>
                <w:lang w:val="en-US" w:eastAsia="zh-CN" w:bidi="ar"/>
              </w:rPr>
              <w:t>聘请</w:t>
            </w:r>
            <w:r>
              <w:rPr>
                <w:rFonts w:hint="eastAsia" w:ascii="宋体" w:hAnsi="宋体" w:eastAsia="宋体" w:cs="宋体"/>
                <w:i w:val="0"/>
                <w:iCs w:val="0"/>
                <w:color w:val="000000"/>
                <w:kern w:val="0"/>
                <w:sz w:val="24"/>
                <w:szCs w:val="24"/>
                <w:u w:val="none"/>
                <w:lang w:val="en-US" w:eastAsia="zh-CN" w:bidi="ar"/>
              </w:rPr>
              <w:t>专家，辅导内容包含了班级建设方案、典型工作案例、专业人才培养方案、主题班会方案和班会实录视频初稿等参赛材料的辅导与指正。</w:t>
            </w:r>
          </w:p>
        </w:tc>
        <w:tc>
          <w:tcPr>
            <w:tcW w:w="1462" w:type="dxa"/>
            <w:noWrap w:val="0"/>
            <w:vAlign w:val="center"/>
          </w:tcPr>
          <w:p>
            <w:pPr>
              <w:keepLines w:val="0"/>
              <w:pageBreakBefore w:val="0"/>
              <w:widowControl w:val="0"/>
              <w:kinsoku/>
              <w:wordWrap/>
              <w:topLinePunct w:val="0"/>
              <w:bidi w:val="0"/>
              <w:spacing w:line="400" w:lineRule="exact"/>
              <w:ind w:left="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线下酒店封闭式辅导</w:t>
            </w:r>
          </w:p>
        </w:tc>
        <w:tc>
          <w:tcPr>
            <w:tcW w:w="1250" w:type="dxa"/>
            <w:noWrap w:val="0"/>
            <w:vAlign w:val="center"/>
          </w:tcPr>
          <w:p>
            <w:pPr>
              <w:keepLines w:val="0"/>
              <w:pageBreakBefore w:val="0"/>
              <w:widowControl w:val="0"/>
              <w:kinsoku/>
              <w:wordWrap/>
              <w:topLinePunct w:val="0"/>
              <w:bidi w:val="0"/>
              <w:spacing w:line="400" w:lineRule="exact"/>
              <w:ind w:left="0"/>
              <w:jc w:val="center"/>
              <w:rPr>
                <w:rFonts w:hint="default" w:ascii="宋体" w:hAnsi="宋体" w:cs="宋体"/>
                <w:kern w:val="0"/>
                <w:sz w:val="24"/>
                <w:lang w:val="en-US"/>
              </w:rPr>
            </w:pPr>
            <w:r>
              <w:rPr>
                <w:rFonts w:hint="eastAsia" w:ascii="宋体" w:hAnsi="宋体" w:cs="宋体"/>
                <w:b w:val="0"/>
                <w:bCs w:val="0"/>
                <w:color w:val="auto"/>
                <w:sz w:val="24"/>
                <w:lang w:val="en-US" w:eastAsia="zh-CN"/>
              </w:rPr>
              <w:t>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vMerge w:val="continue"/>
            <w:noWrap w:val="0"/>
            <w:vAlign w:val="center"/>
          </w:tcPr>
          <w:p>
            <w:pPr>
              <w:keepLines w:val="0"/>
              <w:pageBreakBefore w:val="0"/>
              <w:widowControl w:val="0"/>
              <w:tabs>
                <w:tab w:val="left" w:pos="312"/>
              </w:tabs>
              <w:kinsoku/>
              <w:wordWrap/>
              <w:topLinePunct w:val="0"/>
              <w:bidi w:val="0"/>
              <w:spacing w:line="400" w:lineRule="exact"/>
              <w:ind w:left="0"/>
              <w:jc w:val="left"/>
              <w:rPr>
                <w:rFonts w:hint="eastAsia" w:ascii="宋体" w:hAnsi="宋体" w:eastAsia="宋体" w:cs="宋体"/>
                <w:i w:val="0"/>
                <w:iCs w:val="0"/>
                <w:color w:val="000000"/>
                <w:kern w:val="0"/>
                <w:sz w:val="24"/>
                <w:szCs w:val="24"/>
                <w:u w:val="none"/>
                <w:lang w:val="en-US" w:eastAsia="zh-CN" w:bidi="ar"/>
              </w:rPr>
            </w:pPr>
          </w:p>
        </w:tc>
        <w:tc>
          <w:tcPr>
            <w:tcW w:w="4575" w:type="dxa"/>
            <w:noWrap w:val="0"/>
            <w:vAlign w:val="center"/>
          </w:tcPr>
          <w:p>
            <w:pPr>
              <w:keepLines w:val="0"/>
              <w:pageBreakBefore w:val="0"/>
              <w:widowControl w:val="0"/>
              <w:tabs>
                <w:tab w:val="left" w:pos="312"/>
              </w:tabs>
              <w:kinsoku/>
              <w:wordWrap/>
              <w:topLinePunct w:val="0"/>
              <w:bidi w:val="0"/>
              <w:spacing w:line="400" w:lineRule="exact"/>
              <w:ind w:left="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sz w:val="24"/>
                <w:lang w:eastAsia="zh-CN"/>
              </w:rPr>
              <w:t>参训班主任</w:t>
            </w:r>
            <w:r>
              <w:rPr>
                <w:rFonts w:hint="eastAsia" w:ascii="宋体" w:hAnsi="宋体" w:cs="宋体"/>
                <w:sz w:val="24"/>
              </w:rPr>
              <w:t>准备</w:t>
            </w:r>
            <w:r>
              <w:rPr>
                <w:rFonts w:hint="eastAsia" w:ascii="宋体" w:hAnsi="宋体" w:cs="宋体"/>
                <w:sz w:val="24"/>
                <w:lang w:val="en-US" w:eastAsia="zh-CN"/>
              </w:rPr>
              <w:t>并提交</w:t>
            </w:r>
            <w:r>
              <w:rPr>
                <w:rFonts w:hint="eastAsia" w:ascii="宋体" w:hAnsi="宋体" w:cs="宋体"/>
                <w:sz w:val="24"/>
                <w:lang w:eastAsia="zh-CN"/>
              </w:rPr>
              <w:t>作品</w:t>
            </w:r>
            <w:r>
              <w:rPr>
                <w:rFonts w:hint="eastAsia" w:ascii="宋体" w:hAnsi="宋体" w:cs="宋体"/>
                <w:sz w:val="24"/>
              </w:rPr>
              <w:t>材料（</w:t>
            </w:r>
            <w:r>
              <w:rPr>
                <w:rFonts w:hint="eastAsia" w:ascii="宋体" w:hAnsi="宋体" w:cs="宋体"/>
                <w:sz w:val="24"/>
                <w:lang w:eastAsia="zh-CN"/>
              </w:rPr>
              <w:t>班级建设方案、典型工作案例、</w:t>
            </w:r>
            <w:r>
              <w:rPr>
                <w:rFonts w:hint="eastAsia" w:ascii="宋体" w:hAnsi="宋体" w:eastAsia="宋体" w:cs="宋体"/>
                <w:i w:val="0"/>
                <w:iCs w:val="0"/>
                <w:color w:val="000000"/>
                <w:kern w:val="0"/>
                <w:sz w:val="24"/>
                <w:szCs w:val="24"/>
                <w:u w:val="none"/>
                <w:lang w:val="en-US" w:eastAsia="zh-CN" w:bidi="ar"/>
              </w:rPr>
              <w:t>专业人才培养方案、</w:t>
            </w:r>
            <w:r>
              <w:rPr>
                <w:rFonts w:hint="eastAsia" w:ascii="宋体" w:hAnsi="宋体" w:cs="宋体"/>
                <w:sz w:val="24"/>
                <w:lang w:eastAsia="zh-CN"/>
              </w:rPr>
              <w:t>主题班会方案、主题班会视频</w:t>
            </w:r>
            <w:r>
              <w:rPr>
                <w:rFonts w:hint="eastAsia" w:ascii="宋体" w:hAnsi="宋体" w:cs="宋体"/>
                <w:sz w:val="24"/>
              </w:rPr>
              <w:t>）</w:t>
            </w:r>
          </w:p>
        </w:tc>
        <w:tc>
          <w:tcPr>
            <w:tcW w:w="1462" w:type="dxa"/>
            <w:noWrap w:val="0"/>
            <w:vAlign w:val="center"/>
          </w:tcPr>
          <w:p>
            <w:pPr>
              <w:keepLines w:val="0"/>
              <w:pageBreakBefore w:val="0"/>
              <w:widowControl w:val="0"/>
              <w:kinsoku/>
              <w:wordWrap/>
              <w:topLinePunct w:val="0"/>
              <w:bidi w:val="0"/>
              <w:spacing w:line="400" w:lineRule="exact"/>
              <w:ind w:left="0"/>
              <w:jc w:val="center"/>
              <w:rPr>
                <w:rFonts w:hint="eastAsia" w:ascii="宋体" w:hAnsi="宋体" w:cs="宋体"/>
                <w:kern w:val="0"/>
                <w:sz w:val="24"/>
                <w:lang w:val="en-US" w:eastAsia="zh-CN"/>
              </w:rPr>
            </w:pPr>
            <w:r>
              <w:rPr>
                <w:rFonts w:hint="eastAsia" w:ascii="宋体" w:hAnsi="宋体" w:cs="宋体"/>
                <w:kern w:val="0"/>
                <w:sz w:val="24"/>
                <w:lang w:eastAsia="zh-CN"/>
              </w:rPr>
              <w:t>班主任</w:t>
            </w:r>
            <w:r>
              <w:rPr>
                <w:rFonts w:hint="eastAsia" w:ascii="宋体" w:hAnsi="宋体" w:cs="宋体"/>
                <w:kern w:val="0"/>
                <w:sz w:val="24"/>
              </w:rPr>
              <w:t>准备并提交</w:t>
            </w:r>
          </w:p>
        </w:tc>
        <w:tc>
          <w:tcPr>
            <w:tcW w:w="1250" w:type="dxa"/>
            <w:noWrap w:val="0"/>
            <w:vAlign w:val="center"/>
          </w:tcPr>
          <w:p>
            <w:pPr>
              <w:keepLines w:val="0"/>
              <w:pageBreakBefore w:val="0"/>
              <w:widowControl w:val="0"/>
              <w:kinsoku/>
              <w:wordWrap/>
              <w:topLinePunct w:val="0"/>
              <w:bidi w:val="0"/>
              <w:spacing w:line="400" w:lineRule="exact"/>
              <w:ind w:left="0"/>
              <w:jc w:val="center"/>
              <w:rPr>
                <w:rFonts w:hint="eastAsia" w:ascii="宋体" w:hAnsi="宋体" w:cs="宋体"/>
                <w:b w:val="0"/>
                <w:bCs w:val="0"/>
                <w:color w:val="auto"/>
                <w:sz w:val="24"/>
                <w:lang w:val="en-US" w:eastAsia="zh-CN"/>
              </w:rPr>
            </w:pPr>
            <w:r>
              <w:rPr>
                <w:rFonts w:hint="eastAsia" w:ascii="宋体" w:hAnsi="宋体" w:cs="宋体"/>
                <w:bCs/>
                <w:sz w:val="24"/>
                <w:lang w:val="en-US" w:eastAsia="zh-C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3" w:type="dxa"/>
            <w:vMerge w:val="continue"/>
            <w:noWrap w:val="0"/>
            <w:vAlign w:val="center"/>
          </w:tcPr>
          <w:p>
            <w:pPr>
              <w:keepLines w:val="0"/>
              <w:pageBreakBefore w:val="0"/>
              <w:widowControl w:val="0"/>
              <w:tabs>
                <w:tab w:val="left" w:pos="312"/>
              </w:tabs>
              <w:kinsoku/>
              <w:wordWrap/>
              <w:topLinePunct w:val="0"/>
              <w:bidi w:val="0"/>
              <w:spacing w:line="400" w:lineRule="exact"/>
              <w:ind w:left="0"/>
              <w:jc w:val="left"/>
              <w:rPr>
                <w:rFonts w:hint="eastAsia" w:ascii="宋体" w:hAnsi="宋体" w:eastAsia="宋体" w:cs="宋体"/>
                <w:i w:val="0"/>
                <w:iCs w:val="0"/>
                <w:color w:val="000000"/>
                <w:kern w:val="0"/>
                <w:sz w:val="24"/>
                <w:szCs w:val="24"/>
                <w:u w:val="none"/>
                <w:lang w:val="en-US" w:eastAsia="zh-CN" w:bidi="ar"/>
              </w:rPr>
            </w:pPr>
          </w:p>
        </w:tc>
        <w:tc>
          <w:tcPr>
            <w:tcW w:w="4575" w:type="dxa"/>
            <w:noWrap w:val="0"/>
            <w:vAlign w:val="center"/>
          </w:tcPr>
          <w:p>
            <w:pPr>
              <w:keepLines w:val="0"/>
              <w:pageBreakBefore w:val="0"/>
              <w:widowControl w:val="0"/>
              <w:tabs>
                <w:tab w:val="left" w:pos="312"/>
              </w:tabs>
              <w:kinsoku/>
              <w:wordWrap/>
              <w:topLinePunct w:val="0"/>
              <w:bidi w:val="0"/>
              <w:spacing w:line="400" w:lineRule="exact"/>
              <w:ind w:left="0"/>
              <w:jc w:val="left"/>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作品评审，按评审要求，形成评审方案，进行作品评审打分</w:t>
            </w:r>
            <w:r>
              <w:rPr>
                <w:rFonts w:hint="eastAsia" w:ascii="宋体" w:hAnsi="宋体" w:cs="宋体"/>
                <w:i w:val="0"/>
                <w:iCs w:val="0"/>
                <w:color w:val="000000"/>
                <w:kern w:val="0"/>
                <w:sz w:val="24"/>
                <w:szCs w:val="24"/>
                <w:u w:val="none"/>
                <w:lang w:val="en-US" w:eastAsia="zh-CN" w:bidi="ar"/>
              </w:rPr>
              <w:t>，遴选出20个优秀作品。</w:t>
            </w:r>
          </w:p>
        </w:tc>
        <w:tc>
          <w:tcPr>
            <w:tcW w:w="1462" w:type="dxa"/>
            <w:noWrap w:val="0"/>
            <w:vAlign w:val="center"/>
          </w:tcPr>
          <w:p>
            <w:pPr>
              <w:keepLines w:val="0"/>
              <w:pageBreakBefore w:val="0"/>
              <w:widowControl w:val="0"/>
              <w:kinsoku/>
              <w:wordWrap/>
              <w:topLinePunct w:val="0"/>
              <w:bidi w:val="0"/>
              <w:spacing w:line="400" w:lineRule="exact"/>
              <w:ind w:left="0"/>
              <w:jc w:val="center"/>
              <w:rPr>
                <w:rFonts w:hint="eastAsia" w:ascii="宋体" w:hAnsi="宋体" w:eastAsia="宋体" w:cs="宋体"/>
                <w:b/>
                <w:sz w:val="24"/>
                <w:lang w:eastAsia="zh-CN"/>
              </w:rPr>
            </w:pPr>
            <w:r>
              <w:rPr>
                <w:rFonts w:hint="eastAsia" w:ascii="宋体" w:hAnsi="宋体" w:cs="宋体"/>
                <w:kern w:val="0"/>
                <w:sz w:val="24"/>
                <w:lang w:val="en-US" w:eastAsia="zh-CN"/>
              </w:rPr>
              <w:t>线上</w:t>
            </w:r>
          </w:p>
        </w:tc>
        <w:tc>
          <w:tcPr>
            <w:tcW w:w="1250" w:type="dxa"/>
            <w:noWrap w:val="0"/>
            <w:vAlign w:val="center"/>
          </w:tcPr>
          <w:p>
            <w:pPr>
              <w:keepLines w:val="0"/>
              <w:pageBreakBefore w:val="0"/>
              <w:widowControl w:val="0"/>
              <w:kinsoku/>
              <w:wordWrap/>
              <w:topLinePunct w:val="0"/>
              <w:bidi w:val="0"/>
              <w:spacing w:line="400" w:lineRule="exact"/>
              <w:ind w:left="0"/>
              <w:jc w:val="center"/>
              <w:rPr>
                <w:rFonts w:hint="default" w:ascii="宋体" w:hAnsi="宋体" w:cs="宋体"/>
                <w:bCs/>
                <w:sz w:val="24"/>
                <w:lang w:val="en-US"/>
              </w:rPr>
            </w:pPr>
            <w:r>
              <w:rPr>
                <w:rFonts w:hint="eastAsia" w:ascii="宋体" w:hAnsi="宋体" w:cs="宋体"/>
                <w:bCs/>
                <w:sz w:val="24"/>
                <w:lang w:val="en-US" w:eastAsia="zh-CN"/>
              </w:rPr>
              <w:t>10天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63" w:type="dxa"/>
            <w:vMerge w:val="continue"/>
            <w:noWrap w:val="0"/>
            <w:vAlign w:val="center"/>
          </w:tcPr>
          <w:p>
            <w:pPr>
              <w:keepLines w:val="0"/>
              <w:pageBreakBefore w:val="0"/>
              <w:widowControl w:val="0"/>
              <w:tabs>
                <w:tab w:val="left" w:pos="312"/>
              </w:tabs>
              <w:kinsoku/>
              <w:wordWrap/>
              <w:topLinePunct w:val="0"/>
              <w:bidi w:val="0"/>
              <w:spacing w:line="400" w:lineRule="exact"/>
              <w:ind w:left="0"/>
              <w:jc w:val="left"/>
              <w:rPr>
                <w:rFonts w:hint="eastAsia" w:ascii="宋体" w:hAnsi="宋体" w:eastAsia="宋体" w:cs="宋体"/>
                <w:i w:val="0"/>
                <w:iCs w:val="0"/>
                <w:color w:val="000000"/>
                <w:kern w:val="0"/>
                <w:sz w:val="24"/>
                <w:szCs w:val="24"/>
                <w:u w:val="none"/>
                <w:lang w:val="en-US" w:eastAsia="zh-CN" w:bidi="ar"/>
              </w:rPr>
            </w:pPr>
          </w:p>
        </w:tc>
        <w:tc>
          <w:tcPr>
            <w:tcW w:w="4575" w:type="dxa"/>
            <w:noWrap w:val="0"/>
            <w:vAlign w:val="center"/>
          </w:tcPr>
          <w:p>
            <w:pPr>
              <w:keepLines w:val="0"/>
              <w:pageBreakBefore w:val="0"/>
              <w:widowControl w:val="0"/>
              <w:tabs>
                <w:tab w:val="left" w:pos="312"/>
              </w:tabs>
              <w:kinsoku/>
              <w:wordWrap/>
              <w:topLinePunct w:val="0"/>
              <w:bidi w:val="0"/>
              <w:spacing w:line="400" w:lineRule="exact"/>
              <w:ind w:left="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现场答辩按福建省省赛决赛流程及要求，对学员进行线下封闭式辅导。</w:t>
            </w:r>
          </w:p>
        </w:tc>
        <w:tc>
          <w:tcPr>
            <w:tcW w:w="1462" w:type="dxa"/>
            <w:noWrap w:val="0"/>
            <w:vAlign w:val="center"/>
          </w:tcPr>
          <w:p>
            <w:pPr>
              <w:keepLines w:val="0"/>
              <w:pageBreakBefore w:val="0"/>
              <w:widowControl w:val="0"/>
              <w:kinsoku/>
              <w:wordWrap/>
              <w:topLinePunct w:val="0"/>
              <w:bidi w:val="0"/>
              <w:spacing w:line="400" w:lineRule="exact"/>
              <w:ind w:left="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根据比赛时间安排</w:t>
            </w:r>
          </w:p>
        </w:tc>
        <w:tc>
          <w:tcPr>
            <w:tcW w:w="1250" w:type="dxa"/>
            <w:noWrap w:val="0"/>
            <w:vAlign w:val="center"/>
          </w:tcPr>
          <w:p>
            <w:pPr>
              <w:keepLines w:val="0"/>
              <w:pageBreakBefore w:val="0"/>
              <w:widowControl w:val="0"/>
              <w:kinsoku/>
              <w:wordWrap/>
              <w:topLinePunct w:val="0"/>
              <w:bidi w:val="0"/>
              <w:spacing w:line="400" w:lineRule="exact"/>
              <w:ind w:left="0"/>
              <w:jc w:val="center"/>
              <w:rPr>
                <w:rFonts w:hint="default" w:ascii="宋体" w:hAnsi="宋体" w:eastAsia="宋体" w:cs="宋体"/>
                <w:b/>
                <w:sz w:val="24"/>
                <w:lang w:val="en-US" w:eastAsia="zh-CN"/>
              </w:rPr>
            </w:pPr>
            <w:r>
              <w:rPr>
                <w:rFonts w:hint="eastAsia" w:ascii="宋体" w:hAnsi="宋体" w:cs="宋体"/>
                <w:b w:val="0"/>
                <w:bCs w:val="0"/>
                <w:color w:val="auto"/>
                <w:sz w:val="24"/>
                <w:lang w:val="en-US" w:eastAsia="zh-CN"/>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vMerge w:val="continue"/>
            <w:noWrap w:val="0"/>
            <w:vAlign w:val="center"/>
          </w:tcPr>
          <w:p>
            <w:pPr>
              <w:keepLines w:val="0"/>
              <w:pageBreakBefore w:val="0"/>
              <w:widowControl w:val="0"/>
              <w:tabs>
                <w:tab w:val="left" w:pos="312"/>
              </w:tabs>
              <w:kinsoku/>
              <w:wordWrap/>
              <w:topLinePunct w:val="0"/>
              <w:bidi w:val="0"/>
              <w:spacing w:line="400" w:lineRule="exact"/>
              <w:ind w:left="0"/>
              <w:jc w:val="left"/>
              <w:rPr>
                <w:rFonts w:hint="eastAsia" w:ascii="宋体" w:hAnsi="宋体" w:eastAsia="宋体" w:cs="宋体"/>
                <w:i w:val="0"/>
                <w:iCs w:val="0"/>
                <w:color w:val="000000"/>
                <w:kern w:val="0"/>
                <w:sz w:val="24"/>
                <w:szCs w:val="24"/>
                <w:u w:val="none"/>
                <w:lang w:val="en-US" w:eastAsia="zh-CN" w:bidi="ar"/>
              </w:rPr>
            </w:pPr>
          </w:p>
        </w:tc>
        <w:tc>
          <w:tcPr>
            <w:tcW w:w="4575" w:type="dxa"/>
            <w:noWrap w:val="0"/>
            <w:vAlign w:val="center"/>
          </w:tcPr>
          <w:p>
            <w:pPr>
              <w:keepLines w:val="0"/>
              <w:pageBreakBefore w:val="0"/>
              <w:widowControl w:val="0"/>
              <w:tabs>
                <w:tab w:val="left" w:pos="312"/>
              </w:tabs>
              <w:kinsoku/>
              <w:wordWrap/>
              <w:topLinePunct w:val="0"/>
              <w:bidi w:val="0"/>
              <w:spacing w:line="400" w:lineRule="exact"/>
              <w:ind w:left="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作品评分及答辩成绩，作为</w:t>
            </w:r>
            <w:r>
              <w:rPr>
                <w:rFonts w:hint="eastAsia" w:ascii="宋体" w:hAnsi="宋体" w:eastAsia="宋体" w:cs="仿宋"/>
                <w:color w:val="000000"/>
                <w:kern w:val="0"/>
                <w:sz w:val="24"/>
                <w:szCs w:val="24"/>
                <w:lang w:val="en-US" w:eastAsia="zh-CN" w:bidi="ar-SA"/>
              </w:rPr>
              <w:t>遴选参加2023年省级班主任业务能力比赛的依据。</w:t>
            </w:r>
          </w:p>
        </w:tc>
        <w:tc>
          <w:tcPr>
            <w:tcW w:w="1462" w:type="dxa"/>
            <w:noWrap w:val="0"/>
            <w:vAlign w:val="center"/>
          </w:tcPr>
          <w:p>
            <w:pPr>
              <w:keepLines w:val="0"/>
              <w:pageBreakBefore w:val="0"/>
              <w:widowControl w:val="0"/>
              <w:kinsoku/>
              <w:wordWrap/>
              <w:topLinePunct w:val="0"/>
              <w:bidi w:val="0"/>
              <w:spacing w:line="400" w:lineRule="exact"/>
              <w:ind w:left="0"/>
              <w:jc w:val="center"/>
              <w:rPr>
                <w:rFonts w:hint="default" w:ascii="宋体" w:hAnsi="宋体" w:cs="宋体"/>
                <w:kern w:val="0"/>
                <w:sz w:val="24"/>
                <w:lang w:val="en-US" w:eastAsia="zh-CN"/>
              </w:rPr>
            </w:pPr>
            <w:r>
              <w:rPr>
                <w:rFonts w:hint="eastAsia" w:ascii="宋体" w:hAnsi="宋体" w:cs="宋体"/>
                <w:kern w:val="0"/>
                <w:sz w:val="24"/>
                <w:lang w:val="en-US" w:eastAsia="zh-CN"/>
              </w:rPr>
              <w:t>/</w:t>
            </w:r>
          </w:p>
        </w:tc>
        <w:tc>
          <w:tcPr>
            <w:tcW w:w="1250" w:type="dxa"/>
            <w:noWrap w:val="0"/>
            <w:vAlign w:val="center"/>
          </w:tcPr>
          <w:p>
            <w:pPr>
              <w:keepLines w:val="0"/>
              <w:pageBreakBefore w:val="0"/>
              <w:widowControl w:val="0"/>
              <w:kinsoku/>
              <w:wordWrap/>
              <w:topLinePunct w:val="0"/>
              <w:bidi w:val="0"/>
              <w:spacing w:line="400" w:lineRule="exact"/>
              <w:ind w:left="0"/>
              <w:jc w:val="center"/>
              <w:rPr>
                <w:rFonts w:hint="default" w:ascii="宋体" w:hAnsi="宋体" w:cs="宋体"/>
                <w:b w:val="0"/>
                <w:bCs w:val="0"/>
                <w:color w:val="auto"/>
                <w:sz w:val="24"/>
                <w:lang w:val="en-US" w:eastAsia="zh-CN"/>
              </w:rPr>
            </w:pPr>
            <w:r>
              <w:rPr>
                <w:rFonts w:hint="eastAsia" w:ascii="宋体" w:hAnsi="宋体" w:cs="宋体"/>
                <w:b w:val="0"/>
                <w:bCs w:val="0"/>
                <w:color w:val="auto"/>
                <w:sz w:val="24"/>
                <w:lang w:val="en-US" w:eastAsia="zh-CN"/>
              </w:rPr>
              <w:t>/</w:t>
            </w:r>
          </w:p>
        </w:tc>
      </w:tr>
      <w:bookmarkEnd w:id="1"/>
    </w:tbl>
    <w:p>
      <w:pPr>
        <w:pStyle w:val="25"/>
        <w:keepNext w:val="0"/>
        <w:keepLines w:val="0"/>
        <w:pageBreakBefore w:val="0"/>
        <w:widowControl w:val="0"/>
        <w:numPr>
          <w:ilvl w:val="0"/>
          <w:numId w:val="0"/>
        </w:numPr>
        <w:kinsoku/>
        <w:wordWrap/>
        <w:overflowPunct w:val="0"/>
        <w:topLinePunct w:val="0"/>
        <w:autoSpaceDE w:val="0"/>
        <w:autoSpaceDN w:val="0"/>
        <w:bidi w:val="0"/>
        <w:adjustRightInd w:val="0"/>
        <w:snapToGrid/>
        <w:spacing w:line="400" w:lineRule="exact"/>
        <w:ind w:left="0"/>
        <w:jc w:val="both"/>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六</w:t>
      </w:r>
      <w:r>
        <w:rPr>
          <w:rFonts w:hint="eastAsia" w:ascii="宋体" w:hAnsi="宋体" w:eastAsia="宋体" w:cs="宋体"/>
          <w:b/>
          <w:bCs/>
          <w:sz w:val="24"/>
          <w:szCs w:val="24"/>
          <w:lang w:val="en-US" w:eastAsia="zh-CN"/>
        </w:rPr>
        <w:t>）其它要求</w:t>
      </w:r>
    </w:p>
    <w:p>
      <w:pPr>
        <w:pStyle w:val="5"/>
        <w:keepLines w:val="0"/>
        <w:pageBreakBefore w:val="0"/>
        <w:widowControl w:val="0"/>
        <w:kinsoku/>
        <w:wordWrap/>
        <w:topLinePunct w:val="0"/>
        <w:bidi w:val="0"/>
        <w:snapToGrid/>
        <w:spacing w:beforeAutospacing="0" w:afterAutospacing="0" w:line="400" w:lineRule="exact"/>
        <w:ind w:left="0" w:leftChars="0" w:firstLine="480" w:firstLineChars="200"/>
        <w:jc w:val="both"/>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提供素材管理工具，用于</w:t>
      </w:r>
      <w:r>
        <w:rPr>
          <w:rFonts w:hint="eastAsia" w:ascii="宋体" w:hAnsi="宋体" w:cs="宋体"/>
          <w:b w:val="0"/>
          <w:i w:val="0"/>
          <w:caps w:val="0"/>
          <w:color w:val="auto"/>
          <w:spacing w:val="0"/>
          <w:w w:val="100"/>
          <w:sz w:val="24"/>
          <w:highlight w:val="none"/>
          <w:lang w:val="en-US" w:eastAsia="zh-CN"/>
        </w:rPr>
        <w:t>班主任业务能力竞赛</w:t>
      </w:r>
      <w:r>
        <w:rPr>
          <w:rFonts w:hint="eastAsia" w:ascii="宋体" w:hAnsi="宋体" w:cs="宋体"/>
          <w:b w:val="0"/>
          <w:i w:val="0"/>
          <w:caps w:val="0"/>
          <w:color w:val="auto"/>
          <w:spacing w:val="0"/>
          <w:w w:val="100"/>
          <w:sz w:val="24"/>
          <w:highlight w:val="none"/>
        </w:rPr>
        <w:t>作品素材的调用和管理。</w:t>
      </w:r>
    </w:p>
    <w:p>
      <w:pPr>
        <w:pStyle w:val="3"/>
        <w:keepLines w:val="0"/>
        <w:pageBreakBefore w:val="0"/>
        <w:widowControl w:val="0"/>
        <w:kinsoku/>
        <w:wordWrap/>
        <w:topLinePunct w:val="0"/>
        <w:bidi w:val="0"/>
        <w:snapToGrid/>
        <w:spacing w:beforeAutospacing="0" w:afterAutospacing="0" w:line="400" w:lineRule="exact"/>
        <w:ind w:left="0" w:firstLine="480" w:firstLineChars="200"/>
        <w:jc w:val="both"/>
        <w:textAlignment w:val="baseline"/>
        <w:rPr>
          <w:rFonts w:ascii="宋体" w:hAnsi="宋体" w:cs="宋体"/>
          <w:b w:val="0"/>
          <w:i w:val="0"/>
          <w:caps w:val="0"/>
          <w:color w:val="auto"/>
          <w:spacing w:val="0"/>
          <w:w w:val="100"/>
          <w:kern w:val="2"/>
          <w:sz w:val="24"/>
          <w:highlight w:val="none"/>
        </w:rPr>
      </w:pPr>
      <w:r>
        <w:rPr>
          <w:rFonts w:hint="eastAsia" w:ascii="宋体" w:hAnsi="宋体" w:cs="宋体"/>
          <w:b w:val="0"/>
          <w:i w:val="0"/>
          <w:caps w:val="0"/>
          <w:color w:val="auto"/>
          <w:spacing w:val="0"/>
          <w:w w:val="100"/>
          <w:kern w:val="2"/>
          <w:sz w:val="24"/>
          <w:highlight w:val="none"/>
        </w:rPr>
        <w:t>1）</w:t>
      </w:r>
      <w:r>
        <w:rPr>
          <w:rFonts w:hint="eastAsia" w:ascii="宋体" w:hAnsi="宋体" w:cs="宋体"/>
          <w:b w:val="0"/>
          <w:i w:val="0"/>
          <w:caps w:val="0"/>
          <w:color w:val="auto"/>
          <w:spacing w:val="0"/>
          <w:w w:val="100"/>
          <w:kern w:val="2"/>
          <w:sz w:val="24"/>
          <w:highlight w:val="none"/>
          <w:lang w:val="en-US" w:eastAsia="zh-CN"/>
        </w:rPr>
        <w:t xml:space="preserve"> </w:t>
      </w:r>
      <w:r>
        <w:rPr>
          <w:rFonts w:hint="eastAsia" w:ascii="宋体" w:hAnsi="宋体" w:cs="宋体"/>
          <w:b w:val="0"/>
          <w:i w:val="0"/>
          <w:caps w:val="0"/>
          <w:color w:val="auto"/>
          <w:spacing w:val="0"/>
          <w:w w:val="100"/>
          <w:kern w:val="2"/>
          <w:sz w:val="24"/>
          <w:highlight w:val="none"/>
        </w:rPr>
        <w:t>支持对专用教学文件、教学素材文档管理，管理的专用教学文件包括(cxp、exb、dwg、ics格式文档)，管理的教学素材文档包括(pdf、jpg、bmp、doc、txt、ppt、xls等格式)。系统提供共享的文档树对文档进行分类管理；平台支持对教学文件和素材文档系统内在线浏览，无需打开第三方工具；</w:t>
      </w:r>
    </w:p>
    <w:p>
      <w:pPr>
        <w:pStyle w:val="3"/>
        <w:keepLines w:val="0"/>
        <w:pageBreakBefore w:val="0"/>
        <w:widowControl w:val="0"/>
        <w:kinsoku/>
        <w:wordWrap/>
        <w:topLinePunct w:val="0"/>
        <w:bidi w:val="0"/>
        <w:snapToGrid/>
        <w:spacing w:beforeAutospacing="0" w:afterAutospacing="0" w:line="400" w:lineRule="exact"/>
        <w:ind w:left="0" w:firstLine="480" w:firstLineChars="200"/>
        <w:jc w:val="both"/>
        <w:textAlignment w:val="baseline"/>
        <w:rPr>
          <w:rFonts w:hint="eastAsia" w:ascii="宋体" w:hAnsi="宋体" w:cs="宋体" w:eastAsiaTheme="minorEastAsia"/>
          <w:b w:val="0"/>
          <w:i w:val="0"/>
          <w:caps w:val="0"/>
          <w:color w:val="auto"/>
          <w:spacing w:val="0"/>
          <w:w w:val="100"/>
          <w:kern w:val="2"/>
          <w:sz w:val="24"/>
          <w:highlight w:val="none"/>
          <w:lang w:eastAsia="zh-CN"/>
        </w:rPr>
      </w:pPr>
      <w:r>
        <w:rPr>
          <w:rFonts w:hint="eastAsia" w:ascii="宋体" w:hAnsi="宋体" w:cs="宋体"/>
          <w:b w:val="0"/>
          <w:i w:val="0"/>
          <w:caps w:val="0"/>
          <w:color w:val="auto"/>
          <w:spacing w:val="0"/>
          <w:w w:val="100"/>
          <w:kern w:val="2"/>
          <w:sz w:val="24"/>
          <w:highlight w:val="none"/>
        </w:rPr>
        <w:t>2）用户权限管理：包括人员管理、角色管理、相关用户管理，对于文档的操作需要有权限控制，不同的人员、不同的角色要求用于不同的权限（权限包含了创建、修改、删除、复制、借用、剪切、发布、重发布、归档等），支持一个人员对应多种角色；同时要求支持最高权限的用户可以对分类的文件进行权限管理，设定参与用户和未参与的用户，参与用户拥有对分类的文件的操作权限，未参与的用户则对分类的文件没有操作权限</w:t>
      </w:r>
      <w:r>
        <w:rPr>
          <w:rFonts w:hint="eastAsia" w:ascii="宋体" w:hAnsi="宋体" w:cs="宋体"/>
          <w:b w:val="0"/>
          <w:i w:val="0"/>
          <w:caps w:val="0"/>
          <w:color w:val="auto"/>
          <w:spacing w:val="0"/>
          <w:w w:val="100"/>
          <w:kern w:val="2"/>
          <w:sz w:val="24"/>
          <w:highlight w:val="none"/>
          <w:lang w:eastAsia="zh-CN"/>
        </w:rPr>
        <w:t>；</w:t>
      </w:r>
    </w:p>
    <w:p>
      <w:pPr>
        <w:pStyle w:val="3"/>
        <w:keepLines w:val="0"/>
        <w:pageBreakBefore w:val="0"/>
        <w:widowControl w:val="0"/>
        <w:kinsoku/>
        <w:wordWrap/>
        <w:topLinePunct w:val="0"/>
        <w:bidi w:val="0"/>
        <w:snapToGrid/>
        <w:spacing w:beforeAutospacing="0" w:afterAutospacing="0" w:line="400" w:lineRule="exact"/>
        <w:ind w:left="0" w:firstLine="480" w:firstLineChars="200"/>
        <w:jc w:val="both"/>
        <w:textAlignment w:val="baseline"/>
        <w:rPr>
          <w:rFonts w:ascii="宋体" w:hAnsi="宋体" w:cs="宋体"/>
          <w:b w:val="0"/>
          <w:i w:val="0"/>
          <w:caps w:val="0"/>
          <w:color w:val="auto"/>
          <w:spacing w:val="0"/>
          <w:w w:val="100"/>
          <w:kern w:val="2"/>
          <w:sz w:val="24"/>
          <w:highlight w:val="none"/>
        </w:rPr>
      </w:pPr>
      <w:r>
        <w:rPr>
          <w:rFonts w:hint="eastAsia" w:ascii="宋体" w:hAnsi="宋体" w:cs="宋体"/>
          <w:b w:val="0"/>
          <w:i w:val="0"/>
          <w:caps w:val="0"/>
          <w:color w:val="auto"/>
          <w:spacing w:val="0"/>
          <w:w w:val="100"/>
          <w:kern w:val="2"/>
          <w:sz w:val="24"/>
          <w:highlight w:val="none"/>
        </w:rPr>
        <w:t>3）格式加密：对存储的文件格式自动的加密，作业和教案等文件输出控制等；</w:t>
      </w:r>
    </w:p>
    <w:p>
      <w:pPr>
        <w:pStyle w:val="3"/>
        <w:keepLines w:val="0"/>
        <w:pageBreakBefore w:val="0"/>
        <w:widowControl w:val="0"/>
        <w:kinsoku/>
        <w:wordWrap/>
        <w:topLinePunct w:val="0"/>
        <w:bidi w:val="0"/>
        <w:snapToGrid/>
        <w:spacing w:beforeAutospacing="0" w:afterAutospacing="0" w:line="400" w:lineRule="exact"/>
        <w:ind w:left="0" w:firstLine="480" w:firstLineChars="200"/>
        <w:jc w:val="both"/>
        <w:textAlignment w:val="baseline"/>
        <w:rPr>
          <w:rFonts w:hint="eastAsia" w:ascii="宋体" w:hAnsi="宋体" w:cs="宋体" w:eastAsiaTheme="minorEastAsia"/>
          <w:b w:val="0"/>
          <w:i w:val="0"/>
          <w:caps w:val="0"/>
          <w:color w:val="auto"/>
          <w:spacing w:val="0"/>
          <w:w w:val="100"/>
          <w:kern w:val="2"/>
          <w:sz w:val="24"/>
          <w:highlight w:val="none"/>
          <w:lang w:eastAsia="zh-CN"/>
        </w:rPr>
      </w:pPr>
      <w:r>
        <w:rPr>
          <w:rFonts w:hint="eastAsia" w:ascii="宋体" w:hAnsi="宋体" w:cs="宋体"/>
          <w:b w:val="0"/>
          <w:i w:val="0"/>
          <w:caps w:val="0"/>
          <w:color w:val="auto"/>
          <w:spacing w:val="0"/>
          <w:w w:val="100"/>
          <w:kern w:val="2"/>
          <w:sz w:val="24"/>
          <w:highlight w:val="none"/>
        </w:rPr>
        <w:t>4）版本控制：版本管理与文档的生命周期相关联，生命周期包含有入库、出库、发布、重发布、归档等阶段，对应的文档有版本和工作版本之分。支持版本回滚和清除；是教学资源库中的资源在反复修改后能保存多个版本，并根据教学需要让教学人员使用其中的某一个版本</w:t>
      </w:r>
      <w:r>
        <w:rPr>
          <w:rFonts w:hint="eastAsia" w:ascii="宋体" w:hAnsi="宋体" w:cs="宋体"/>
          <w:b w:val="0"/>
          <w:i w:val="0"/>
          <w:caps w:val="0"/>
          <w:color w:val="auto"/>
          <w:spacing w:val="0"/>
          <w:w w:val="100"/>
          <w:kern w:val="2"/>
          <w:sz w:val="24"/>
          <w:highlight w:val="none"/>
          <w:lang w:eastAsia="zh-CN"/>
        </w:rPr>
        <w:t>；</w:t>
      </w:r>
    </w:p>
    <w:p>
      <w:pPr>
        <w:keepLines w:val="0"/>
        <w:pageBreakBefore w:val="0"/>
        <w:widowControl w:val="0"/>
        <w:kinsoku/>
        <w:wordWrap/>
        <w:topLinePunct w:val="0"/>
        <w:bidi w:val="0"/>
        <w:spacing w:line="400" w:lineRule="exact"/>
        <w:ind w:left="0" w:firstLine="480" w:firstLineChars="200"/>
        <w:rPr>
          <w:rFonts w:hint="eastAsia" w:ascii="宋体" w:hAnsi="宋体" w:cs="宋体"/>
          <w:b/>
          <w:bCs/>
          <w:color w:val="auto"/>
          <w:szCs w:val="24"/>
          <w:highlight w:val="none"/>
        </w:rPr>
      </w:pPr>
      <w:r>
        <w:rPr>
          <w:rFonts w:hint="eastAsia" w:ascii="宋体" w:hAnsi="宋体" w:cs="宋体"/>
          <w:b w:val="0"/>
          <w:i w:val="0"/>
          <w:caps w:val="0"/>
          <w:color w:val="auto"/>
          <w:spacing w:val="0"/>
          <w:w w:val="100"/>
          <w:kern w:val="2"/>
          <w:sz w:val="24"/>
          <w:highlight w:val="none"/>
        </w:rPr>
        <w:t>5）查询与借用：在数据集中管理的基础上，实现对专用教学文件、素材文件等信息的查找。输入查询条件（条件</w:t>
      </w:r>
      <w:r>
        <w:rPr>
          <w:rFonts w:hint="eastAsia" w:ascii="宋体" w:hAnsi="宋体" w:cs="宋体"/>
          <w:b w:val="0"/>
          <w:i w:val="0"/>
          <w:caps w:val="0"/>
          <w:color w:val="auto"/>
          <w:spacing w:val="0"/>
          <w:w w:val="100"/>
          <w:kern w:val="2"/>
          <w:sz w:val="24"/>
          <w:highlight w:val="none"/>
          <w:lang w:eastAsia="zh-CN"/>
        </w:rPr>
        <w:t>如：</w:t>
      </w:r>
      <w:r>
        <w:rPr>
          <w:rFonts w:hint="eastAsia" w:ascii="宋体" w:hAnsi="宋体" w:cs="宋体"/>
          <w:b w:val="0"/>
          <w:i w:val="0"/>
          <w:caps w:val="0"/>
          <w:color w:val="auto"/>
          <w:spacing w:val="0"/>
          <w:w w:val="100"/>
          <w:kern w:val="2"/>
          <w:sz w:val="24"/>
          <w:highlight w:val="none"/>
        </w:rPr>
        <w:t>页面大小、创建时间、包含、等于、大于、小于等）</w:t>
      </w:r>
      <w:r>
        <w:rPr>
          <w:rFonts w:hint="eastAsia" w:ascii="宋体" w:hAnsi="宋体" w:cs="宋体"/>
          <w:b w:val="0"/>
          <w:i w:val="0"/>
          <w:caps w:val="0"/>
          <w:color w:val="auto"/>
          <w:spacing w:val="0"/>
          <w:w w:val="100"/>
          <w:kern w:val="2"/>
          <w:sz w:val="24"/>
          <w:highlight w:val="none"/>
          <w:lang w:eastAsia="zh-CN"/>
        </w:rPr>
        <w:t>，</w:t>
      </w:r>
      <w:r>
        <w:rPr>
          <w:rFonts w:hint="eastAsia" w:ascii="宋体" w:hAnsi="宋体" w:cs="宋体"/>
          <w:b w:val="0"/>
          <w:i w:val="0"/>
          <w:caps w:val="0"/>
          <w:color w:val="auto"/>
          <w:spacing w:val="0"/>
          <w:w w:val="100"/>
          <w:kern w:val="2"/>
          <w:sz w:val="24"/>
          <w:highlight w:val="none"/>
        </w:rPr>
        <w:t>查询结果可以进行数据复制和借用操作。当选择借用是指其它用户对创建人的文件进行借用，只能浏览，不能对文件进行出库、入库、发布、重发布、归档等操作，当创建人更改原文件时，被借用文件将第一时间跟着原文件进行自动更新，显示创建人最终更改的内容；如选择复制，则可以拥有修改的权限。</w:t>
      </w:r>
    </w:p>
    <w:p>
      <w:pPr>
        <w:pStyle w:val="15"/>
        <w:keepNext w:val="0"/>
        <w:keepLines w:val="0"/>
        <w:pageBreakBefore w:val="0"/>
        <w:widowControl/>
        <w:kinsoku/>
        <w:wordWrap/>
        <w:overflowPunct/>
        <w:topLinePunct w:val="0"/>
        <w:autoSpaceDE/>
        <w:autoSpaceDN/>
        <w:bidi w:val="0"/>
        <w:adjustRightInd/>
        <w:snapToGrid/>
        <w:spacing w:before="75" w:after="75" w:line="360" w:lineRule="exact"/>
        <w:textAlignment w:val="auto"/>
        <w:outlineLvl w:val="1"/>
        <w:rPr>
          <w:b/>
          <w:bCs/>
          <w:color w:val="auto"/>
          <w:highlight w:val="none"/>
        </w:rPr>
      </w:pPr>
      <w:r>
        <w:rPr>
          <w:rFonts w:hint="eastAsia" w:ascii="宋体" w:hAnsi="宋体" w:cs="宋体"/>
          <w:b/>
          <w:bCs/>
          <w:color w:val="auto"/>
          <w:szCs w:val="24"/>
          <w:highlight w:val="none"/>
          <w:lang w:val="en-US" w:eastAsia="zh-CN"/>
        </w:rPr>
        <w:t>三</w:t>
      </w:r>
      <w:r>
        <w:rPr>
          <w:rFonts w:hint="eastAsia" w:ascii="宋体" w:hAnsi="宋体" w:cs="宋体"/>
          <w:b/>
          <w:bCs/>
          <w:color w:val="auto"/>
          <w:szCs w:val="24"/>
          <w:highlight w:val="none"/>
        </w:rPr>
        <w:t>、商务条件</w:t>
      </w:r>
      <w:r>
        <w:rPr>
          <w:rStyle w:val="23"/>
          <w:rFonts w:hint="eastAsia" w:ascii="宋体" w:hAnsi="宋体" w:cs="宋体"/>
          <w:b/>
          <w:bCs/>
          <w:color w:val="auto"/>
          <w:szCs w:val="24"/>
          <w:highlight w:val="none"/>
        </w:rPr>
        <w:t>（以“★”标示的内容为不允许负偏离的实质性要求）</w:t>
      </w:r>
    </w:p>
    <w:p>
      <w:pPr>
        <w:pStyle w:val="15"/>
        <w:keepNext w:val="0"/>
        <w:keepLines w:val="0"/>
        <w:widowControl/>
        <w:suppressLineNumbers w:val="0"/>
        <w:spacing w:before="75" w:beforeAutospacing="0" w:after="75" w:afterAutospacing="0"/>
        <w:ind w:left="0" w:right="0" w:firstLine="0"/>
        <w:rPr>
          <w:rStyle w:val="23"/>
          <w:rFonts w:hint="default" w:ascii="宋体" w:hAnsi="宋体" w:eastAsia="宋体" w:cs="宋体"/>
          <w:color w:val="auto"/>
          <w:spacing w:val="0"/>
          <w:sz w:val="24"/>
          <w:szCs w:val="24"/>
          <w:highlight w:val="none"/>
          <w:lang w:val="en-US" w:eastAsia="zh-CN"/>
        </w:rPr>
      </w:pPr>
      <w:r>
        <w:rPr>
          <w:rStyle w:val="23"/>
          <w:rFonts w:hint="eastAsia" w:ascii="宋体" w:hAnsi="宋体" w:cs="宋体"/>
          <w:color w:val="auto"/>
          <w:spacing w:val="0"/>
          <w:sz w:val="24"/>
          <w:szCs w:val="24"/>
          <w:highlight w:val="none"/>
          <w:lang w:val="en-US" w:eastAsia="zh-CN"/>
        </w:rPr>
        <w:t>合同包1</w:t>
      </w:r>
    </w:p>
    <w:p>
      <w:pPr>
        <w:pStyle w:val="15"/>
        <w:keepNext w:val="0"/>
        <w:keepLines w:val="0"/>
        <w:widowControl/>
        <w:numPr>
          <w:ilvl w:val="0"/>
          <w:numId w:val="5"/>
        </w:numPr>
        <w:suppressLineNumbers w:val="0"/>
        <w:autoSpaceDE w:val="0"/>
        <w:autoSpaceDN/>
        <w:spacing w:before="0" w:beforeAutospacing="0" w:after="0" w:afterAutospacing="0" w:line="405" w:lineRule="atLeast"/>
        <w:ind w:left="0" w:right="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服务</w:t>
      </w:r>
      <w:r>
        <w:rPr>
          <w:rFonts w:ascii="宋体" w:hAnsi="宋体" w:eastAsia="宋体" w:cs="宋体"/>
          <w:i w:val="0"/>
          <w:iCs w:val="0"/>
          <w:caps w:val="0"/>
          <w:color w:val="auto"/>
          <w:spacing w:val="0"/>
          <w:sz w:val="24"/>
          <w:szCs w:val="24"/>
          <w:highlight w:val="none"/>
        </w:rPr>
        <w:t>地点：</w:t>
      </w:r>
      <w:r>
        <w:rPr>
          <w:rFonts w:hint="eastAsia" w:ascii="宋体" w:hAnsi="宋体" w:eastAsia="宋体" w:cs="宋体"/>
          <w:i w:val="0"/>
          <w:iCs w:val="0"/>
          <w:caps w:val="0"/>
          <w:color w:val="auto"/>
          <w:spacing w:val="0"/>
          <w:sz w:val="24"/>
          <w:szCs w:val="24"/>
          <w:highlight w:val="none"/>
          <w:lang w:val="en-US" w:eastAsia="zh-CN"/>
        </w:rPr>
        <w:t>湄洲湾职业技术学院指定地点</w:t>
      </w:r>
    </w:p>
    <w:p>
      <w:pPr>
        <w:pStyle w:val="15"/>
        <w:keepNext w:val="0"/>
        <w:keepLines w:val="0"/>
        <w:widowControl/>
        <w:numPr>
          <w:ilvl w:val="0"/>
          <w:numId w:val="5"/>
        </w:numPr>
        <w:suppressLineNumbers w:val="0"/>
        <w:autoSpaceDE w:val="0"/>
        <w:autoSpaceDN/>
        <w:spacing w:before="0" w:beforeAutospacing="0" w:after="0" w:afterAutospacing="0" w:line="405" w:lineRule="atLeast"/>
        <w:ind w:left="0" w:leftChars="0" w:right="0" w:rightChars="0" w:firstLine="0" w:firstLineChars="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合同期限：</w:t>
      </w:r>
      <w:r>
        <w:rPr>
          <w:rStyle w:val="23"/>
          <w:rFonts w:hint="eastAsia" w:ascii="宋体" w:hAnsi="宋体" w:cs="宋体"/>
          <w:b w:val="0"/>
          <w:bCs/>
          <w:i w:val="0"/>
          <w:caps w:val="0"/>
          <w:color w:val="auto"/>
          <w:spacing w:val="0"/>
          <w:w w:val="100"/>
          <w:sz w:val="24"/>
          <w:szCs w:val="24"/>
          <w:highlight w:val="none"/>
          <w:lang w:val="en-US" w:eastAsia="zh-CN"/>
        </w:rPr>
        <w:t>2022年8月-12月</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3、交付条件：</w:t>
      </w:r>
      <w:r>
        <w:rPr>
          <w:rStyle w:val="23"/>
          <w:rFonts w:hint="eastAsia" w:ascii="宋体" w:hAnsi="宋体" w:cs="宋体"/>
          <w:b w:val="0"/>
          <w:bCs/>
          <w:i w:val="0"/>
          <w:caps w:val="0"/>
          <w:color w:val="auto"/>
          <w:spacing w:val="0"/>
          <w:w w:val="100"/>
          <w:sz w:val="24"/>
          <w:szCs w:val="24"/>
          <w:highlight w:val="none"/>
          <w:lang w:eastAsia="zh-CN"/>
        </w:rPr>
        <w:t>现场</w:t>
      </w:r>
      <w:r>
        <w:rPr>
          <w:rStyle w:val="23"/>
          <w:rFonts w:hint="eastAsia" w:ascii="宋体" w:hAnsi="宋体" w:eastAsia="宋体" w:cs="宋体"/>
          <w:b w:val="0"/>
          <w:bCs/>
          <w:i w:val="0"/>
          <w:caps w:val="0"/>
          <w:color w:val="auto"/>
          <w:spacing w:val="0"/>
          <w:w w:val="100"/>
          <w:sz w:val="24"/>
          <w:szCs w:val="24"/>
          <w:highlight w:val="none"/>
        </w:rPr>
        <w:t>交付</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4、是否收取履约保证金：否</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5、是否邀请投标人参与验收：否</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75" w:afterAutospacing="0" w:line="360" w:lineRule="auto"/>
        <w:ind w:left="0" w:right="0" w:firstLine="0"/>
        <w:jc w:val="left"/>
        <w:textAlignment w:val="baseline"/>
        <w:rPr>
          <w:rFonts w:ascii="Calibri" w:hAnsi="Calibri" w:eastAsia="宋体" w:cs="Times New Roman"/>
          <w:b w:val="0"/>
          <w:bCs/>
          <w:i w:val="0"/>
          <w:caps w:val="0"/>
          <w:color w:val="auto"/>
          <w:spacing w:val="0"/>
          <w:w w:val="100"/>
          <w:sz w:val="24"/>
          <w:highlight w:val="none"/>
        </w:rPr>
      </w:pPr>
      <w:r>
        <w:rPr>
          <w:rFonts w:hint="eastAsia" w:ascii="宋体" w:hAnsi="宋体" w:eastAsia="宋体" w:cs="宋体"/>
          <w:b w:val="0"/>
          <w:bCs w:val="0"/>
          <w:color w:val="auto"/>
          <w:sz w:val="24"/>
          <w:szCs w:val="24"/>
          <w:highlight w:val="none"/>
          <w:lang w:val="en-US" w:eastAsia="zh-CN"/>
        </w:rPr>
        <w:t>6、</w:t>
      </w:r>
      <w:r>
        <w:rPr>
          <w:rStyle w:val="23"/>
          <w:rFonts w:hint="eastAsia" w:ascii="宋体" w:hAnsi="宋体" w:eastAsia="宋体" w:cs="宋体"/>
          <w:b w:val="0"/>
          <w:bCs/>
          <w:i w:val="0"/>
          <w:caps w:val="0"/>
          <w:color w:val="auto"/>
          <w:spacing w:val="0"/>
          <w:w w:val="100"/>
          <w:sz w:val="24"/>
          <w:szCs w:val="24"/>
          <w:highlight w:val="none"/>
        </w:rPr>
        <w:t>验收方式数据表格</w:t>
      </w:r>
    </w:p>
    <w:tbl>
      <w:tblPr>
        <w:tblStyle w:val="1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667" w:type="dxa"/>
            <w:tcBorders>
              <w:top w:val="outset" w:color="auto" w:sz="6" w:space="0"/>
              <w:left w:val="outset" w:color="auto" w:sz="6" w:space="0"/>
              <w:bottom w:val="outset" w:color="auto" w:sz="6" w:space="0"/>
              <w:right w:val="outset" w:color="auto" w:sz="6" w:space="0"/>
            </w:tcBorders>
            <w:shd w:val="clear" w:color="auto" w:fill="auto"/>
            <w:vAlign w:val="center"/>
          </w:tcPr>
          <w:p>
            <w:pPr>
              <w:keepLines w:val="0"/>
              <w:widowControl/>
              <w:suppressLineNumbers w:val="0"/>
              <w:snapToGrid/>
              <w:spacing w:before="0" w:beforeAutospacing="0" w:after="0" w:afterAutospacing="0" w:line="360" w:lineRule="auto"/>
              <w:jc w:val="center"/>
              <w:textAlignment w:val="baseline"/>
              <w:rPr>
                <w:b w:val="0"/>
                <w:i w:val="0"/>
                <w:caps w:val="0"/>
                <w:color w:val="auto"/>
                <w:spacing w:val="0"/>
                <w:w w:val="100"/>
                <w:sz w:val="20"/>
                <w:highlight w:val="none"/>
              </w:rPr>
            </w:pPr>
            <w:r>
              <w:rPr>
                <w:rFonts w:ascii="宋体" w:hAnsi="宋体" w:eastAsia="宋体" w:cs="宋体"/>
                <w:b w:val="0"/>
                <w:i w:val="0"/>
                <w:caps w:val="0"/>
                <w:color w:val="auto"/>
                <w:spacing w:val="0"/>
                <w:w w:val="100"/>
                <w:kern w:val="0"/>
                <w:sz w:val="24"/>
                <w:szCs w:val="24"/>
                <w:highlight w:val="none"/>
                <w:lang w:val="en-US" w:eastAsia="zh-CN" w:bidi="ar"/>
              </w:rPr>
              <w:t>验收期次</w:t>
            </w:r>
          </w:p>
        </w:tc>
        <w:tc>
          <w:tcPr>
            <w:tcW w:w="6669" w:type="dxa"/>
            <w:tcBorders>
              <w:top w:val="outset" w:color="auto" w:sz="6" w:space="0"/>
              <w:left w:val="outset" w:color="auto" w:sz="6" w:space="0"/>
              <w:bottom w:val="outset" w:color="auto" w:sz="6" w:space="0"/>
              <w:right w:val="outset" w:color="auto" w:sz="6" w:space="0"/>
            </w:tcBorders>
            <w:shd w:val="clear" w:color="auto" w:fill="auto"/>
            <w:vAlign w:val="center"/>
          </w:tcPr>
          <w:p>
            <w:pPr>
              <w:keepLines w:val="0"/>
              <w:widowControl/>
              <w:suppressLineNumbers w:val="0"/>
              <w:snapToGrid/>
              <w:spacing w:before="0" w:beforeAutospacing="0" w:after="0" w:afterAutospacing="0" w:line="360" w:lineRule="auto"/>
              <w:jc w:val="center"/>
              <w:textAlignment w:val="baseline"/>
              <w:rPr>
                <w:b w:val="0"/>
                <w:i w:val="0"/>
                <w:caps w:val="0"/>
                <w:color w:val="auto"/>
                <w:spacing w:val="0"/>
                <w:w w:val="100"/>
                <w:sz w:val="20"/>
                <w:highlight w:val="none"/>
              </w:rPr>
            </w:pPr>
            <w:r>
              <w:rPr>
                <w:rFonts w:ascii="宋体" w:hAnsi="宋体" w:eastAsia="宋体" w:cs="宋体"/>
                <w:b w:val="0"/>
                <w:i w:val="0"/>
                <w:caps w:val="0"/>
                <w:color w:val="auto"/>
                <w:spacing w:val="0"/>
                <w:w w:val="100"/>
                <w:kern w:val="0"/>
                <w:sz w:val="24"/>
                <w:szCs w:val="24"/>
                <w:highlight w:val="none"/>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0" w:type="dxa"/>
        </w:trPr>
        <w:tc>
          <w:tcPr>
            <w:tcW w:w="1667" w:type="dxa"/>
            <w:tcBorders>
              <w:top w:val="outset" w:color="auto" w:sz="6" w:space="0"/>
              <w:left w:val="outset" w:color="auto" w:sz="6" w:space="0"/>
              <w:bottom w:val="outset" w:color="auto" w:sz="6" w:space="0"/>
              <w:right w:val="outset" w:color="auto" w:sz="6" w:space="0"/>
            </w:tcBorders>
            <w:shd w:val="clear" w:color="auto" w:fill="auto"/>
            <w:vAlign w:val="center"/>
          </w:tcPr>
          <w:p>
            <w:pPr>
              <w:keepLines w:val="0"/>
              <w:widowControl/>
              <w:suppressLineNumbers w:val="0"/>
              <w:snapToGrid/>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kern w:val="0"/>
                <w:sz w:val="24"/>
                <w:szCs w:val="24"/>
                <w:highlight w:val="none"/>
                <w:lang w:val="en-US" w:eastAsia="zh-CN" w:bidi="ar"/>
              </w:rPr>
              <w:t>1</w:t>
            </w:r>
          </w:p>
        </w:tc>
        <w:tc>
          <w:tcPr>
            <w:tcW w:w="6669" w:type="dxa"/>
            <w:tcBorders>
              <w:top w:val="outset" w:color="auto" w:sz="6" w:space="0"/>
              <w:left w:val="outset" w:color="auto" w:sz="6" w:space="0"/>
              <w:bottom w:val="outset" w:color="auto" w:sz="6" w:space="0"/>
              <w:right w:val="outset" w:color="auto" w:sz="6" w:space="0"/>
            </w:tcBorders>
            <w:shd w:val="clear" w:color="auto" w:fill="auto"/>
            <w:vAlign w:val="center"/>
          </w:tcPr>
          <w:p>
            <w:pPr>
              <w:keepLines w:val="0"/>
              <w:widowControl/>
              <w:suppressLineNumbers w:val="0"/>
              <w:snapToGrid/>
              <w:spacing w:before="0" w:beforeAutospacing="0" w:after="0" w:afterAutospacing="0" w:line="360" w:lineRule="auto"/>
              <w:jc w:val="left"/>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供应商应按招标文件要求的技术标准提交，再经采购人组织进行验收，验收通过后方可完成交付。</w:t>
            </w:r>
          </w:p>
        </w:tc>
      </w:tr>
    </w:tbl>
    <w:p>
      <w:pPr>
        <w:keepNext w:val="0"/>
        <w:keepLines w:val="0"/>
        <w:pageBreakBefore w:val="0"/>
        <w:widowControl/>
        <w:suppressLineNumbers w:val="0"/>
        <w:kinsoku/>
        <w:wordWrap/>
        <w:overflowPunct/>
        <w:topLinePunct w:val="0"/>
        <w:autoSpaceDE/>
        <w:autoSpaceDN/>
        <w:bidi w:val="0"/>
        <w:adjustRightInd/>
        <w:snapToGrid w:val="0"/>
        <w:spacing w:before="157" w:beforeLines="50" w:beforeAutospacing="0" w:after="30" w:afterAutospacing="0" w:line="360" w:lineRule="auto"/>
        <w:jc w:val="left"/>
        <w:textAlignment w:val="baseline"/>
        <w:rPr>
          <w:rStyle w:val="23"/>
          <w:rFonts w:hint="eastAsia" w:ascii="宋体" w:hAnsi="宋体" w:cs="宋体" w:eastAsiaTheme="minorEastAsia"/>
          <w:b w:val="0"/>
          <w:bCs/>
          <w:i w:val="0"/>
          <w:caps w:val="0"/>
          <w:color w:val="auto"/>
          <w:spacing w:val="0"/>
          <w:w w:val="100"/>
          <w:kern w:val="0"/>
          <w:sz w:val="24"/>
          <w:szCs w:val="24"/>
          <w:highlight w:val="none"/>
          <w:lang w:val="en-US" w:eastAsia="zh-CN" w:bidi="ar"/>
        </w:rPr>
      </w:pPr>
      <w:r>
        <w:rPr>
          <w:rStyle w:val="23"/>
          <w:rFonts w:hint="eastAsia" w:ascii="宋体" w:hAnsi="宋体" w:cs="宋体"/>
          <w:b w:val="0"/>
          <w:bCs/>
          <w:i w:val="0"/>
          <w:caps w:val="0"/>
          <w:color w:val="auto"/>
          <w:spacing w:val="0"/>
          <w:w w:val="100"/>
          <w:kern w:val="0"/>
          <w:sz w:val="24"/>
          <w:szCs w:val="24"/>
          <w:highlight w:val="none"/>
          <w:lang w:val="en-US" w:eastAsia="zh-CN" w:bidi="ar"/>
        </w:rPr>
        <w:t>7</w:t>
      </w:r>
      <w:r>
        <w:rPr>
          <w:rStyle w:val="23"/>
          <w:rFonts w:hint="eastAsia" w:ascii="宋体" w:hAnsi="宋体" w:cs="宋体" w:eastAsiaTheme="minorEastAsia"/>
          <w:b w:val="0"/>
          <w:bCs/>
          <w:i w:val="0"/>
          <w:caps w:val="0"/>
          <w:color w:val="auto"/>
          <w:spacing w:val="0"/>
          <w:w w:val="100"/>
          <w:kern w:val="0"/>
          <w:sz w:val="24"/>
          <w:szCs w:val="24"/>
          <w:highlight w:val="none"/>
          <w:lang w:val="en-US" w:eastAsia="zh-CN" w:bidi="ar"/>
        </w:rPr>
        <w:t>、支付方式数据表格</w:t>
      </w:r>
    </w:p>
    <w:tbl>
      <w:tblPr>
        <w:tblStyle w:val="1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32"/>
        <w:gridCol w:w="1471"/>
        <w:gridCol w:w="58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032" w:type="dxa"/>
            <w:tcBorders>
              <w:top w:val="outset" w:color="auto" w:sz="6" w:space="0"/>
              <w:left w:val="outset" w:color="auto" w:sz="6" w:space="0"/>
              <w:bottom w:val="outset" w:color="auto" w:sz="6" w:space="0"/>
              <w:right w:val="outset" w:color="auto" w:sz="6" w:space="0"/>
            </w:tcBorders>
            <w:shd w:val="clear" w:color="auto" w:fill="auto"/>
            <w:vAlign w:val="center"/>
          </w:tcPr>
          <w:p>
            <w:pPr>
              <w:keepLines w:val="0"/>
              <w:widowControl/>
              <w:suppressLineNumbers w:val="0"/>
              <w:snapToGrid/>
              <w:spacing w:before="0" w:beforeAutospacing="0" w:after="0" w:afterAutospacing="0" w:line="360" w:lineRule="auto"/>
              <w:jc w:val="center"/>
              <w:textAlignment w:val="baseline"/>
              <w:rPr>
                <w:b w:val="0"/>
                <w:i w:val="0"/>
                <w:caps w:val="0"/>
                <w:color w:val="auto"/>
                <w:spacing w:val="0"/>
                <w:w w:val="100"/>
                <w:sz w:val="24"/>
                <w:szCs w:val="24"/>
                <w:highlight w:val="none"/>
              </w:rPr>
            </w:pPr>
            <w:r>
              <w:rPr>
                <w:rFonts w:ascii="宋体" w:hAnsi="宋体" w:eastAsia="宋体" w:cs="宋体"/>
                <w:b w:val="0"/>
                <w:i w:val="0"/>
                <w:caps w:val="0"/>
                <w:color w:val="auto"/>
                <w:spacing w:val="0"/>
                <w:w w:val="100"/>
                <w:kern w:val="0"/>
                <w:sz w:val="24"/>
                <w:szCs w:val="24"/>
                <w:highlight w:val="none"/>
                <w:lang w:val="en-US" w:eastAsia="zh-CN" w:bidi="ar"/>
              </w:rPr>
              <w:t>支付期次</w:t>
            </w:r>
          </w:p>
        </w:tc>
        <w:tc>
          <w:tcPr>
            <w:tcW w:w="1471" w:type="dxa"/>
            <w:tcBorders>
              <w:top w:val="outset" w:color="auto" w:sz="6" w:space="0"/>
              <w:left w:val="outset" w:color="auto" w:sz="6" w:space="0"/>
              <w:bottom w:val="outset" w:color="auto" w:sz="6" w:space="0"/>
              <w:right w:val="outset" w:color="auto" w:sz="6" w:space="0"/>
            </w:tcBorders>
            <w:shd w:val="clear" w:color="auto" w:fill="auto"/>
            <w:vAlign w:val="center"/>
          </w:tcPr>
          <w:p>
            <w:pPr>
              <w:keepLines w:val="0"/>
              <w:widowControl/>
              <w:suppressLineNumbers w:val="0"/>
              <w:snapToGrid/>
              <w:spacing w:before="0" w:beforeAutospacing="0" w:after="0" w:afterAutospacing="0" w:line="360" w:lineRule="auto"/>
              <w:jc w:val="center"/>
              <w:textAlignment w:val="baseline"/>
              <w:rPr>
                <w:b w:val="0"/>
                <w:i w:val="0"/>
                <w:caps w:val="0"/>
                <w:color w:val="auto"/>
                <w:spacing w:val="0"/>
                <w:w w:val="100"/>
                <w:sz w:val="24"/>
                <w:szCs w:val="24"/>
                <w:highlight w:val="none"/>
              </w:rPr>
            </w:pPr>
            <w:r>
              <w:rPr>
                <w:rFonts w:ascii="宋体" w:hAnsi="宋体" w:eastAsia="宋体" w:cs="宋体"/>
                <w:b w:val="0"/>
                <w:i w:val="0"/>
                <w:caps w:val="0"/>
                <w:color w:val="auto"/>
                <w:spacing w:val="0"/>
                <w:w w:val="100"/>
                <w:kern w:val="0"/>
                <w:sz w:val="24"/>
                <w:szCs w:val="24"/>
                <w:highlight w:val="none"/>
                <w:lang w:val="en-US" w:eastAsia="zh-CN" w:bidi="ar"/>
              </w:rPr>
              <w:t>支付比例(%)</w:t>
            </w:r>
          </w:p>
        </w:tc>
        <w:tc>
          <w:tcPr>
            <w:tcW w:w="5833" w:type="dxa"/>
            <w:tcBorders>
              <w:top w:val="outset" w:color="auto" w:sz="6" w:space="0"/>
              <w:left w:val="outset" w:color="auto" w:sz="6" w:space="0"/>
              <w:bottom w:val="outset" w:color="auto" w:sz="6" w:space="0"/>
              <w:right w:val="outset" w:color="auto" w:sz="6" w:space="0"/>
            </w:tcBorders>
            <w:shd w:val="clear" w:color="auto" w:fill="auto"/>
            <w:vAlign w:val="center"/>
          </w:tcPr>
          <w:p>
            <w:pPr>
              <w:keepLines w:val="0"/>
              <w:widowControl/>
              <w:suppressLineNumbers w:val="0"/>
              <w:snapToGrid/>
              <w:spacing w:before="0" w:beforeAutospacing="0" w:after="0" w:afterAutospacing="0" w:line="360" w:lineRule="auto"/>
              <w:jc w:val="center"/>
              <w:textAlignment w:val="baseline"/>
              <w:rPr>
                <w:b w:val="0"/>
                <w:i w:val="0"/>
                <w:caps w:val="0"/>
                <w:color w:val="auto"/>
                <w:spacing w:val="0"/>
                <w:w w:val="100"/>
                <w:sz w:val="24"/>
                <w:szCs w:val="24"/>
                <w:highlight w:val="none"/>
              </w:rPr>
            </w:pPr>
            <w:r>
              <w:rPr>
                <w:rFonts w:ascii="宋体" w:hAnsi="宋体" w:eastAsia="宋体" w:cs="宋体"/>
                <w:b w:val="0"/>
                <w:i w:val="0"/>
                <w:caps w:val="0"/>
                <w:color w:val="auto"/>
                <w:spacing w:val="0"/>
                <w:w w:val="100"/>
                <w:kern w:val="0"/>
                <w:sz w:val="24"/>
                <w:szCs w:val="24"/>
                <w:highlight w:val="none"/>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63" w:hRule="atLeast"/>
          <w:tblCellSpacing w:w="0" w:type="dxa"/>
        </w:trPr>
        <w:tc>
          <w:tcPr>
            <w:tcW w:w="103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spacing w:before="0" w:beforeAutospacing="0" w:after="0" w:afterAutospacing="0" w:line="360" w:lineRule="auto"/>
              <w:jc w:val="center"/>
              <w:textAlignment w:val="baseline"/>
              <w:rPr>
                <w:b w:val="0"/>
                <w:i w:val="0"/>
                <w:caps w:val="0"/>
                <w:color w:val="000000" w:themeColor="text1"/>
                <w:spacing w:val="0"/>
                <w:w w:val="100"/>
                <w:sz w:val="24"/>
                <w:szCs w:val="24"/>
                <w14:textFill>
                  <w14:solidFill>
                    <w14:schemeClr w14:val="tx1"/>
                  </w14:solidFill>
                </w14:textFill>
              </w:rPr>
            </w:pPr>
            <w:r>
              <w:rPr>
                <w:rFonts w:hint="eastAsia" w:ascii="宋体" w:hAnsi="宋体" w:cs="宋体"/>
                <w:b w:val="0"/>
                <w:i w:val="0"/>
                <w:caps w:val="0"/>
                <w:color w:val="000000" w:themeColor="text1"/>
                <w:spacing w:val="0"/>
                <w:w w:val="100"/>
                <w:kern w:val="0"/>
                <w:sz w:val="24"/>
                <w:szCs w:val="24"/>
                <w:lang w:val="en-US" w:eastAsia="zh-CN" w:bidi="ar"/>
                <w14:textFill>
                  <w14:solidFill>
                    <w14:schemeClr w14:val="tx1"/>
                  </w14:solidFill>
                </w14:textFill>
              </w:rPr>
              <w:t>1</w:t>
            </w:r>
          </w:p>
        </w:tc>
        <w:tc>
          <w:tcPr>
            <w:tcW w:w="147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spacing w:before="0" w:beforeAutospacing="0" w:after="0" w:afterAutospacing="0" w:line="360" w:lineRule="auto"/>
              <w:jc w:val="center"/>
              <w:textAlignment w:val="baseline"/>
              <w:rPr>
                <w:rFonts w:hint="default" w:eastAsia="宋体"/>
                <w:b w:val="0"/>
                <w:i w:val="0"/>
                <w:caps w:val="0"/>
                <w:color w:val="000000" w:themeColor="text1"/>
                <w:spacing w:val="0"/>
                <w:w w:val="100"/>
                <w:sz w:val="24"/>
                <w:szCs w:val="24"/>
                <w:lang w:val="en-US" w:eastAsia="zh-CN"/>
                <w14:textFill>
                  <w14:solidFill>
                    <w14:schemeClr w14:val="tx1"/>
                  </w14:solidFill>
                </w14:textFill>
              </w:rPr>
            </w:pPr>
            <w:r>
              <w:rPr>
                <w:rFonts w:hint="eastAsia" w:ascii="宋体" w:hAnsi="宋体" w:cs="宋体"/>
                <w:b w:val="0"/>
                <w:i w:val="0"/>
                <w:caps w:val="0"/>
                <w:color w:val="000000" w:themeColor="text1"/>
                <w:spacing w:val="0"/>
                <w:w w:val="100"/>
                <w:kern w:val="0"/>
                <w:sz w:val="24"/>
                <w:szCs w:val="24"/>
                <w:lang w:val="en-US" w:eastAsia="zh-CN" w:bidi="ar"/>
                <w14:textFill>
                  <w14:solidFill>
                    <w14:schemeClr w14:val="tx1"/>
                  </w14:solidFill>
                </w14:textFill>
              </w:rPr>
              <w:t>100%</w:t>
            </w:r>
          </w:p>
        </w:tc>
        <w:tc>
          <w:tcPr>
            <w:tcW w:w="5833"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5"/>
              <w:snapToGrid/>
              <w:spacing w:before="0" w:beforeAutospacing="0" w:after="0" w:afterAutospacing="0" w:line="360" w:lineRule="auto"/>
              <w:jc w:val="both"/>
              <w:textAlignment w:val="baseline"/>
              <w:rPr>
                <w:rFonts w:hint="default" w:ascii="宋体" w:hAnsi="宋体" w:cs="宋体"/>
                <w:b w:val="0"/>
                <w:i w:val="0"/>
                <w:caps w:val="0"/>
                <w:color w:val="FF0000"/>
                <w:spacing w:val="0"/>
                <w:w w:val="100"/>
                <w:kern w:val="0"/>
                <w:sz w:val="24"/>
                <w:szCs w:val="24"/>
                <w:lang w:val="en-US" w:eastAsia="zh-CN" w:bidi="ar"/>
              </w:rPr>
            </w:pPr>
            <w:r>
              <w:rPr>
                <w:rFonts w:hint="eastAsia" w:ascii="宋体" w:hAnsi="宋体" w:cs="宋体"/>
                <w:sz w:val="24"/>
                <w:szCs w:val="24"/>
                <w:lang w:val="en-US" w:eastAsia="zh-CN"/>
              </w:rPr>
              <w:t>根据成交供应商制作完成，并通过采购人验收合格，100%支付。</w:t>
            </w:r>
          </w:p>
        </w:tc>
      </w:tr>
    </w:tbl>
    <w:p>
      <w:pPr>
        <w:pStyle w:val="1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44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lang w:val="en-US" w:eastAsia="zh-CN"/>
        </w:rPr>
        <w:t>8、</w:t>
      </w:r>
      <w:r>
        <w:rPr>
          <w:rFonts w:hint="eastAsia" w:ascii="宋体" w:hAnsi="宋体" w:eastAsia="宋体" w:cs="宋体"/>
          <w:color w:val="auto"/>
          <w:sz w:val="24"/>
          <w:szCs w:val="24"/>
          <w:highlight w:val="none"/>
        </w:rPr>
        <w:t>违约责任</w:t>
      </w:r>
    </w:p>
    <w:p>
      <w:pPr>
        <w:pStyle w:val="1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1因中标人原因造成采购合同无法按时签订，视为中标人违约，采购人有权没收其投标保证金；采购合同之后，中标人要求解除合同的，视为中标人违约，中标还需另行支付相应的赔偿。</w:t>
      </w:r>
    </w:p>
    <w:p>
      <w:pPr>
        <w:pStyle w:val="1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2因中标人原因发生重大质量事故，除依约承担赔偿责任外，还将按有关质量管理办法规定执行。同时，采购人有权保留更换中标人的权利，并报相关行政主管部门处罚。</w:t>
      </w:r>
    </w:p>
    <w:p>
      <w:pPr>
        <w:pStyle w:val="1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3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中标人，给采购人造成的损失，还应承担赔偿责任。</w:t>
      </w:r>
    </w:p>
    <w:p>
      <w:pPr>
        <w:pStyle w:val="1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4在明确违约责任后，中标人应在接到书面通知书起七天内支付违约金、赔偿金等。</w:t>
      </w:r>
    </w:p>
    <w:p>
      <w:pPr>
        <w:pStyle w:val="1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5中标方在履行合同过程中，如果遇到不能按时交货和提供服务的情况，应在该情形发生之日起3日内以书面形式将不能按期履行合同的理由、延误的时间通知采购人。采购人在收到中标方通知后，应对情况进行分析、研究，以决定是否修改合同、酌情延长合同的履行时间，或终止合同。</w:t>
      </w:r>
    </w:p>
    <w:p>
      <w:pPr>
        <w:pStyle w:val="1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440" w:lineRule="exact"/>
        <w:ind w:right="0" w:rightChars="0" w:firstLine="480" w:firstLineChars="200"/>
        <w:textAlignment w:val="auto"/>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6除合同规定外，如果中标方由于自身的原因未能按期履行合同，采购人有权按每延期一天收取合同价款0.5%的违约金，但总额不得超过合同价款的3%。该部分违约金采购人有权直接从对中标方的应付款中扣减。如果达到最高限额，采购人有权终止合同。</w:t>
      </w:r>
    </w:p>
    <w:p>
      <w:pPr>
        <w:pStyle w:val="15"/>
        <w:keepNext w:val="0"/>
        <w:keepLines w:val="0"/>
        <w:widowControl/>
        <w:suppressLineNumbers w:val="0"/>
        <w:spacing w:before="75" w:beforeAutospacing="0" w:after="75" w:afterAutospacing="0"/>
        <w:ind w:left="0" w:right="0" w:firstLine="0"/>
        <w:rPr>
          <w:rFonts w:hint="eastAsia" w:ascii="宋体" w:hAnsi="宋体" w:eastAsia="宋体" w:cs="宋体"/>
          <w:b/>
          <w:bCs/>
          <w:color w:val="auto"/>
          <w:spacing w:val="0"/>
          <w:sz w:val="24"/>
          <w:szCs w:val="24"/>
          <w:highlight w:val="none"/>
          <w:lang w:val="en-US" w:eastAsia="zh-CN"/>
        </w:rPr>
      </w:pPr>
    </w:p>
    <w:p>
      <w:pPr>
        <w:pStyle w:val="15"/>
        <w:keepNext w:val="0"/>
        <w:keepLines w:val="0"/>
        <w:widowControl/>
        <w:suppressLineNumbers w:val="0"/>
        <w:spacing w:before="75" w:beforeAutospacing="0" w:after="75" w:afterAutospacing="0"/>
        <w:ind w:left="0" w:right="0" w:firstLine="0"/>
        <w:rPr>
          <w:b/>
          <w:bCs/>
          <w:color w:val="auto"/>
          <w:highlight w:val="none"/>
        </w:rPr>
      </w:pPr>
      <w:r>
        <w:rPr>
          <w:rFonts w:hint="eastAsia" w:ascii="宋体" w:hAnsi="宋体" w:eastAsia="宋体" w:cs="宋体"/>
          <w:b/>
          <w:bCs/>
          <w:color w:val="auto"/>
          <w:spacing w:val="0"/>
          <w:sz w:val="24"/>
          <w:szCs w:val="24"/>
          <w:highlight w:val="none"/>
          <w:lang w:val="en-US" w:eastAsia="zh-CN"/>
        </w:rPr>
        <w:t>四</w:t>
      </w:r>
      <w:r>
        <w:rPr>
          <w:rFonts w:hint="eastAsia" w:ascii="宋体" w:hAnsi="宋体" w:eastAsia="宋体" w:cs="宋体"/>
          <w:b/>
          <w:bCs/>
          <w:color w:val="auto"/>
          <w:spacing w:val="0"/>
          <w:sz w:val="24"/>
          <w:szCs w:val="24"/>
          <w:highlight w:val="none"/>
        </w:rPr>
        <w:t>、其他事项</w:t>
      </w:r>
    </w:p>
    <w:p>
      <w:pPr>
        <w:pStyle w:val="15"/>
        <w:keepNext w:val="0"/>
        <w:keepLines w:val="0"/>
        <w:widowControl/>
        <w:suppressLineNumbers w:val="0"/>
        <w:autoSpaceDE w:val="0"/>
        <w:autoSpaceDN/>
        <w:spacing w:before="0" w:beforeAutospacing="0" w:after="0" w:afterAutospacing="0" w:line="405"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1、除招标文件另有规定外，若出现有关法律、法规和规章有强制性规定但招标文件未列明的情形，则投标人应按照有关法律、法规和规章强制性规定执行。</w:t>
      </w:r>
    </w:p>
    <w:p>
      <w:pPr>
        <w:pStyle w:val="15"/>
        <w:keepNext w:val="0"/>
        <w:keepLines w:val="0"/>
        <w:widowControl/>
        <w:suppressLineNumbers w:val="0"/>
        <w:autoSpaceDE w:val="0"/>
        <w:autoSpaceDN/>
        <w:spacing w:before="0" w:beforeAutospacing="0" w:after="0" w:afterAutospacing="0" w:line="405"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w:t>
      </w:r>
    </w:p>
    <w:p>
      <w:pPr>
        <w:keepLines w:val="0"/>
        <w:widowControl w:val="0"/>
        <w:snapToGrid/>
        <w:spacing w:before="0" w:beforeAutospacing="0" w:after="0" w:afterAutospacing="0" w:line="360" w:lineRule="auto"/>
        <w:jc w:val="both"/>
        <w:textAlignment w:val="baseline"/>
        <w:rPr>
          <w:rFonts w:hint="eastAsia" w:ascii="宋体" w:hAnsi="宋体" w:eastAsia="宋体" w:cs="仿宋"/>
          <w:b/>
          <w:bCs/>
          <w:i w:val="0"/>
          <w:caps w:val="0"/>
          <w:color w:val="auto"/>
          <w:spacing w:val="0"/>
          <w:w w:val="100"/>
          <w:sz w:val="24"/>
          <w:highlight w:val="none"/>
        </w:rPr>
      </w:pPr>
      <w:r>
        <w:rPr>
          <w:rFonts w:hint="eastAsia" w:ascii="宋体" w:hAnsi="宋体" w:eastAsia="宋体" w:cs="仿宋"/>
          <w:b/>
          <w:bCs/>
          <w:i w:val="0"/>
          <w:caps w:val="0"/>
          <w:color w:val="auto"/>
          <w:spacing w:val="0"/>
          <w:w w:val="100"/>
          <w:sz w:val="24"/>
          <w:highlight w:val="none"/>
        </w:rPr>
        <w:t>（</w:t>
      </w:r>
      <w:r>
        <w:rPr>
          <w:rFonts w:hint="eastAsia" w:ascii="宋体" w:hAnsi="宋体" w:eastAsia="宋体" w:cs="仿宋"/>
          <w:b/>
          <w:bCs/>
          <w:i w:val="0"/>
          <w:caps w:val="0"/>
          <w:color w:val="auto"/>
          <w:spacing w:val="0"/>
          <w:w w:val="100"/>
          <w:sz w:val="24"/>
          <w:highlight w:val="none"/>
          <w:lang w:val="en-US" w:eastAsia="zh-CN"/>
        </w:rPr>
        <w:t>1</w:t>
      </w:r>
      <w:r>
        <w:rPr>
          <w:rFonts w:hint="eastAsia" w:ascii="宋体" w:hAnsi="宋体" w:eastAsia="宋体" w:cs="仿宋"/>
          <w:b/>
          <w:bCs/>
          <w:i w:val="0"/>
          <w:caps w:val="0"/>
          <w:color w:val="auto"/>
          <w:spacing w:val="0"/>
          <w:w w:val="100"/>
          <w:sz w:val="24"/>
          <w:highlight w:val="none"/>
        </w:rPr>
        <w:t>）现场演示要求</w:t>
      </w:r>
    </w:p>
    <w:p>
      <w:pPr>
        <w:keepLines w:val="0"/>
        <w:widowControl w:val="0"/>
        <w:snapToGrid/>
        <w:spacing w:before="0" w:beforeAutospacing="0" w:after="0" w:afterAutospacing="0" w:line="360" w:lineRule="auto"/>
        <w:ind w:firstLine="480" w:firstLineChars="200"/>
        <w:jc w:val="both"/>
        <w:textAlignment w:val="baseline"/>
        <w:rPr>
          <w:rFonts w:ascii="宋体" w:hAnsi="宋体" w:cs="仿宋"/>
          <w:b w:val="0"/>
          <w:i w:val="0"/>
          <w:caps w:val="0"/>
          <w:color w:val="auto"/>
          <w:spacing w:val="0"/>
          <w:w w:val="100"/>
          <w:sz w:val="24"/>
          <w:highlight w:val="none"/>
        </w:rPr>
      </w:pPr>
      <w:r>
        <w:rPr>
          <w:rFonts w:hint="eastAsia" w:ascii="宋体" w:hAnsi="宋体" w:cs="仿宋"/>
          <w:b w:val="0"/>
          <w:i w:val="0"/>
          <w:caps w:val="0"/>
          <w:color w:val="auto"/>
          <w:spacing w:val="0"/>
          <w:w w:val="100"/>
          <w:sz w:val="24"/>
          <w:highlight w:val="none"/>
        </w:rPr>
        <w:t>投标人须对以下条款进行现场演示（视频或PPT演示无效），不演示或演示不符合要求的按无效标处理，演示时间不超过1</w:t>
      </w:r>
      <w:r>
        <w:rPr>
          <w:rFonts w:hint="eastAsia" w:ascii="宋体" w:hAnsi="宋体" w:cs="仿宋"/>
          <w:b w:val="0"/>
          <w:i w:val="0"/>
          <w:caps w:val="0"/>
          <w:color w:val="auto"/>
          <w:spacing w:val="0"/>
          <w:w w:val="100"/>
          <w:sz w:val="24"/>
          <w:highlight w:val="none"/>
          <w:lang w:val="en-US" w:eastAsia="zh-CN"/>
        </w:rPr>
        <w:t>0</w:t>
      </w:r>
      <w:r>
        <w:rPr>
          <w:rFonts w:hint="eastAsia" w:ascii="宋体" w:hAnsi="宋体" w:cs="仿宋"/>
          <w:b w:val="0"/>
          <w:i w:val="0"/>
          <w:caps w:val="0"/>
          <w:color w:val="auto"/>
          <w:spacing w:val="0"/>
          <w:w w:val="100"/>
          <w:sz w:val="24"/>
          <w:highlight w:val="none"/>
        </w:rPr>
        <w:t>分钟。</w:t>
      </w:r>
    </w:p>
    <w:p>
      <w:pPr>
        <w:keepLines w:val="0"/>
        <w:widowControl w:val="0"/>
        <w:snapToGrid/>
        <w:spacing w:before="0" w:beforeAutospacing="0" w:after="0" w:afterAutospacing="0" w:line="360" w:lineRule="auto"/>
        <w:jc w:val="both"/>
        <w:textAlignment w:val="baseline"/>
        <w:rPr>
          <w:rFonts w:ascii="宋体" w:hAnsi="宋体" w:cs="仿宋"/>
          <w:b/>
          <w:bCs/>
          <w:i w:val="0"/>
          <w:caps w:val="0"/>
          <w:color w:val="auto"/>
          <w:spacing w:val="0"/>
          <w:w w:val="100"/>
          <w:sz w:val="24"/>
          <w:highlight w:val="none"/>
        </w:rPr>
      </w:pPr>
      <w:r>
        <w:rPr>
          <w:rFonts w:hint="eastAsia" w:ascii="宋体" w:hAnsi="宋体" w:cs="仿宋"/>
          <w:b/>
          <w:bCs/>
          <w:i w:val="0"/>
          <w:caps w:val="0"/>
          <w:color w:val="auto"/>
          <w:spacing w:val="0"/>
          <w:w w:val="100"/>
          <w:sz w:val="24"/>
          <w:highlight w:val="none"/>
        </w:rPr>
        <w:t>现场演示内容具体要求如下：</w:t>
      </w:r>
    </w:p>
    <w:p>
      <w:pPr>
        <w:pStyle w:val="3"/>
        <w:keepLines w:val="0"/>
        <w:widowControl w:val="0"/>
        <w:snapToGrid/>
        <w:spacing w:before="0" w:beforeAutospacing="0" w:after="0" w:afterAutospacing="0" w:line="360" w:lineRule="auto"/>
        <w:ind w:left="0" w:leftChars="0" w:firstLine="638" w:firstLineChars="266"/>
        <w:jc w:val="both"/>
        <w:textAlignment w:val="baseline"/>
        <w:rPr>
          <w:rFonts w:ascii="宋体" w:hAnsi="宋体" w:cs="宋体"/>
          <w:b w:val="0"/>
          <w:bCs/>
          <w:i w:val="0"/>
          <w:caps w:val="0"/>
          <w:color w:val="auto"/>
          <w:spacing w:val="0"/>
          <w:w w:val="100"/>
          <w:sz w:val="24"/>
          <w:highlight w:val="none"/>
        </w:rPr>
      </w:pPr>
      <w:r>
        <w:rPr>
          <w:rFonts w:hint="eastAsia" w:ascii="宋体" w:hAnsi="宋体" w:cs="宋体"/>
          <w:b w:val="0"/>
          <w:bCs/>
          <w:i w:val="0"/>
          <w:caps w:val="0"/>
          <w:color w:val="auto"/>
          <w:spacing w:val="0"/>
          <w:w w:val="100"/>
          <w:sz w:val="24"/>
          <w:highlight w:val="none"/>
          <w:lang w:val="en-US" w:eastAsia="zh-CN"/>
        </w:rPr>
        <w:t>①</w:t>
      </w:r>
      <w:r>
        <w:rPr>
          <w:rFonts w:hint="eastAsia" w:ascii="宋体" w:hAnsi="宋体" w:cs="宋体"/>
          <w:b w:val="0"/>
          <w:bCs/>
          <w:i w:val="0"/>
          <w:caps w:val="0"/>
          <w:color w:val="auto"/>
          <w:spacing w:val="0"/>
          <w:w w:val="100"/>
          <w:sz w:val="24"/>
          <w:highlight w:val="none"/>
        </w:rPr>
        <w:t>.支持对专用教学文件、教学素材文档管理，管理的专用教学文件包括(cxp、exb、dwg、ics格式文档)，管理的教学素材文档包括(pdf、jpg、bmp、doc、txt、ppt、xls等格式)。系统提供共享的文档树对文档进行分类管理；平台支持对教学文件和素材文档系统内在线浏览，无需打开第三方工具；</w:t>
      </w:r>
    </w:p>
    <w:p>
      <w:pPr>
        <w:pStyle w:val="3"/>
        <w:keepLines w:val="0"/>
        <w:widowControl w:val="0"/>
        <w:snapToGrid/>
        <w:spacing w:before="0" w:beforeAutospacing="0" w:after="0" w:afterAutospacing="0" w:line="360" w:lineRule="auto"/>
        <w:ind w:left="0" w:leftChars="0" w:firstLine="638" w:firstLineChars="266"/>
        <w:jc w:val="both"/>
        <w:textAlignment w:val="baseline"/>
        <w:rPr>
          <w:rFonts w:hint="eastAsia" w:ascii="宋体" w:hAnsi="宋体" w:cs="宋体"/>
          <w:b w:val="0"/>
          <w:bCs/>
          <w:i w:val="0"/>
          <w:caps w:val="0"/>
          <w:color w:val="auto"/>
          <w:spacing w:val="0"/>
          <w:w w:val="100"/>
          <w:sz w:val="24"/>
          <w:highlight w:val="none"/>
        </w:rPr>
      </w:pPr>
      <w:r>
        <w:rPr>
          <w:rFonts w:hint="eastAsia" w:ascii="宋体" w:hAnsi="宋体" w:cs="宋体"/>
          <w:b w:val="0"/>
          <w:bCs/>
          <w:i w:val="0"/>
          <w:caps w:val="0"/>
          <w:color w:val="auto"/>
          <w:spacing w:val="0"/>
          <w:w w:val="100"/>
          <w:sz w:val="24"/>
          <w:highlight w:val="none"/>
          <w:lang w:val="en-US" w:eastAsia="zh-CN"/>
        </w:rPr>
        <w:t>②</w:t>
      </w:r>
      <w:r>
        <w:rPr>
          <w:rFonts w:hint="eastAsia" w:ascii="宋体" w:hAnsi="宋体" w:cs="宋体"/>
          <w:b w:val="0"/>
          <w:bCs/>
          <w:i w:val="0"/>
          <w:caps w:val="0"/>
          <w:color w:val="auto"/>
          <w:spacing w:val="0"/>
          <w:w w:val="100"/>
          <w:sz w:val="24"/>
          <w:highlight w:val="none"/>
        </w:rPr>
        <w:t>.版本控制：版本管理指文件在平台中的生命周期，生命周期具体指文件的入库、出库、发布、重发布、归档等阶段，对应的文档有版本和工作版本之分。支持版本回滚和清除；是素材管理系统中的资源在反复修改后能自动保存多个版本，无需人员通过另存或修改文件名建立新的工作版本，可根据教学需要让教学人员使用其中的指定的某一个版本为默认版本。</w:t>
      </w:r>
    </w:p>
    <w:p>
      <w:pPr>
        <w:pStyle w:val="15"/>
        <w:keepNext w:val="0"/>
        <w:keepLines w:val="0"/>
        <w:widowControl/>
        <w:suppressLineNumbers w:val="0"/>
        <w:autoSpaceDE w:val="0"/>
        <w:autoSpaceDN/>
        <w:spacing w:before="0" w:beforeAutospacing="0" w:after="0" w:afterAutospacing="0" w:line="405" w:lineRule="atLeast"/>
        <w:ind w:left="0" w:leftChars="0" w:right="0" w:firstLine="638" w:firstLineChars="266"/>
        <w:rPr>
          <w:rFonts w:hint="eastAsia" w:ascii="宋体" w:hAnsi="宋体" w:eastAsia="宋体" w:cs="宋体"/>
          <w:color w:val="auto"/>
          <w:sz w:val="24"/>
          <w:szCs w:val="24"/>
          <w:highlight w:val="none"/>
        </w:rPr>
      </w:pPr>
      <w:r>
        <w:rPr>
          <w:rFonts w:hint="eastAsia" w:ascii="宋体" w:hAnsi="宋体" w:cs="宋体"/>
          <w:b w:val="0"/>
          <w:bCs/>
          <w:i w:val="0"/>
          <w:caps w:val="0"/>
          <w:color w:val="auto"/>
          <w:spacing w:val="0"/>
          <w:w w:val="100"/>
          <w:sz w:val="24"/>
          <w:highlight w:val="none"/>
          <w:lang w:val="en-US" w:eastAsia="zh-CN"/>
        </w:rPr>
        <w:t>③.</w:t>
      </w:r>
      <w:r>
        <w:rPr>
          <w:rFonts w:hint="eastAsia" w:ascii="宋体" w:hAnsi="宋体" w:cs="宋体"/>
          <w:b w:val="0"/>
          <w:i w:val="0"/>
          <w:caps w:val="0"/>
          <w:color w:val="auto"/>
          <w:spacing w:val="0"/>
          <w:w w:val="100"/>
          <w:kern w:val="2"/>
          <w:sz w:val="24"/>
          <w:highlight w:val="none"/>
        </w:rPr>
        <w:t>查询与借用：在数据集中管理的基础上，实现对专用教学文件、素材文件等信息的查找。输入查询条件（条件</w:t>
      </w:r>
      <w:r>
        <w:rPr>
          <w:rFonts w:hint="eastAsia" w:ascii="宋体" w:hAnsi="宋体" w:cs="宋体"/>
          <w:b w:val="0"/>
          <w:i w:val="0"/>
          <w:caps w:val="0"/>
          <w:color w:val="auto"/>
          <w:spacing w:val="0"/>
          <w:w w:val="100"/>
          <w:kern w:val="2"/>
          <w:sz w:val="24"/>
          <w:highlight w:val="none"/>
          <w:lang w:eastAsia="zh-CN"/>
        </w:rPr>
        <w:t>如：</w:t>
      </w:r>
      <w:r>
        <w:rPr>
          <w:rFonts w:hint="eastAsia" w:ascii="宋体" w:hAnsi="宋体" w:cs="宋体"/>
          <w:b w:val="0"/>
          <w:i w:val="0"/>
          <w:caps w:val="0"/>
          <w:color w:val="auto"/>
          <w:spacing w:val="0"/>
          <w:w w:val="100"/>
          <w:kern w:val="2"/>
          <w:sz w:val="24"/>
          <w:highlight w:val="none"/>
        </w:rPr>
        <w:t>页面大小、创建时间、包含、等于、大于、小于等）</w:t>
      </w:r>
      <w:r>
        <w:rPr>
          <w:rFonts w:hint="eastAsia" w:ascii="宋体" w:hAnsi="宋体" w:cs="宋体"/>
          <w:b w:val="0"/>
          <w:i w:val="0"/>
          <w:caps w:val="0"/>
          <w:color w:val="auto"/>
          <w:spacing w:val="0"/>
          <w:w w:val="100"/>
          <w:kern w:val="2"/>
          <w:sz w:val="24"/>
          <w:highlight w:val="none"/>
          <w:lang w:eastAsia="zh-CN"/>
        </w:rPr>
        <w:t>，</w:t>
      </w:r>
      <w:r>
        <w:rPr>
          <w:rFonts w:hint="eastAsia" w:ascii="宋体" w:hAnsi="宋体" w:cs="宋体"/>
          <w:b w:val="0"/>
          <w:i w:val="0"/>
          <w:caps w:val="0"/>
          <w:color w:val="auto"/>
          <w:spacing w:val="0"/>
          <w:w w:val="100"/>
          <w:kern w:val="2"/>
          <w:sz w:val="24"/>
          <w:highlight w:val="none"/>
        </w:rPr>
        <w:t>查询结果可以进行数据复制和借用操作。当选择借用是指其它用户对创建人的文件进行借用，只能浏览，不能对文件进行出库、入库、发布、重发布、归档等操作，当创建人更改原文件时，被借用文件将第一时间跟着原文件进行自动更新，显示创建人最终更改的内容；如选择复制，则可以拥有修改的权限。</w:t>
      </w:r>
    </w:p>
    <w:p>
      <w:pPr>
        <w:rPr>
          <w:rFonts w:ascii="宋体" w:hAnsi="宋体" w:eastAsia="宋体" w:cs="宋体"/>
          <w:b/>
          <w:bCs/>
          <w:color w:val="auto"/>
          <w:kern w:val="0"/>
          <w:sz w:val="28"/>
          <w:szCs w:val="28"/>
          <w:highlight w:val="none"/>
        </w:rPr>
      </w:pPr>
      <w:r>
        <w:rPr>
          <w:rFonts w:ascii="宋体" w:hAnsi="宋体" w:eastAsia="宋体" w:cs="宋体"/>
          <w:b/>
          <w:bCs/>
          <w:color w:val="auto"/>
          <w:kern w:val="0"/>
          <w:sz w:val="28"/>
          <w:szCs w:val="28"/>
          <w:highlight w:val="none"/>
        </w:rPr>
        <w:br w:type="page"/>
      </w:r>
    </w:p>
    <w:p>
      <w:pPr>
        <w:widowControl/>
        <w:jc w:val="both"/>
        <w:rPr>
          <w:rFonts w:ascii="宋体" w:hAnsi="宋体" w:eastAsia="宋体" w:cs="宋体"/>
          <w:b/>
          <w:bCs/>
          <w:color w:val="auto"/>
          <w:kern w:val="0"/>
          <w:sz w:val="28"/>
          <w:szCs w:val="28"/>
          <w:highlight w:val="none"/>
        </w:rPr>
      </w:pPr>
    </w:p>
    <w:p>
      <w:pPr>
        <w:widowControl/>
        <w:jc w:val="center"/>
        <w:rPr>
          <w:rFonts w:ascii="宋体" w:hAnsi="宋体" w:eastAsia="宋体" w:cs="宋体"/>
          <w:color w:val="auto"/>
          <w:kern w:val="0"/>
          <w:sz w:val="28"/>
          <w:szCs w:val="28"/>
          <w:highlight w:val="none"/>
        </w:rPr>
      </w:pPr>
      <w:r>
        <w:rPr>
          <w:rFonts w:ascii="宋体" w:hAnsi="宋体" w:eastAsia="宋体" w:cs="宋体"/>
          <w:b/>
          <w:bCs/>
          <w:color w:val="auto"/>
          <w:kern w:val="0"/>
          <w:sz w:val="28"/>
          <w:szCs w:val="28"/>
          <w:highlight w:val="none"/>
        </w:rPr>
        <w:t>第四章  合同主要条款及格式</w:t>
      </w:r>
    </w:p>
    <w:p>
      <w:pPr>
        <w:widowControl/>
        <w:spacing w:before="75" w:after="75"/>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编制说明</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1、签订合同应遵守《中华人民共和国政府采购法》、《中华人民共和国民法典》。</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3.本章节所附的合同主要条款及格式为参考文本，如果因为项目实际特点不能适用，则可由甲乙双方在合同签订阶段可通过友好协商进行约定。</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pStyle w:val="15"/>
        <w:widowControl/>
        <w:spacing w:before="75" w:beforeAutospacing="0" w:after="75" w:afterAutospacing="0"/>
        <w:rPr>
          <w:color w:val="auto"/>
        </w:rPr>
      </w:pPr>
      <w:r>
        <w:rPr>
          <w:rFonts w:hint="eastAsia" w:ascii="宋体" w:hAnsi="宋体" w:cs="宋体"/>
          <w:color w:val="auto"/>
        </w:rPr>
        <w:t>甲方：</w:t>
      </w:r>
      <w:r>
        <w:rPr>
          <w:rFonts w:hint="eastAsia" w:ascii="宋体" w:hAnsi="宋体" w:cs="宋体"/>
          <w:color w:val="auto"/>
          <w:u w:val="single"/>
        </w:rPr>
        <w:t>湄洲湾职业技术学院</w:t>
      </w:r>
    </w:p>
    <w:p>
      <w:pPr>
        <w:pStyle w:val="15"/>
        <w:widowControl/>
        <w:spacing w:before="75" w:beforeAutospacing="0" w:after="75" w:afterAutospacing="0"/>
        <w:rPr>
          <w:color w:val="auto"/>
        </w:rPr>
      </w:pPr>
      <w:r>
        <w:rPr>
          <w:rFonts w:hint="eastAsia" w:ascii="宋体" w:hAnsi="宋体" w:cs="宋体"/>
          <w:color w:val="auto"/>
        </w:rPr>
        <w:t>乙方：</w:t>
      </w:r>
    </w:p>
    <w:p>
      <w:pPr>
        <w:pStyle w:val="15"/>
        <w:widowControl/>
        <w:spacing w:before="75" w:beforeAutospacing="0" w:after="75" w:afterAutospacing="0"/>
        <w:rPr>
          <w:color w:val="auto"/>
        </w:rPr>
      </w:pPr>
      <w:r>
        <w:rPr>
          <w:rFonts w:hint="eastAsia" w:ascii="宋体" w:hAnsi="宋体" w:cs="宋体"/>
          <w:color w:val="auto"/>
        </w:rPr>
        <w:t> </w:t>
      </w:r>
    </w:p>
    <w:p>
      <w:pPr>
        <w:pStyle w:val="15"/>
        <w:widowControl/>
        <w:spacing w:before="75" w:beforeAutospacing="0" w:after="75" w:afterAutospacing="0"/>
        <w:ind w:firstLine="480"/>
        <w:rPr>
          <w:color w:val="auto"/>
        </w:rPr>
      </w:pPr>
      <w:r>
        <w:rPr>
          <w:rFonts w:hint="eastAsia" w:ascii="宋体" w:hAnsi="宋体" w:cs="宋体"/>
          <w:color w:val="auto"/>
        </w:rPr>
        <w:t>根据项目编号为</w:t>
      </w:r>
      <w:r>
        <w:rPr>
          <w:rFonts w:hint="eastAsia" w:ascii="宋体" w:hAnsi="宋体" w:cs="宋体"/>
          <w:color w:val="auto"/>
          <w:u w:val="single"/>
        </w:rPr>
        <w:t>闽莆建融【F-2022】采招019号</w:t>
      </w:r>
      <w:r>
        <w:rPr>
          <w:rFonts w:hint="eastAsia" w:ascii="宋体" w:hAnsi="宋体" w:cs="宋体"/>
          <w:color w:val="auto"/>
        </w:rPr>
        <w:t>的</w:t>
      </w:r>
      <w:r>
        <w:rPr>
          <w:rFonts w:hint="eastAsia" w:ascii="宋体" w:hAnsi="宋体" w:eastAsia="宋体" w:cs="宋体"/>
          <w:kern w:val="0"/>
          <w:sz w:val="24"/>
          <w:szCs w:val="24"/>
          <w:u w:val="single"/>
          <w:lang w:val="en-US" w:eastAsia="zh-CN" w:bidi="ar"/>
        </w:rPr>
        <w:t>2022年莆田市中等职业学校班主任业务能力提升服务</w:t>
      </w:r>
      <w:r>
        <w:rPr>
          <w:rFonts w:hint="eastAsia" w:ascii="宋体" w:hAnsi="宋体" w:cs="宋体"/>
          <w:color w:val="auto"/>
          <w:u w:val="single"/>
        </w:rPr>
        <w:t>项目</w:t>
      </w:r>
      <w:r>
        <w:rPr>
          <w:rFonts w:hint="eastAsia" w:ascii="宋体" w:hAnsi="宋体" w:cs="宋体"/>
          <w:color w:val="auto"/>
        </w:rPr>
        <w:t>（以下简称：“本项目”）的</w:t>
      </w:r>
      <w:r>
        <w:rPr>
          <w:rFonts w:hint="eastAsia" w:ascii="宋体" w:hAnsi="宋体" w:cs="宋体"/>
          <w:color w:val="auto"/>
          <w:lang w:val="en-US" w:eastAsia="zh-CN"/>
        </w:rPr>
        <w:t>谈判</w:t>
      </w:r>
      <w:r>
        <w:rPr>
          <w:rFonts w:hint="eastAsia" w:ascii="宋体" w:hAnsi="宋体" w:cs="宋体"/>
          <w:color w:val="auto"/>
        </w:rPr>
        <w:t>结果，乙方为成交供应商。现经甲乙双方友好协商，就以下事项达成一致并签订本合同：</w:t>
      </w:r>
    </w:p>
    <w:p>
      <w:pPr>
        <w:pStyle w:val="15"/>
        <w:widowControl/>
        <w:spacing w:before="75" w:beforeAutospacing="0" w:after="75" w:afterAutospacing="0"/>
        <w:ind w:firstLine="480"/>
        <w:rPr>
          <w:color w:val="auto"/>
        </w:rPr>
      </w:pPr>
      <w:r>
        <w:rPr>
          <w:rFonts w:hint="eastAsia" w:ascii="宋体" w:hAnsi="宋体" w:cs="宋体"/>
          <w:color w:val="auto"/>
        </w:rPr>
        <w:t>1、下列合同文件是构成本合同不可分割的部分：</w:t>
      </w:r>
    </w:p>
    <w:p>
      <w:pPr>
        <w:pStyle w:val="15"/>
        <w:widowControl/>
        <w:spacing w:before="75" w:beforeAutospacing="0" w:after="75" w:afterAutospacing="0"/>
        <w:ind w:firstLine="480"/>
        <w:rPr>
          <w:color w:val="auto"/>
        </w:rPr>
      </w:pPr>
      <w:r>
        <w:rPr>
          <w:rFonts w:hint="eastAsia" w:ascii="宋体" w:hAnsi="宋体" w:cs="宋体"/>
          <w:color w:val="auto"/>
        </w:rPr>
        <w:t>1.1合同条款；</w:t>
      </w:r>
    </w:p>
    <w:p>
      <w:pPr>
        <w:pStyle w:val="15"/>
        <w:widowControl/>
        <w:spacing w:before="75" w:beforeAutospacing="0" w:after="75" w:afterAutospacing="0"/>
        <w:ind w:firstLine="480"/>
        <w:rPr>
          <w:color w:val="auto"/>
        </w:rPr>
      </w:pPr>
      <w:r>
        <w:rPr>
          <w:rFonts w:hint="eastAsia" w:ascii="宋体" w:hAnsi="宋体" w:cs="宋体"/>
          <w:color w:val="auto"/>
        </w:rPr>
        <w:t>1.2</w:t>
      </w:r>
      <w:r>
        <w:rPr>
          <w:rFonts w:hint="eastAsia" w:ascii="宋体" w:hAnsi="宋体" w:cs="宋体"/>
          <w:color w:val="auto"/>
          <w:lang w:eastAsia="zh-CN"/>
        </w:rPr>
        <w:t>谈判</w:t>
      </w:r>
      <w:r>
        <w:rPr>
          <w:rFonts w:hint="eastAsia" w:ascii="宋体" w:hAnsi="宋体" w:cs="宋体"/>
          <w:color w:val="auto"/>
        </w:rPr>
        <w:t>文件、乙方的响应文件；</w:t>
      </w:r>
    </w:p>
    <w:p>
      <w:pPr>
        <w:pStyle w:val="15"/>
        <w:widowControl/>
        <w:spacing w:before="75" w:beforeAutospacing="0" w:after="75" w:afterAutospacing="0"/>
        <w:ind w:firstLine="480"/>
        <w:rPr>
          <w:color w:val="auto"/>
        </w:rPr>
      </w:pPr>
      <w:r>
        <w:rPr>
          <w:rFonts w:hint="eastAsia" w:ascii="宋体" w:hAnsi="宋体" w:cs="宋体"/>
          <w:color w:val="auto"/>
        </w:rPr>
        <w:t>1.3其他文件或材料：□无。□（若有联合协议或分包意向协议）。</w:t>
      </w:r>
    </w:p>
    <w:p>
      <w:pPr>
        <w:pStyle w:val="15"/>
        <w:widowControl/>
        <w:spacing w:before="75" w:beforeAutospacing="0" w:after="75" w:afterAutospacing="0"/>
        <w:ind w:firstLine="480"/>
        <w:rPr>
          <w:color w:val="auto"/>
        </w:rPr>
      </w:pPr>
      <w:r>
        <w:rPr>
          <w:rFonts w:hint="eastAsia" w:ascii="宋体" w:hAnsi="宋体" w:cs="宋体"/>
          <w:color w:val="auto"/>
        </w:rPr>
        <w:t>2、合同标的</w:t>
      </w:r>
    </w:p>
    <w:p>
      <w:pPr>
        <w:pStyle w:val="15"/>
        <w:widowControl/>
        <w:spacing w:before="75" w:beforeAutospacing="0" w:after="75" w:afterAutospacing="0"/>
        <w:ind w:firstLine="480"/>
        <w:rPr>
          <w:color w:val="auto"/>
        </w:rPr>
      </w:pPr>
      <w:r>
        <w:rPr>
          <w:rFonts w:hint="eastAsia" w:ascii="宋体" w:hAnsi="宋体" w:cs="宋体"/>
          <w:color w:val="auto"/>
          <w:u w:val="single"/>
        </w:rPr>
        <w:t>（按照实际情况编制填写，可以是表格或文字描述）</w:t>
      </w:r>
      <w:r>
        <w:rPr>
          <w:rFonts w:hint="eastAsia" w:ascii="宋体" w:hAnsi="宋体" w:cs="宋体"/>
          <w:color w:val="auto"/>
        </w:rPr>
        <w:t>。</w:t>
      </w:r>
    </w:p>
    <w:p>
      <w:pPr>
        <w:pStyle w:val="15"/>
        <w:widowControl/>
        <w:spacing w:before="75" w:beforeAutospacing="0" w:after="75" w:afterAutospacing="0"/>
        <w:ind w:firstLine="480"/>
        <w:rPr>
          <w:color w:val="auto"/>
        </w:rPr>
      </w:pPr>
      <w:r>
        <w:rPr>
          <w:rFonts w:hint="eastAsia" w:ascii="宋体" w:hAnsi="宋体" w:cs="宋体"/>
          <w:color w:val="auto"/>
        </w:rPr>
        <w:t>3、合同总金额</w:t>
      </w:r>
    </w:p>
    <w:p>
      <w:pPr>
        <w:pStyle w:val="15"/>
        <w:widowControl/>
        <w:spacing w:before="75" w:beforeAutospacing="0" w:after="75" w:afterAutospacing="0"/>
        <w:ind w:firstLine="480"/>
        <w:rPr>
          <w:color w:val="auto"/>
        </w:rPr>
      </w:pPr>
      <w:r>
        <w:rPr>
          <w:rFonts w:hint="eastAsia" w:ascii="宋体" w:hAnsi="宋体" w:cs="宋体"/>
          <w:color w:val="auto"/>
        </w:rPr>
        <w:t>3.1合同总金额为人民币大写：元（￥）。</w:t>
      </w:r>
    </w:p>
    <w:p>
      <w:pPr>
        <w:pStyle w:val="15"/>
        <w:widowControl/>
        <w:spacing w:before="75" w:beforeAutospacing="0" w:after="75" w:afterAutospacing="0"/>
        <w:ind w:firstLine="480"/>
        <w:rPr>
          <w:color w:val="auto"/>
        </w:rPr>
      </w:pPr>
      <w:r>
        <w:rPr>
          <w:rFonts w:hint="eastAsia" w:ascii="宋体" w:hAnsi="宋体" w:cs="宋体"/>
          <w:color w:val="auto"/>
        </w:rPr>
        <w:t>4、合同标的交付时间、地点和条件</w:t>
      </w:r>
    </w:p>
    <w:p>
      <w:pPr>
        <w:pStyle w:val="15"/>
        <w:widowControl/>
        <w:spacing w:before="75" w:beforeAutospacing="0" w:after="75" w:afterAutospacing="0"/>
        <w:ind w:firstLine="480"/>
        <w:rPr>
          <w:color w:val="auto"/>
        </w:rPr>
      </w:pPr>
      <w:r>
        <w:rPr>
          <w:rFonts w:hint="eastAsia" w:ascii="宋体" w:hAnsi="宋体" w:cs="宋体"/>
          <w:color w:val="auto"/>
        </w:rPr>
        <w:t>4.1交付时间：；</w:t>
      </w:r>
    </w:p>
    <w:p>
      <w:pPr>
        <w:pStyle w:val="15"/>
        <w:widowControl/>
        <w:spacing w:before="75" w:beforeAutospacing="0" w:after="75" w:afterAutospacing="0"/>
        <w:ind w:firstLine="480"/>
        <w:rPr>
          <w:color w:val="auto"/>
        </w:rPr>
      </w:pPr>
      <w:r>
        <w:rPr>
          <w:rFonts w:hint="eastAsia" w:ascii="宋体" w:hAnsi="宋体" w:cs="宋体"/>
          <w:color w:val="auto"/>
        </w:rPr>
        <w:t>4.2交付地点：；</w:t>
      </w:r>
    </w:p>
    <w:p>
      <w:pPr>
        <w:pStyle w:val="15"/>
        <w:widowControl/>
        <w:spacing w:before="75" w:beforeAutospacing="0" w:after="75" w:afterAutospacing="0"/>
        <w:ind w:firstLine="480"/>
        <w:rPr>
          <w:color w:val="auto"/>
        </w:rPr>
      </w:pPr>
      <w:r>
        <w:rPr>
          <w:rFonts w:hint="eastAsia" w:ascii="宋体" w:hAnsi="宋体" w:cs="宋体"/>
          <w:color w:val="auto"/>
        </w:rPr>
        <w:t>4.3交付条件：。</w:t>
      </w:r>
    </w:p>
    <w:p>
      <w:pPr>
        <w:pStyle w:val="15"/>
        <w:widowControl/>
        <w:spacing w:before="75" w:beforeAutospacing="0" w:after="75" w:afterAutospacing="0"/>
        <w:ind w:firstLine="480"/>
        <w:rPr>
          <w:color w:val="auto"/>
        </w:rPr>
      </w:pPr>
      <w:r>
        <w:rPr>
          <w:rFonts w:hint="eastAsia" w:ascii="宋体" w:hAnsi="宋体" w:cs="宋体"/>
          <w:color w:val="auto"/>
        </w:rPr>
        <w:t>5、合同标的应符合</w:t>
      </w:r>
      <w:r>
        <w:rPr>
          <w:rFonts w:hint="eastAsia" w:ascii="宋体" w:hAnsi="宋体" w:cs="宋体"/>
          <w:color w:val="auto"/>
          <w:lang w:eastAsia="zh-CN"/>
        </w:rPr>
        <w:t>谈判</w:t>
      </w:r>
      <w:r>
        <w:rPr>
          <w:rFonts w:hint="eastAsia" w:ascii="宋体" w:hAnsi="宋体" w:cs="宋体"/>
          <w:color w:val="auto"/>
        </w:rPr>
        <w:t>文件、乙方响应文件的规定或约定，具体如下：</w:t>
      </w:r>
    </w:p>
    <w:p>
      <w:pPr>
        <w:pStyle w:val="15"/>
        <w:widowControl/>
        <w:spacing w:before="75" w:beforeAutospacing="0" w:after="75" w:afterAutospacing="0"/>
        <w:ind w:firstLine="480"/>
        <w:rPr>
          <w:color w:val="auto"/>
        </w:rPr>
      </w:pPr>
      <w:r>
        <w:rPr>
          <w:rFonts w:hint="eastAsia" w:ascii="宋体" w:hAnsi="宋体" w:cs="宋体"/>
          <w:color w:val="auto"/>
          <w:u w:val="single"/>
        </w:rPr>
        <w:t>（按照实际情况编制填写，可以是表格或文字描述）</w:t>
      </w:r>
      <w:r>
        <w:rPr>
          <w:rFonts w:hint="eastAsia" w:ascii="宋体" w:hAnsi="宋体" w:cs="宋体"/>
          <w:color w:val="auto"/>
        </w:rPr>
        <w:t>。</w:t>
      </w:r>
    </w:p>
    <w:p>
      <w:pPr>
        <w:pStyle w:val="15"/>
        <w:widowControl/>
        <w:spacing w:before="75" w:beforeAutospacing="0" w:after="75" w:afterAutospacing="0"/>
        <w:ind w:firstLine="480"/>
        <w:rPr>
          <w:color w:val="auto"/>
        </w:rPr>
      </w:pPr>
      <w:r>
        <w:rPr>
          <w:rFonts w:hint="eastAsia" w:ascii="宋体" w:hAnsi="宋体" w:cs="宋体"/>
          <w:color w:val="auto"/>
        </w:rPr>
        <w:t>6、验收</w:t>
      </w:r>
    </w:p>
    <w:p>
      <w:pPr>
        <w:pStyle w:val="15"/>
        <w:widowControl/>
        <w:spacing w:before="75" w:beforeAutospacing="0" w:after="75" w:afterAutospacing="0"/>
        <w:ind w:firstLine="480"/>
        <w:rPr>
          <w:color w:val="auto"/>
        </w:rPr>
      </w:pPr>
      <w:r>
        <w:rPr>
          <w:rFonts w:hint="eastAsia" w:ascii="宋体" w:hAnsi="宋体" w:cs="宋体"/>
          <w:color w:val="auto"/>
        </w:rPr>
        <w:t>6.1验收应按照</w:t>
      </w:r>
      <w:r>
        <w:rPr>
          <w:rFonts w:hint="eastAsia" w:ascii="宋体" w:hAnsi="宋体" w:cs="宋体"/>
          <w:color w:val="auto"/>
          <w:lang w:eastAsia="zh-CN"/>
        </w:rPr>
        <w:t>谈判</w:t>
      </w:r>
      <w:r>
        <w:rPr>
          <w:rFonts w:hint="eastAsia" w:ascii="宋体" w:hAnsi="宋体" w:cs="宋体"/>
          <w:color w:val="auto"/>
        </w:rPr>
        <w:t>文件、乙方响应文件的规定或约定进行，具体如下：</w:t>
      </w:r>
    </w:p>
    <w:p>
      <w:pPr>
        <w:pStyle w:val="15"/>
        <w:widowControl/>
        <w:spacing w:before="75" w:beforeAutospacing="0" w:after="75" w:afterAutospacing="0"/>
        <w:ind w:firstLine="480"/>
        <w:rPr>
          <w:color w:val="auto"/>
        </w:rPr>
      </w:pPr>
      <w:r>
        <w:rPr>
          <w:rFonts w:hint="eastAsia" w:ascii="宋体" w:hAnsi="宋体" w:cs="宋体"/>
          <w:color w:val="auto"/>
          <w:u w:val="single"/>
        </w:rPr>
        <w:t>（按照实际情况编制填写，可以是表格或文字描述）</w:t>
      </w:r>
      <w:r>
        <w:rPr>
          <w:rFonts w:hint="eastAsia" w:ascii="宋体" w:hAnsi="宋体" w:cs="宋体"/>
          <w:color w:val="auto"/>
        </w:rPr>
        <w:t>。</w:t>
      </w:r>
    </w:p>
    <w:p>
      <w:pPr>
        <w:pStyle w:val="15"/>
        <w:widowControl/>
        <w:spacing w:before="75" w:beforeAutospacing="0" w:after="75" w:afterAutospacing="0"/>
        <w:ind w:firstLine="480"/>
        <w:rPr>
          <w:color w:val="auto"/>
        </w:rPr>
      </w:pPr>
      <w:r>
        <w:rPr>
          <w:rFonts w:hint="eastAsia" w:ascii="宋体" w:hAnsi="宋体" w:cs="宋体"/>
          <w:color w:val="auto"/>
        </w:rPr>
        <w:t>6.2本项目是否邀请其他供应商参与验收：</w:t>
      </w:r>
    </w:p>
    <w:p>
      <w:pPr>
        <w:pStyle w:val="15"/>
        <w:widowControl/>
        <w:spacing w:before="75" w:beforeAutospacing="0" w:after="75" w:afterAutospacing="0"/>
        <w:ind w:firstLine="480"/>
        <w:rPr>
          <w:color w:val="auto"/>
        </w:rPr>
      </w:pPr>
      <w:r>
        <w:rPr>
          <w:rFonts w:hint="eastAsia" w:ascii="宋体" w:hAnsi="宋体" w:cs="宋体"/>
          <w:color w:val="auto"/>
        </w:rPr>
        <w:t>□不邀请。□邀请，具体如下：</w:t>
      </w:r>
      <w:r>
        <w:rPr>
          <w:rFonts w:hint="eastAsia" w:ascii="宋体" w:hAnsi="宋体" w:cs="宋体"/>
          <w:color w:val="auto"/>
          <w:u w:val="single"/>
        </w:rPr>
        <w:t>（按照</w:t>
      </w:r>
      <w:r>
        <w:rPr>
          <w:rFonts w:hint="eastAsia" w:ascii="宋体" w:hAnsi="宋体" w:cs="宋体"/>
          <w:color w:val="auto"/>
          <w:u w:val="single"/>
          <w:lang w:eastAsia="zh-CN"/>
        </w:rPr>
        <w:t>谈判</w:t>
      </w:r>
      <w:r>
        <w:rPr>
          <w:rFonts w:hint="eastAsia" w:ascii="宋体" w:hAnsi="宋体" w:cs="宋体"/>
          <w:color w:val="auto"/>
          <w:u w:val="single"/>
        </w:rPr>
        <w:t>文件规定填写）</w:t>
      </w:r>
      <w:r>
        <w:rPr>
          <w:rFonts w:hint="eastAsia" w:ascii="宋体" w:hAnsi="宋体" w:cs="宋体"/>
          <w:color w:val="auto"/>
        </w:rPr>
        <w:t>。</w:t>
      </w:r>
    </w:p>
    <w:p>
      <w:pPr>
        <w:pStyle w:val="15"/>
        <w:widowControl/>
        <w:spacing w:before="75" w:beforeAutospacing="0" w:after="75" w:afterAutospacing="0"/>
        <w:ind w:firstLine="480"/>
        <w:rPr>
          <w:color w:val="auto"/>
        </w:rPr>
      </w:pPr>
      <w:r>
        <w:rPr>
          <w:rFonts w:hint="eastAsia" w:ascii="宋体" w:hAnsi="宋体" w:cs="宋体"/>
          <w:color w:val="auto"/>
        </w:rPr>
        <w:t>7、合同款项的支付应按照</w:t>
      </w:r>
      <w:r>
        <w:rPr>
          <w:rFonts w:hint="eastAsia" w:ascii="宋体" w:hAnsi="宋体" w:cs="宋体"/>
          <w:color w:val="auto"/>
          <w:lang w:eastAsia="zh-CN"/>
        </w:rPr>
        <w:t>谈判</w:t>
      </w:r>
      <w:r>
        <w:rPr>
          <w:rFonts w:hint="eastAsia" w:ascii="宋体" w:hAnsi="宋体" w:cs="宋体"/>
          <w:color w:val="auto"/>
        </w:rPr>
        <w:t>文件的规定进行，具体如下：</w:t>
      </w:r>
    </w:p>
    <w:p>
      <w:pPr>
        <w:pStyle w:val="15"/>
        <w:widowControl/>
        <w:spacing w:before="75" w:beforeAutospacing="0" w:after="75" w:afterAutospacing="0"/>
        <w:ind w:firstLine="480"/>
        <w:rPr>
          <w:color w:val="auto"/>
        </w:rPr>
      </w:pPr>
      <w:r>
        <w:rPr>
          <w:rFonts w:hint="eastAsia" w:ascii="宋体" w:hAnsi="宋体" w:cs="宋体"/>
          <w:color w:val="auto"/>
          <w:u w:val="single"/>
        </w:rPr>
        <w:t>（按照实际情况编制填写，可以是表格或文字描述，包括一次性支付或分期支付等）</w:t>
      </w:r>
      <w:r>
        <w:rPr>
          <w:rFonts w:hint="eastAsia" w:ascii="宋体" w:hAnsi="宋体" w:cs="宋体"/>
          <w:color w:val="auto"/>
        </w:rPr>
        <w:t>。</w:t>
      </w:r>
    </w:p>
    <w:p>
      <w:pPr>
        <w:pStyle w:val="15"/>
        <w:widowControl/>
        <w:spacing w:before="75" w:beforeAutospacing="0" w:after="75" w:afterAutospacing="0"/>
        <w:ind w:firstLine="480"/>
        <w:rPr>
          <w:color w:val="auto"/>
        </w:rPr>
      </w:pPr>
      <w:r>
        <w:rPr>
          <w:rFonts w:hint="eastAsia" w:ascii="宋体" w:hAnsi="宋体" w:cs="宋体"/>
          <w:color w:val="auto"/>
        </w:rPr>
        <w:t>8、履约保证金</w:t>
      </w:r>
    </w:p>
    <w:p>
      <w:pPr>
        <w:pStyle w:val="15"/>
        <w:widowControl/>
        <w:spacing w:before="75" w:beforeAutospacing="0" w:after="75" w:afterAutospacing="0"/>
        <w:ind w:firstLine="480"/>
        <w:rPr>
          <w:color w:val="auto"/>
        </w:rPr>
      </w:pPr>
      <w:r>
        <w:rPr>
          <w:rFonts w:hint="eastAsia" w:ascii="宋体" w:hAnsi="宋体" w:cs="宋体"/>
          <w:color w:val="auto"/>
        </w:rPr>
        <w:t>□无。□有，具体如下：</w:t>
      </w:r>
      <w:r>
        <w:rPr>
          <w:rFonts w:hint="eastAsia" w:ascii="宋体" w:hAnsi="宋体" w:cs="宋体"/>
          <w:color w:val="auto"/>
          <w:u w:val="single"/>
        </w:rPr>
        <w:t>（按照</w:t>
      </w:r>
      <w:r>
        <w:rPr>
          <w:rFonts w:hint="eastAsia" w:ascii="宋体" w:hAnsi="宋体" w:cs="宋体"/>
          <w:color w:val="auto"/>
          <w:u w:val="single"/>
          <w:lang w:eastAsia="zh-CN"/>
        </w:rPr>
        <w:t>谈判</w:t>
      </w:r>
      <w:r>
        <w:rPr>
          <w:rFonts w:hint="eastAsia" w:ascii="宋体" w:hAnsi="宋体" w:cs="宋体"/>
          <w:color w:val="auto"/>
          <w:u w:val="single"/>
        </w:rPr>
        <w:t>文件规定填写）</w:t>
      </w:r>
      <w:r>
        <w:rPr>
          <w:rFonts w:hint="eastAsia" w:ascii="宋体" w:hAnsi="宋体" w:cs="宋体"/>
          <w:color w:val="auto"/>
        </w:rPr>
        <w:t>。</w:t>
      </w:r>
    </w:p>
    <w:p>
      <w:pPr>
        <w:pStyle w:val="15"/>
        <w:widowControl/>
        <w:spacing w:before="75" w:beforeAutospacing="0" w:after="75" w:afterAutospacing="0"/>
        <w:ind w:firstLine="480"/>
        <w:rPr>
          <w:color w:val="auto"/>
        </w:rPr>
      </w:pPr>
      <w:r>
        <w:rPr>
          <w:rFonts w:hint="eastAsia" w:ascii="宋体" w:hAnsi="宋体" w:cs="宋体"/>
          <w:color w:val="auto"/>
        </w:rPr>
        <w:t>9、合同有效期</w:t>
      </w:r>
    </w:p>
    <w:p>
      <w:pPr>
        <w:pStyle w:val="15"/>
        <w:widowControl/>
        <w:spacing w:before="75" w:beforeAutospacing="0" w:after="75" w:afterAutospacing="0"/>
        <w:ind w:firstLine="480"/>
        <w:rPr>
          <w:color w:val="auto"/>
        </w:rPr>
      </w:pPr>
      <w:r>
        <w:rPr>
          <w:rFonts w:hint="eastAsia" w:ascii="宋体" w:hAnsi="宋体" w:cs="宋体"/>
          <w:color w:val="auto"/>
          <w:u w:val="single"/>
        </w:rPr>
        <w:t>（按照实际情况编制填写，可以是表格或文字描述）</w:t>
      </w:r>
      <w:r>
        <w:rPr>
          <w:rFonts w:hint="eastAsia" w:ascii="宋体" w:hAnsi="宋体" w:cs="宋体"/>
          <w:color w:val="auto"/>
        </w:rPr>
        <w:t>。</w:t>
      </w:r>
    </w:p>
    <w:p>
      <w:pPr>
        <w:pStyle w:val="15"/>
        <w:widowControl/>
        <w:spacing w:before="75" w:beforeAutospacing="0" w:after="75" w:afterAutospacing="0"/>
        <w:ind w:firstLine="480"/>
        <w:rPr>
          <w:color w:val="auto"/>
        </w:rPr>
      </w:pPr>
      <w:r>
        <w:rPr>
          <w:rFonts w:hint="eastAsia" w:ascii="宋体" w:hAnsi="宋体" w:cs="宋体"/>
          <w:color w:val="auto"/>
        </w:rPr>
        <w:t>10、违约责任</w:t>
      </w:r>
    </w:p>
    <w:p>
      <w:pPr>
        <w:pStyle w:val="15"/>
        <w:widowControl/>
        <w:spacing w:before="75" w:beforeAutospacing="0" w:after="75" w:afterAutospacing="0"/>
        <w:ind w:firstLine="480"/>
        <w:rPr>
          <w:color w:val="auto"/>
        </w:rPr>
      </w:pPr>
      <w:r>
        <w:rPr>
          <w:rFonts w:hint="eastAsia" w:ascii="宋体" w:hAnsi="宋体" w:cs="宋体"/>
          <w:color w:val="auto"/>
          <w:u w:val="single"/>
        </w:rPr>
        <w:t>（按照实际情况编制填写，可以是表格或文字描述）</w:t>
      </w:r>
      <w:r>
        <w:rPr>
          <w:rFonts w:hint="eastAsia" w:ascii="宋体" w:hAnsi="宋体" w:cs="宋体"/>
          <w:color w:val="auto"/>
        </w:rPr>
        <w:t>。</w:t>
      </w:r>
    </w:p>
    <w:p>
      <w:pPr>
        <w:pStyle w:val="15"/>
        <w:widowControl/>
        <w:spacing w:before="75" w:beforeAutospacing="0" w:after="75" w:afterAutospacing="0"/>
        <w:ind w:firstLine="480"/>
        <w:rPr>
          <w:color w:val="auto"/>
        </w:rPr>
      </w:pPr>
      <w:r>
        <w:rPr>
          <w:rFonts w:hint="eastAsia" w:ascii="宋体" w:hAnsi="宋体" w:cs="宋体"/>
          <w:color w:val="auto"/>
        </w:rPr>
        <w:t>11、知识产权</w:t>
      </w:r>
    </w:p>
    <w:p>
      <w:pPr>
        <w:pStyle w:val="15"/>
        <w:widowControl/>
        <w:spacing w:before="75" w:beforeAutospacing="0" w:after="75" w:afterAutospacing="0"/>
        <w:ind w:firstLine="480"/>
        <w:rPr>
          <w:color w:val="auto"/>
        </w:rPr>
      </w:pPr>
      <w:r>
        <w:rPr>
          <w:rFonts w:hint="eastAsia" w:ascii="宋体" w:hAnsi="宋体" w:cs="宋体"/>
          <w:color w:val="auto"/>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r>
        <w:rPr>
          <w:color w:val="auto"/>
        </w:rPr>
        <w:t xml:space="preserve"> </w:t>
      </w:r>
    </w:p>
    <w:p>
      <w:pPr>
        <w:pStyle w:val="15"/>
        <w:widowControl/>
        <w:spacing w:before="75" w:beforeAutospacing="0" w:after="75" w:afterAutospacing="0"/>
        <w:ind w:firstLine="480"/>
        <w:rPr>
          <w:color w:val="auto"/>
        </w:rPr>
      </w:pPr>
      <w:r>
        <w:rPr>
          <w:rFonts w:hint="eastAsia" w:ascii="宋体" w:hAnsi="宋体" w:cs="宋体"/>
          <w:color w:val="auto"/>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cs="宋体"/>
          <w:color w:val="auto"/>
          <w:u w:val="single"/>
        </w:rPr>
        <w:t>（按照实际情况编制填写）</w:t>
      </w:r>
      <w:r>
        <w:rPr>
          <w:rFonts w:hint="eastAsia" w:ascii="宋体" w:hAnsi="宋体" w:cs="宋体"/>
          <w:color w:val="auto"/>
        </w:rPr>
        <w:t>。</w:t>
      </w:r>
    </w:p>
    <w:p>
      <w:pPr>
        <w:pStyle w:val="15"/>
        <w:widowControl/>
        <w:spacing w:before="75" w:beforeAutospacing="0" w:after="75" w:afterAutospacing="0"/>
        <w:ind w:firstLine="480"/>
        <w:rPr>
          <w:color w:val="auto"/>
        </w:rPr>
      </w:pPr>
      <w:r>
        <w:rPr>
          <w:rFonts w:hint="eastAsia" w:ascii="宋体" w:hAnsi="宋体" w:cs="宋体"/>
          <w:color w:val="auto"/>
        </w:rPr>
        <w:t>12、解决争议的方法</w:t>
      </w:r>
    </w:p>
    <w:p>
      <w:pPr>
        <w:pStyle w:val="15"/>
        <w:widowControl/>
        <w:spacing w:before="75" w:beforeAutospacing="0" w:after="75" w:afterAutospacing="0"/>
        <w:ind w:firstLine="480"/>
        <w:rPr>
          <w:color w:val="auto"/>
        </w:rPr>
      </w:pPr>
      <w:r>
        <w:rPr>
          <w:rFonts w:hint="eastAsia" w:ascii="宋体" w:hAnsi="宋体" w:cs="宋体"/>
          <w:color w:val="auto"/>
        </w:rPr>
        <w:t>12.1甲、乙双方协商解决。</w:t>
      </w:r>
    </w:p>
    <w:p>
      <w:pPr>
        <w:pStyle w:val="15"/>
        <w:widowControl/>
        <w:spacing w:before="75" w:beforeAutospacing="0" w:after="75" w:afterAutospacing="0"/>
        <w:ind w:firstLine="480"/>
        <w:rPr>
          <w:color w:val="auto"/>
        </w:rPr>
      </w:pPr>
      <w:r>
        <w:rPr>
          <w:rFonts w:hint="eastAsia" w:ascii="宋体" w:hAnsi="宋体" w:cs="宋体"/>
          <w:color w:val="auto"/>
        </w:rPr>
        <w:t>12.2若协商解决不成，则通过下列途径之一解决：</w:t>
      </w:r>
    </w:p>
    <w:p>
      <w:pPr>
        <w:pStyle w:val="15"/>
        <w:widowControl/>
        <w:spacing w:before="75" w:beforeAutospacing="0" w:after="75" w:afterAutospacing="0"/>
        <w:ind w:firstLine="480"/>
        <w:rPr>
          <w:color w:val="auto"/>
        </w:rPr>
      </w:pPr>
      <w:r>
        <w:rPr>
          <w:rFonts w:hint="eastAsia" w:ascii="宋体" w:hAnsi="宋体" w:cs="宋体"/>
          <w:color w:val="auto"/>
        </w:rPr>
        <w:t>□提交仲裁委员会仲裁，具体如下：</w:t>
      </w:r>
      <w:r>
        <w:rPr>
          <w:rFonts w:hint="eastAsia" w:ascii="宋体" w:hAnsi="宋体" w:cs="宋体"/>
          <w:color w:val="auto"/>
          <w:u w:val="single"/>
        </w:rPr>
        <w:t>（按照实际情况编制填写）</w:t>
      </w:r>
      <w:r>
        <w:rPr>
          <w:rFonts w:hint="eastAsia" w:ascii="宋体" w:hAnsi="宋体" w:cs="宋体"/>
          <w:color w:val="auto"/>
        </w:rPr>
        <w:t>。</w:t>
      </w:r>
    </w:p>
    <w:p>
      <w:pPr>
        <w:pStyle w:val="15"/>
        <w:widowControl/>
        <w:spacing w:before="75" w:beforeAutospacing="0" w:after="75" w:afterAutospacing="0"/>
        <w:ind w:firstLine="480"/>
        <w:rPr>
          <w:color w:val="auto"/>
        </w:rPr>
      </w:pPr>
      <w:r>
        <w:rPr>
          <w:rFonts w:hint="eastAsia" w:ascii="宋体" w:hAnsi="宋体" w:cs="宋体"/>
          <w:color w:val="auto"/>
        </w:rPr>
        <w:t>□向人民法院提起诉讼，具体如下：</w:t>
      </w:r>
      <w:r>
        <w:rPr>
          <w:rFonts w:hint="eastAsia" w:ascii="宋体" w:hAnsi="宋体" w:cs="宋体"/>
          <w:color w:val="auto"/>
          <w:u w:val="single"/>
        </w:rPr>
        <w:t>（按照实际情况编制填写）</w:t>
      </w:r>
      <w:r>
        <w:rPr>
          <w:rFonts w:hint="eastAsia" w:ascii="宋体" w:hAnsi="宋体" w:cs="宋体"/>
          <w:color w:val="auto"/>
        </w:rPr>
        <w:t>。</w:t>
      </w:r>
    </w:p>
    <w:p>
      <w:pPr>
        <w:pStyle w:val="15"/>
        <w:widowControl/>
        <w:spacing w:before="75" w:beforeAutospacing="0" w:after="75" w:afterAutospacing="0"/>
        <w:ind w:firstLine="480"/>
        <w:rPr>
          <w:color w:val="auto"/>
        </w:rPr>
      </w:pPr>
      <w:r>
        <w:rPr>
          <w:rFonts w:hint="eastAsia" w:ascii="宋体" w:hAnsi="宋体" w:cs="宋体"/>
          <w:color w:val="auto"/>
        </w:rPr>
        <w:t>13、不可抗力</w:t>
      </w:r>
    </w:p>
    <w:p>
      <w:pPr>
        <w:pStyle w:val="15"/>
        <w:widowControl/>
        <w:spacing w:before="75" w:beforeAutospacing="0" w:after="75" w:afterAutospacing="0"/>
        <w:ind w:firstLine="480"/>
        <w:rPr>
          <w:color w:val="auto"/>
        </w:rPr>
      </w:pPr>
      <w:r>
        <w:rPr>
          <w:rFonts w:hint="eastAsia" w:ascii="宋体" w:hAnsi="宋体" w:cs="宋体"/>
          <w:color w:val="auto"/>
        </w:rPr>
        <w:t>13.1因不可抗力造成违约的，遭受不可抗力一方应及时向对方通报不能履行或不能完全履行的理由，并在随后取得有关主管机关证明后的</w:t>
      </w:r>
      <w:r>
        <w:rPr>
          <w:rFonts w:cs="Calibri"/>
          <w:color w:val="auto"/>
        </w:rPr>
        <w:t>15</w:t>
      </w:r>
      <w:r>
        <w:rPr>
          <w:rFonts w:hint="eastAsia" w:ascii="宋体" w:hAnsi="宋体" w:cs="宋体"/>
          <w:color w:val="auto"/>
        </w:rPr>
        <w:t>日内向另一方提供不可抗力发生及持续期间的充分证据。基于以上行为，允许遭受不可抗力一方延期履行、部分履行或不履行合同，并根据情况可部分或全部免于承担违约责任。</w:t>
      </w:r>
      <w:r>
        <w:rPr>
          <w:color w:val="auto"/>
        </w:rPr>
        <w:t xml:space="preserve"> </w:t>
      </w:r>
    </w:p>
    <w:p>
      <w:pPr>
        <w:pStyle w:val="15"/>
        <w:widowControl/>
        <w:spacing w:before="75" w:beforeAutospacing="0" w:after="75" w:afterAutospacing="0"/>
        <w:ind w:firstLine="480"/>
        <w:rPr>
          <w:color w:val="auto"/>
        </w:rPr>
      </w:pPr>
      <w:r>
        <w:rPr>
          <w:rFonts w:hint="eastAsia" w:ascii="宋体" w:hAnsi="宋体" w:cs="宋体"/>
          <w:color w:val="auto"/>
        </w:rPr>
        <w:t>13.2本合同中的不可抗力指不能预见、不能避免、不能克服的客观情况，包括但不限于：自然灾害如地震、台风、洪水、火灾及政府行为、法律规定或其适用的变化或其他任何无法预见、避免或控制的事件。</w:t>
      </w:r>
      <w:r>
        <w:rPr>
          <w:color w:val="auto"/>
        </w:rPr>
        <w:t xml:space="preserve"> </w:t>
      </w:r>
    </w:p>
    <w:p>
      <w:pPr>
        <w:pStyle w:val="15"/>
        <w:widowControl/>
        <w:spacing w:before="75" w:beforeAutospacing="0" w:after="75" w:afterAutospacing="0"/>
        <w:ind w:firstLine="480"/>
        <w:rPr>
          <w:color w:val="auto"/>
        </w:rPr>
      </w:pPr>
      <w:r>
        <w:rPr>
          <w:rFonts w:hint="eastAsia" w:ascii="宋体" w:hAnsi="宋体" w:cs="宋体"/>
          <w:color w:val="auto"/>
        </w:rPr>
        <w:t>14、合同条款</w:t>
      </w:r>
    </w:p>
    <w:p>
      <w:pPr>
        <w:pStyle w:val="15"/>
        <w:widowControl/>
        <w:spacing w:before="75" w:beforeAutospacing="0" w:after="75" w:afterAutospacing="0"/>
        <w:ind w:firstLine="480"/>
        <w:rPr>
          <w:color w:val="auto"/>
        </w:rPr>
      </w:pPr>
      <w:r>
        <w:rPr>
          <w:rFonts w:hint="eastAsia" w:ascii="宋体" w:hAnsi="宋体" w:cs="宋体"/>
          <w:color w:val="auto"/>
          <w:u w:val="single"/>
        </w:rPr>
        <w:t>（按照实际情况编制填写。）</w:t>
      </w:r>
      <w:r>
        <w:rPr>
          <w:rFonts w:hint="eastAsia" w:ascii="宋体" w:hAnsi="宋体" w:cs="宋体"/>
          <w:color w:val="auto"/>
        </w:rPr>
        <w:t>。</w:t>
      </w:r>
    </w:p>
    <w:p>
      <w:pPr>
        <w:pStyle w:val="15"/>
        <w:widowControl/>
        <w:spacing w:before="75" w:beforeAutospacing="0" w:after="75" w:afterAutospacing="0"/>
        <w:ind w:firstLine="480"/>
        <w:rPr>
          <w:color w:val="auto"/>
        </w:rPr>
      </w:pPr>
      <w:r>
        <w:rPr>
          <w:rFonts w:hint="eastAsia" w:ascii="宋体" w:hAnsi="宋体" w:cs="宋体"/>
          <w:color w:val="auto"/>
        </w:rPr>
        <w:t>15、其他约定</w:t>
      </w:r>
    </w:p>
    <w:p>
      <w:pPr>
        <w:pStyle w:val="15"/>
        <w:widowControl/>
        <w:spacing w:before="75" w:beforeAutospacing="0" w:after="75" w:afterAutospacing="0"/>
        <w:ind w:firstLine="480"/>
        <w:rPr>
          <w:color w:val="auto"/>
        </w:rPr>
      </w:pPr>
      <w:r>
        <w:rPr>
          <w:rFonts w:hint="eastAsia" w:ascii="宋体" w:hAnsi="宋体" w:cs="宋体"/>
          <w:color w:val="auto"/>
        </w:rPr>
        <w:t>15.1合同文件与本合同具有同等法律效力。</w:t>
      </w:r>
    </w:p>
    <w:p>
      <w:pPr>
        <w:pStyle w:val="15"/>
        <w:widowControl/>
        <w:spacing w:before="75" w:beforeAutospacing="0" w:after="75" w:afterAutospacing="0"/>
        <w:ind w:firstLine="480"/>
        <w:rPr>
          <w:color w:val="auto"/>
        </w:rPr>
      </w:pPr>
      <w:r>
        <w:rPr>
          <w:rFonts w:hint="eastAsia" w:ascii="宋体" w:hAnsi="宋体" w:cs="宋体"/>
          <w:color w:val="auto"/>
        </w:rPr>
        <w:t>15.2本合同未尽事宜，双方可另行补充。</w:t>
      </w:r>
    </w:p>
    <w:p>
      <w:pPr>
        <w:pStyle w:val="15"/>
        <w:widowControl/>
        <w:spacing w:before="75" w:beforeAutospacing="0" w:after="75" w:afterAutospacing="0"/>
        <w:ind w:firstLine="480"/>
        <w:rPr>
          <w:color w:val="auto"/>
        </w:rPr>
      </w:pPr>
      <w:r>
        <w:rPr>
          <w:rFonts w:hint="eastAsia" w:ascii="宋体" w:hAnsi="宋体" w:cs="宋体"/>
          <w:color w:val="auto"/>
        </w:rPr>
        <w:t>15.3本合同自签订之日起生效。</w:t>
      </w:r>
    </w:p>
    <w:p>
      <w:pPr>
        <w:pStyle w:val="15"/>
        <w:widowControl/>
        <w:spacing w:before="75" w:beforeAutospacing="0" w:after="75" w:afterAutospacing="0"/>
        <w:ind w:firstLine="480"/>
        <w:rPr>
          <w:color w:val="auto"/>
        </w:rPr>
      </w:pPr>
      <w:r>
        <w:rPr>
          <w:rFonts w:hint="eastAsia" w:ascii="宋体" w:hAnsi="宋体" w:cs="宋体"/>
          <w:color w:val="auto"/>
        </w:rPr>
        <w:t>15.4本合同一式</w:t>
      </w:r>
      <w:r>
        <w:rPr>
          <w:rFonts w:hint="eastAsia" w:ascii="宋体" w:hAnsi="宋体" w:cs="宋体"/>
          <w:color w:val="auto"/>
          <w:u w:val="single"/>
        </w:rPr>
        <w:t>（填写具体份数）</w:t>
      </w:r>
      <w:r>
        <w:rPr>
          <w:rFonts w:hint="eastAsia" w:ascii="宋体" w:hAnsi="宋体" w:cs="宋体"/>
          <w:color w:val="auto"/>
        </w:rPr>
        <w:t>份，经双方授权代表签字并盖章后生效。甲方、乙方各执</w:t>
      </w:r>
      <w:r>
        <w:rPr>
          <w:rFonts w:hint="eastAsia" w:ascii="宋体" w:hAnsi="宋体" w:cs="宋体"/>
          <w:color w:val="auto"/>
          <w:u w:val="single"/>
        </w:rPr>
        <w:t>（填写具体份数）</w:t>
      </w:r>
      <w:r>
        <w:rPr>
          <w:rFonts w:hint="eastAsia" w:ascii="宋体" w:hAnsi="宋体" w:cs="宋体"/>
          <w:color w:val="auto"/>
        </w:rPr>
        <w:t>份，送</w:t>
      </w:r>
      <w:r>
        <w:rPr>
          <w:rFonts w:hint="eastAsia" w:ascii="宋体" w:hAnsi="宋体" w:cs="宋体"/>
          <w:color w:val="auto"/>
          <w:u w:val="single"/>
        </w:rPr>
        <w:t>（填写需要备案的监管部门的全称）</w:t>
      </w:r>
      <w:r>
        <w:rPr>
          <w:rFonts w:hint="eastAsia" w:ascii="宋体" w:hAnsi="宋体" w:cs="宋体"/>
          <w:color w:val="auto"/>
        </w:rPr>
        <w:t>备案</w:t>
      </w:r>
      <w:r>
        <w:rPr>
          <w:rFonts w:hint="eastAsia" w:ascii="宋体" w:hAnsi="宋体" w:cs="宋体"/>
          <w:color w:val="auto"/>
          <w:u w:val="single"/>
        </w:rPr>
        <w:t>（填写具体份数）</w:t>
      </w:r>
      <w:r>
        <w:rPr>
          <w:rFonts w:hint="eastAsia" w:ascii="宋体" w:hAnsi="宋体" w:cs="宋体"/>
          <w:color w:val="auto"/>
        </w:rPr>
        <w:t>份，具有同等效力。</w:t>
      </w:r>
    </w:p>
    <w:p>
      <w:pPr>
        <w:pStyle w:val="15"/>
        <w:widowControl/>
        <w:spacing w:before="75" w:beforeAutospacing="0" w:after="75" w:afterAutospacing="0"/>
        <w:ind w:firstLine="480"/>
        <w:rPr>
          <w:color w:val="auto"/>
        </w:rPr>
      </w:pPr>
      <w:r>
        <w:rPr>
          <w:rFonts w:hint="eastAsia" w:ascii="宋体" w:hAnsi="宋体" w:cs="宋体"/>
          <w:color w:val="auto"/>
        </w:rPr>
        <w:t>15.5其他：□无。□</w:t>
      </w:r>
      <w:r>
        <w:rPr>
          <w:rFonts w:hint="eastAsia" w:ascii="宋体" w:hAnsi="宋体" w:cs="宋体"/>
          <w:color w:val="auto"/>
          <w:u w:val="single"/>
        </w:rPr>
        <w:t>（按照实际情况编制填写需要增加的内容）</w:t>
      </w:r>
      <w:r>
        <w:rPr>
          <w:rFonts w:hint="eastAsia" w:ascii="宋体" w:hAnsi="宋体" w:cs="宋体"/>
          <w:color w:val="auto"/>
        </w:rPr>
        <w:t>。</w:t>
      </w:r>
    </w:p>
    <w:p>
      <w:pPr>
        <w:pStyle w:val="15"/>
        <w:widowControl/>
        <w:spacing w:before="75" w:beforeAutospacing="0" w:after="75" w:afterAutospacing="0"/>
        <w:jc w:val="center"/>
        <w:rPr>
          <w:color w:val="auto"/>
        </w:rPr>
      </w:pPr>
      <w:r>
        <w:rPr>
          <w:rFonts w:hint="eastAsia" w:ascii="宋体" w:hAnsi="宋体" w:cs="宋体"/>
          <w:color w:val="auto"/>
        </w:rPr>
        <w:t>（以下无正文）</w:t>
      </w:r>
    </w:p>
    <w:p>
      <w:pPr>
        <w:pStyle w:val="15"/>
        <w:widowControl/>
        <w:spacing w:before="75" w:beforeAutospacing="0" w:after="75" w:afterAutospacing="0"/>
        <w:rPr>
          <w:color w:val="auto"/>
        </w:rPr>
      </w:pPr>
      <w:r>
        <w:rPr>
          <w:rFonts w:hint="eastAsia" w:ascii="宋体" w:hAnsi="宋体" w:cs="宋体"/>
          <w:color w:val="auto"/>
        </w:rPr>
        <w:t> </w:t>
      </w:r>
    </w:p>
    <w:p>
      <w:pPr>
        <w:pStyle w:val="15"/>
        <w:widowControl/>
        <w:spacing w:before="75" w:beforeAutospacing="0" w:after="75" w:afterAutospacing="0"/>
        <w:rPr>
          <w:color w:val="auto"/>
        </w:rPr>
      </w:pPr>
      <w:r>
        <w:rPr>
          <w:rFonts w:hint="eastAsia" w:ascii="宋体" w:hAnsi="宋体" w:cs="宋体"/>
          <w:color w:val="auto"/>
        </w:rPr>
        <w:t> </w:t>
      </w:r>
    </w:p>
    <w:p>
      <w:pPr>
        <w:pStyle w:val="15"/>
        <w:widowControl/>
        <w:spacing w:before="75" w:beforeAutospacing="0" w:after="75" w:afterAutospacing="0"/>
        <w:rPr>
          <w:color w:val="auto"/>
        </w:rPr>
      </w:pPr>
      <w:r>
        <w:rPr>
          <w:rFonts w:hint="eastAsia" w:ascii="宋体" w:hAnsi="宋体" w:cs="宋体"/>
          <w:color w:val="auto"/>
        </w:rPr>
        <w:t>甲方：湄洲湾职业技术学院</w:t>
      </w:r>
      <w:r>
        <w:rPr>
          <w:rFonts w:hint="eastAsia" w:ascii="宋体" w:hAnsi="宋体" w:cs="宋体"/>
          <w:color w:val="auto"/>
          <w:lang w:val="en-US" w:eastAsia="zh-CN"/>
        </w:rPr>
        <w:t xml:space="preserve">                    </w:t>
      </w:r>
      <w:r>
        <w:rPr>
          <w:rFonts w:hint="eastAsia" w:ascii="宋体" w:hAnsi="宋体" w:cs="宋体"/>
          <w:color w:val="auto"/>
        </w:rPr>
        <w:t>乙方：</w:t>
      </w:r>
      <w:r>
        <w:rPr>
          <w:color w:val="auto"/>
        </w:rPr>
        <w:t xml:space="preserve"> </w:t>
      </w:r>
    </w:p>
    <w:p>
      <w:pPr>
        <w:pStyle w:val="15"/>
        <w:widowControl/>
        <w:spacing w:before="75" w:beforeAutospacing="0" w:after="75" w:afterAutospacing="0"/>
        <w:rPr>
          <w:color w:val="auto"/>
        </w:rPr>
      </w:pPr>
      <w:r>
        <w:rPr>
          <w:rFonts w:hint="eastAsia" w:ascii="宋体" w:hAnsi="宋体" w:cs="宋体"/>
          <w:color w:val="auto"/>
        </w:rPr>
        <w:t>住所：莆田市涵江区梧塘镇荔涵东大道1001号</w:t>
      </w:r>
      <w:r>
        <w:rPr>
          <w:rFonts w:hint="eastAsia" w:ascii="宋体" w:hAnsi="宋体" w:cs="宋体"/>
          <w:color w:val="auto"/>
          <w:lang w:val="en-US" w:eastAsia="zh-CN"/>
        </w:rPr>
        <w:t xml:space="preserve">   </w:t>
      </w:r>
      <w:r>
        <w:rPr>
          <w:rFonts w:hint="eastAsia" w:ascii="宋体" w:hAnsi="宋体" w:cs="宋体"/>
          <w:color w:val="auto"/>
        </w:rPr>
        <w:t>住所：</w:t>
      </w:r>
      <w:r>
        <w:rPr>
          <w:color w:val="auto"/>
        </w:rPr>
        <w:t xml:space="preserve"> </w:t>
      </w:r>
    </w:p>
    <w:p>
      <w:pPr>
        <w:pStyle w:val="15"/>
        <w:widowControl/>
        <w:spacing w:before="75" w:beforeAutospacing="0" w:after="75" w:afterAutospacing="0"/>
        <w:rPr>
          <w:color w:val="auto"/>
        </w:rPr>
      </w:pPr>
      <w:r>
        <w:rPr>
          <w:rFonts w:hint="eastAsia" w:ascii="宋体" w:hAnsi="宋体" w:cs="宋体"/>
          <w:color w:val="auto"/>
        </w:rPr>
        <w:t>单位负责人：郑星瑶</w:t>
      </w:r>
      <w:r>
        <w:rPr>
          <w:rFonts w:hint="eastAsia" w:ascii="宋体" w:hAnsi="宋体" w:cs="宋体"/>
          <w:color w:val="auto"/>
          <w:lang w:val="en-US" w:eastAsia="zh-CN"/>
        </w:rPr>
        <w:t xml:space="preserve">                          </w:t>
      </w:r>
      <w:r>
        <w:rPr>
          <w:rFonts w:hint="eastAsia" w:ascii="宋体" w:hAnsi="宋体" w:cs="宋体"/>
          <w:color w:val="auto"/>
        </w:rPr>
        <w:t>单位负责人：</w:t>
      </w:r>
      <w:r>
        <w:rPr>
          <w:color w:val="auto"/>
        </w:rPr>
        <w:t xml:space="preserve"> </w:t>
      </w:r>
    </w:p>
    <w:p>
      <w:pPr>
        <w:pStyle w:val="15"/>
        <w:widowControl/>
        <w:spacing w:before="75" w:beforeAutospacing="0" w:after="75" w:afterAutospacing="0"/>
        <w:rPr>
          <w:color w:val="auto"/>
        </w:rPr>
      </w:pPr>
      <w:r>
        <w:rPr>
          <w:rFonts w:hint="eastAsia" w:ascii="宋体" w:hAnsi="宋体" w:cs="宋体"/>
          <w:color w:val="auto"/>
        </w:rPr>
        <w:t>委托代理人：</w:t>
      </w:r>
      <w:r>
        <w:rPr>
          <w:rFonts w:hint="eastAsia" w:ascii="宋体" w:hAnsi="宋体" w:cs="宋体"/>
          <w:color w:val="auto"/>
          <w:lang w:val="en-US" w:eastAsia="zh-CN"/>
        </w:rPr>
        <w:t xml:space="preserve">                                </w:t>
      </w:r>
      <w:r>
        <w:rPr>
          <w:rFonts w:hint="eastAsia" w:ascii="宋体" w:hAnsi="宋体" w:cs="宋体"/>
          <w:color w:val="auto"/>
        </w:rPr>
        <w:t>委托代理人：</w:t>
      </w:r>
      <w:r>
        <w:rPr>
          <w:color w:val="auto"/>
        </w:rPr>
        <w:t xml:space="preserve"> </w:t>
      </w:r>
    </w:p>
    <w:p>
      <w:pPr>
        <w:pStyle w:val="15"/>
        <w:widowControl/>
        <w:spacing w:before="75" w:beforeAutospacing="0" w:after="75" w:afterAutospacing="0"/>
        <w:rPr>
          <w:color w:val="auto"/>
        </w:rPr>
      </w:pPr>
      <w:r>
        <w:rPr>
          <w:rFonts w:hint="eastAsia" w:ascii="宋体" w:hAnsi="宋体" w:cs="宋体"/>
          <w:color w:val="auto"/>
        </w:rPr>
        <w:t>联系方法：18850929559</w:t>
      </w:r>
      <w:r>
        <w:rPr>
          <w:rFonts w:hint="eastAsia" w:ascii="宋体" w:hAnsi="宋体" w:cs="宋体"/>
          <w:color w:val="auto"/>
          <w:lang w:val="en-US" w:eastAsia="zh-CN"/>
        </w:rPr>
        <w:t xml:space="preserve">                       </w:t>
      </w:r>
      <w:r>
        <w:rPr>
          <w:rFonts w:hint="eastAsia" w:ascii="宋体" w:hAnsi="宋体" w:cs="宋体"/>
          <w:color w:val="auto"/>
        </w:rPr>
        <w:t>联系方法：</w:t>
      </w:r>
      <w:r>
        <w:rPr>
          <w:color w:val="auto"/>
        </w:rPr>
        <w:t xml:space="preserve"> </w:t>
      </w:r>
    </w:p>
    <w:p>
      <w:pPr>
        <w:pStyle w:val="15"/>
        <w:widowControl/>
        <w:spacing w:before="75" w:beforeAutospacing="0" w:after="75" w:afterAutospacing="0"/>
        <w:rPr>
          <w:color w:val="auto"/>
        </w:rPr>
      </w:pPr>
      <w:r>
        <w:rPr>
          <w:rFonts w:hint="eastAsia" w:ascii="宋体" w:hAnsi="宋体" w:cs="宋体"/>
          <w:color w:val="auto"/>
        </w:rPr>
        <w:t>开户银行：</w:t>
      </w:r>
      <w:r>
        <w:rPr>
          <w:rFonts w:hint="eastAsia" w:ascii="宋体" w:hAnsi="宋体" w:cs="宋体"/>
          <w:color w:val="auto"/>
          <w:lang w:val="en-US" w:eastAsia="zh-CN"/>
        </w:rPr>
        <w:t xml:space="preserve">                                  </w:t>
      </w:r>
      <w:r>
        <w:rPr>
          <w:rFonts w:hint="eastAsia" w:ascii="宋体" w:hAnsi="宋体" w:cs="宋体"/>
          <w:color w:val="auto"/>
        </w:rPr>
        <w:t>开户银行：</w:t>
      </w:r>
      <w:r>
        <w:rPr>
          <w:color w:val="auto"/>
        </w:rPr>
        <w:t xml:space="preserve"> </w:t>
      </w:r>
    </w:p>
    <w:p>
      <w:pPr>
        <w:pStyle w:val="15"/>
        <w:widowControl/>
        <w:spacing w:before="75" w:beforeAutospacing="0" w:after="75" w:afterAutospacing="0"/>
        <w:rPr>
          <w:color w:val="auto"/>
        </w:rPr>
      </w:pPr>
      <w:r>
        <w:rPr>
          <w:rFonts w:hint="eastAsia" w:ascii="宋体" w:hAnsi="宋体" w:cs="宋体"/>
          <w:color w:val="auto"/>
        </w:rPr>
        <w:t>账号：账号：</w:t>
      </w:r>
      <w:r>
        <w:rPr>
          <w:color w:val="auto"/>
        </w:rPr>
        <w:t xml:space="preserve"> </w:t>
      </w:r>
    </w:p>
    <w:p>
      <w:pPr>
        <w:pStyle w:val="15"/>
        <w:widowControl/>
        <w:spacing w:before="75" w:beforeAutospacing="0" w:after="75" w:afterAutospacing="0"/>
        <w:rPr>
          <w:color w:val="auto"/>
        </w:rPr>
      </w:pPr>
      <w:r>
        <w:rPr>
          <w:rFonts w:hint="eastAsia" w:ascii="宋体" w:hAnsi="宋体" w:cs="宋体"/>
          <w:color w:val="auto"/>
        </w:rPr>
        <w:t> </w:t>
      </w:r>
    </w:p>
    <w:p>
      <w:pPr>
        <w:pStyle w:val="15"/>
        <w:widowControl/>
        <w:spacing w:before="75" w:beforeAutospacing="0" w:after="75" w:afterAutospacing="0"/>
        <w:rPr>
          <w:color w:val="auto"/>
        </w:rPr>
      </w:pPr>
      <w:r>
        <w:rPr>
          <w:rFonts w:hint="eastAsia" w:ascii="宋体" w:hAnsi="宋体" w:cs="宋体"/>
          <w:color w:val="auto"/>
        </w:rPr>
        <w:t> </w:t>
      </w:r>
    </w:p>
    <w:p>
      <w:pPr>
        <w:pStyle w:val="15"/>
        <w:widowControl/>
        <w:spacing w:before="75" w:beforeAutospacing="0" w:after="75" w:afterAutospacing="0"/>
        <w:rPr>
          <w:color w:val="auto"/>
        </w:rPr>
      </w:pPr>
      <w:r>
        <w:rPr>
          <w:rFonts w:hint="eastAsia" w:ascii="宋体" w:hAnsi="宋体" w:cs="宋体"/>
          <w:color w:val="auto"/>
        </w:rPr>
        <w:t>签订地点：</w:t>
      </w:r>
      <w:r>
        <w:rPr>
          <w:color w:val="auto"/>
        </w:rPr>
        <w:t xml:space="preserve"> </w:t>
      </w:r>
    </w:p>
    <w:p>
      <w:pPr>
        <w:pStyle w:val="15"/>
        <w:widowControl/>
        <w:spacing w:before="75" w:beforeAutospacing="0" w:after="75" w:afterAutospacing="0"/>
        <w:rPr>
          <w:color w:val="auto"/>
        </w:rPr>
      </w:pPr>
      <w:r>
        <w:rPr>
          <w:rFonts w:hint="eastAsia" w:ascii="宋体" w:hAnsi="宋体" w:cs="宋体"/>
          <w:color w:val="auto"/>
        </w:rPr>
        <w:t>签订日期：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pP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br w:type="page"/>
      </w:r>
    </w:p>
    <w:p>
      <w:pPr>
        <w:rPr>
          <w:rFonts w:hint="eastAsia" w:ascii="宋体" w:hAnsi="宋体" w:eastAsia="宋体" w:cs="宋体"/>
          <w:b w:val="0"/>
          <w:bCs w:val="0"/>
          <w:color w:val="auto"/>
          <w:kern w:val="0"/>
          <w:sz w:val="24"/>
          <w:szCs w:val="24"/>
          <w:highlight w:val="none"/>
          <w:lang w:val="en-US" w:eastAsia="zh-CN"/>
        </w:rPr>
      </w:pPr>
    </w:p>
    <w:p>
      <w:pPr>
        <w:widowControl/>
        <w:spacing w:before="75" w:after="240" w:line="435" w:lineRule="atLeast"/>
        <w:jc w:val="center"/>
        <w:rPr>
          <w:rFonts w:ascii="宋体" w:hAnsi="宋体" w:eastAsia="宋体" w:cs="宋体"/>
          <w:b/>
          <w:bCs/>
          <w:color w:val="auto"/>
          <w:kern w:val="0"/>
          <w:sz w:val="24"/>
          <w:szCs w:val="24"/>
          <w:highlight w:val="none"/>
        </w:rPr>
      </w:pPr>
    </w:p>
    <w:p>
      <w:pPr>
        <w:widowControl/>
        <w:spacing w:before="75" w:after="240" w:line="43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第五章  首次响应文件格式</w:t>
      </w:r>
    </w:p>
    <w:p>
      <w:pPr>
        <w:widowControl/>
        <w:spacing w:before="75" w:after="75"/>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line="43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编制说明</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widowControl/>
        <w:spacing w:before="75" w:after="75" w:line="435" w:lineRule="atLeast"/>
        <w:jc w:val="left"/>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 </w:t>
      </w:r>
    </w:p>
    <w:p>
      <w:pPr>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br w:type="page"/>
      </w:r>
    </w:p>
    <w:p>
      <w:pPr>
        <w:pStyle w:val="16"/>
        <w:rPr>
          <w:color w:val="auto"/>
          <w:highlight w:val="none"/>
        </w:rPr>
      </w:pPr>
    </w:p>
    <w:p>
      <w:pPr>
        <w:widowControl/>
        <w:spacing w:before="75" w:after="75"/>
        <w:jc w:val="left"/>
        <w:rPr>
          <w:rFonts w:ascii="宋体" w:hAnsi="宋体" w:eastAsia="宋体" w:cs="宋体"/>
          <w:color w:val="auto"/>
          <w:kern w:val="0"/>
          <w:sz w:val="30"/>
          <w:szCs w:val="30"/>
          <w:highlight w:val="none"/>
        </w:rPr>
      </w:pPr>
      <w:r>
        <w:rPr>
          <w:rFonts w:ascii="宋体" w:hAnsi="宋体" w:eastAsia="宋体" w:cs="宋体"/>
          <w:b/>
          <w:bCs/>
          <w:color w:val="auto"/>
          <w:kern w:val="0"/>
          <w:sz w:val="24"/>
          <w:szCs w:val="24"/>
          <w:highlight w:val="none"/>
        </w:rPr>
        <w:t> </w:t>
      </w:r>
    </w:p>
    <w:p>
      <w:pPr>
        <w:widowControl/>
        <w:spacing w:before="75" w:after="75"/>
        <w:jc w:val="center"/>
        <w:rPr>
          <w:rFonts w:ascii="宋体" w:hAnsi="宋体" w:eastAsia="宋体" w:cs="宋体"/>
          <w:color w:val="auto"/>
          <w:kern w:val="0"/>
          <w:sz w:val="30"/>
          <w:szCs w:val="30"/>
          <w:highlight w:val="none"/>
        </w:rPr>
      </w:pPr>
      <w:r>
        <w:rPr>
          <w:rFonts w:ascii="宋体" w:hAnsi="宋体" w:eastAsia="宋体" w:cs="宋体"/>
          <w:b/>
          <w:bCs/>
          <w:color w:val="auto"/>
          <w:kern w:val="0"/>
          <w:sz w:val="30"/>
          <w:szCs w:val="30"/>
          <w:highlight w:val="none"/>
        </w:rPr>
        <w:t>采购项目竞争性谈判</w:t>
      </w:r>
    </w:p>
    <w:p>
      <w:pPr>
        <w:widowControl/>
        <w:spacing w:before="75" w:after="75"/>
        <w:jc w:val="center"/>
        <w:rPr>
          <w:rFonts w:ascii="宋体" w:hAnsi="宋体" w:eastAsia="宋体" w:cs="宋体"/>
          <w:color w:val="auto"/>
          <w:kern w:val="0"/>
          <w:sz w:val="30"/>
          <w:szCs w:val="30"/>
          <w:highlight w:val="none"/>
        </w:rPr>
      </w:pPr>
      <w:r>
        <w:rPr>
          <w:rFonts w:ascii="宋体" w:hAnsi="宋体" w:eastAsia="宋体" w:cs="宋体"/>
          <w:b/>
          <w:bCs/>
          <w:color w:val="auto"/>
          <w:kern w:val="0"/>
          <w:sz w:val="30"/>
          <w:szCs w:val="30"/>
          <w:highlight w:val="none"/>
        </w:rPr>
        <w:t> </w:t>
      </w:r>
    </w:p>
    <w:p>
      <w:pPr>
        <w:widowControl/>
        <w:spacing w:before="75" w:after="75"/>
        <w:jc w:val="center"/>
        <w:rPr>
          <w:rFonts w:ascii="宋体" w:hAnsi="宋体" w:eastAsia="宋体" w:cs="宋体"/>
          <w:color w:val="auto"/>
          <w:kern w:val="0"/>
          <w:sz w:val="30"/>
          <w:szCs w:val="30"/>
          <w:highlight w:val="none"/>
        </w:rPr>
      </w:pPr>
      <w:r>
        <w:rPr>
          <w:rFonts w:ascii="宋体" w:hAnsi="宋体" w:eastAsia="宋体" w:cs="宋体"/>
          <w:b/>
          <w:bCs/>
          <w:color w:val="auto"/>
          <w:kern w:val="0"/>
          <w:sz w:val="30"/>
          <w:szCs w:val="30"/>
          <w:highlight w:val="none"/>
        </w:rPr>
        <w:t>响应文件</w:t>
      </w:r>
    </w:p>
    <w:p>
      <w:pPr>
        <w:widowControl/>
        <w:spacing w:before="75" w:after="75"/>
        <w:jc w:val="center"/>
        <w:rPr>
          <w:rFonts w:ascii="宋体" w:hAnsi="宋体" w:eastAsia="宋体" w:cs="宋体"/>
          <w:color w:val="auto"/>
          <w:kern w:val="0"/>
          <w:sz w:val="30"/>
          <w:szCs w:val="30"/>
          <w:highlight w:val="none"/>
        </w:rPr>
      </w:pPr>
      <w:r>
        <w:rPr>
          <w:rFonts w:ascii="宋体" w:hAnsi="宋体" w:eastAsia="宋体" w:cs="宋体"/>
          <w:b/>
          <w:bCs/>
          <w:color w:val="auto"/>
          <w:kern w:val="0"/>
          <w:sz w:val="30"/>
          <w:szCs w:val="30"/>
          <w:highlight w:val="none"/>
        </w:rPr>
        <w:t>（首次）</w:t>
      </w:r>
    </w:p>
    <w:p>
      <w:pPr>
        <w:widowControl/>
        <w:spacing w:before="75" w:after="75"/>
        <w:jc w:val="center"/>
        <w:rPr>
          <w:rFonts w:ascii="宋体" w:hAnsi="宋体" w:eastAsia="宋体" w:cs="宋体"/>
          <w:color w:val="auto"/>
          <w:kern w:val="0"/>
          <w:sz w:val="30"/>
          <w:szCs w:val="30"/>
          <w:highlight w:val="none"/>
        </w:rPr>
      </w:pPr>
      <w:r>
        <w:rPr>
          <w:rFonts w:ascii="宋体" w:hAnsi="宋体" w:eastAsia="宋体" w:cs="宋体"/>
          <w:color w:val="auto"/>
          <w:kern w:val="0"/>
          <w:sz w:val="30"/>
          <w:szCs w:val="30"/>
          <w:highlight w:val="none"/>
        </w:rPr>
        <w:t> </w:t>
      </w:r>
    </w:p>
    <w:p>
      <w:pPr>
        <w:widowControl/>
        <w:spacing w:before="75" w:after="75"/>
        <w:ind w:firstLine="1260"/>
        <w:jc w:val="left"/>
        <w:rPr>
          <w:rFonts w:ascii="宋体" w:hAnsi="宋体" w:eastAsia="宋体" w:cs="宋体"/>
          <w:color w:val="auto"/>
          <w:kern w:val="0"/>
          <w:sz w:val="30"/>
          <w:szCs w:val="30"/>
          <w:highlight w:val="none"/>
        </w:rPr>
      </w:pPr>
      <w:r>
        <w:rPr>
          <w:rFonts w:ascii="宋体" w:hAnsi="宋体" w:eastAsia="宋体" w:cs="宋体"/>
          <w:b/>
          <w:bCs/>
          <w:color w:val="auto"/>
          <w:kern w:val="0"/>
          <w:sz w:val="30"/>
          <w:szCs w:val="30"/>
          <w:highlight w:val="none"/>
        </w:rPr>
        <w:t>项目名称：               </w:t>
      </w:r>
    </w:p>
    <w:p>
      <w:pPr>
        <w:widowControl/>
        <w:spacing w:before="75" w:after="75"/>
        <w:ind w:firstLine="1260"/>
        <w:jc w:val="left"/>
        <w:rPr>
          <w:rFonts w:ascii="宋体" w:hAnsi="宋体" w:eastAsia="宋体" w:cs="宋体"/>
          <w:color w:val="auto"/>
          <w:kern w:val="0"/>
          <w:sz w:val="30"/>
          <w:szCs w:val="30"/>
          <w:highlight w:val="none"/>
        </w:rPr>
      </w:pPr>
      <w:r>
        <w:rPr>
          <w:rFonts w:ascii="宋体" w:hAnsi="宋体" w:eastAsia="宋体" w:cs="宋体"/>
          <w:b/>
          <w:bCs/>
          <w:color w:val="auto"/>
          <w:kern w:val="0"/>
          <w:sz w:val="30"/>
          <w:szCs w:val="30"/>
          <w:highlight w:val="none"/>
        </w:rPr>
        <w:t>项目编号：               </w:t>
      </w:r>
    </w:p>
    <w:p>
      <w:pPr>
        <w:widowControl/>
        <w:spacing w:before="75" w:after="75"/>
        <w:ind w:firstLine="1260"/>
        <w:jc w:val="left"/>
        <w:rPr>
          <w:rFonts w:ascii="宋体" w:hAnsi="宋体" w:eastAsia="宋体" w:cs="宋体"/>
          <w:color w:val="auto"/>
          <w:kern w:val="0"/>
          <w:sz w:val="30"/>
          <w:szCs w:val="30"/>
          <w:highlight w:val="none"/>
        </w:rPr>
      </w:pPr>
      <w:r>
        <w:rPr>
          <w:rFonts w:ascii="宋体" w:hAnsi="宋体" w:eastAsia="宋体" w:cs="宋体"/>
          <w:b/>
          <w:bCs/>
          <w:color w:val="auto"/>
          <w:kern w:val="0"/>
          <w:sz w:val="30"/>
          <w:szCs w:val="30"/>
          <w:highlight w:val="none"/>
        </w:rPr>
        <w:t>合同包:                  </w:t>
      </w:r>
    </w:p>
    <w:p>
      <w:pPr>
        <w:widowControl/>
        <w:spacing w:before="75" w:after="75"/>
        <w:jc w:val="center"/>
        <w:rPr>
          <w:rFonts w:ascii="宋体" w:hAnsi="宋体" w:eastAsia="宋体" w:cs="宋体"/>
          <w:color w:val="auto"/>
          <w:kern w:val="0"/>
          <w:sz w:val="30"/>
          <w:szCs w:val="30"/>
          <w:highlight w:val="none"/>
        </w:rPr>
      </w:pPr>
      <w:r>
        <w:rPr>
          <w:rFonts w:ascii="宋体" w:hAnsi="宋体" w:eastAsia="宋体" w:cs="宋体"/>
          <w:b/>
          <w:bCs/>
          <w:color w:val="auto"/>
          <w:kern w:val="0"/>
          <w:sz w:val="30"/>
          <w:szCs w:val="30"/>
          <w:highlight w:val="none"/>
        </w:rPr>
        <w:t> </w:t>
      </w:r>
    </w:p>
    <w:p>
      <w:pPr>
        <w:widowControl/>
        <w:spacing w:before="75" w:after="75"/>
        <w:jc w:val="center"/>
        <w:rPr>
          <w:rFonts w:ascii="宋体" w:hAnsi="宋体" w:eastAsia="宋体" w:cs="宋体"/>
          <w:color w:val="auto"/>
          <w:kern w:val="0"/>
          <w:sz w:val="30"/>
          <w:szCs w:val="30"/>
          <w:highlight w:val="none"/>
        </w:rPr>
      </w:pPr>
      <w:r>
        <w:rPr>
          <w:rFonts w:ascii="宋体" w:hAnsi="宋体" w:eastAsia="宋体" w:cs="宋体"/>
          <w:b/>
          <w:bCs/>
          <w:color w:val="auto"/>
          <w:kern w:val="0"/>
          <w:sz w:val="30"/>
          <w:szCs w:val="30"/>
          <w:highlight w:val="none"/>
        </w:rPr>
        <w:t> </w:t>
      </w:r>
    </w:p>
    <w:p>
      <w:pPr>
        <w:widowControl/>
        <w:spacing w:before="75" w:after="75"/>
        <w:jc w:val="center"/>
        <w:rPr>
          <w:rFonts w:ascii="宋体" w:hAnsi="宋体" w:eastAsia="宋体" w:cs="宋体"/>
          <w:color w:val="auto"/>
          <w:kern w:val="0"/>
          <w:sz w:val="30"/>
          <w:szCs w:val="30"/>
          <w:highlight w:val="none"/>
        </w:rPr>
      </w:pPr>
      <w:r>
        <w:rPr>
          <w:rFonts w:ascii="宋体" w:hAnsi="宋体" w:eastAsia="宋体" w:cs="宋体"/>
          <w:b/>
          <w:bCs/>
          <w:color w:val="auto"/>
          <w:kern w:val="0"/>
          <w:sz w:val="30"/>
          <w:szCs w:val="30"/>
          <w:highlight w:val="none"/>
        </w:rPr>
        <w:t> </w:t>
      </w:r>
    </w:p>
    <w:p>
      <w:pPr>
        <w:widowControl/>
        <w:spacing w:before="75" w:after="75"/>
        <w:jc w:val="left"/>
        <w:rPr>
          <w:rFonts w:ascii="宋体" w:hAnsi="宋体" w:eastAsia="宋体" w:cs="宋体"/>
          <w:color w:val="auto"/>
          <w:kern w:val="0"/>
          <w:sz w:val="30"/>
          <w:szCs w:val="30"/>
          <w:highlight w:val="none"/>
        </w:rPr>
      </w:pPr>
      <w:r>
        <w:rPr>
          <w:rFonts w:ascii="宋体" w:hAnsi="宋体" w:eastAsia="宋体" w:cs="宋体"/>
          <w:b/>
          <w:bCs/>
          <w:color w:val="auto"/>
          <w:kern w:val="0"/>
          <w:sz w:val="30"/>
          <w:szCs w:val="30"/>
          <w:highlight w:val="none"/>
        </w:rPr>
        <w:t> </w:t>
      </w:r>
    </w:p>
    <w:p>
      <w:pPr>
        <w:widowControl/>
        <w:spacing w:before="75" w:after="75"/>
        <w:jc w:val="left"/>
        <w:rPr>
          <w:rFonts w:ascii="宋体" w:hAnsi="宋体" w:eastAsia="宋体" w:cs="宋体"/>
          <w:color w:val="auto"/>
          <w:kern w:val="0"/>
          <w:sz w:val="30"/>
          <w:szCs w:val="30"/>
          <w:highlight w:val="none"/>
        </w:rPr>
      </w:pPr>
      <w:r>
        <w:rPr>
          <w:rFonts w:ascii="宋体" w:hAnsi="宋体" w:eastAsia="宋体" w:cs="宋体"/>
          <w:b/>
          <w:bCs/>
          <w:color w:val="auto"/>
          <w:kern w:val="0"/>
          <w:sz w:val="30"/>
          <w:szCs w:val="30"/>
          <w:highlight w:val="none"/>
        </w:rPr>
        <w:t> </w:t>
      </w:r>
    </w:p>
    <w:p>
      <w:pPr>
        <w:widowControl/>
        <w:spacing w:before="75" w:after="75"/>
        <w:jc w:val="left"/>
        <w:rPr>
          <w:rFonts w:ascii="宋体" w:hAnsi="宋体" w:eastAsia="宋体" w:cs="宋体"/>
          <w:color w:val="auto"/>
          <w:kern w:val="0"/>
          <w:sz w:val="30"/>
          <w:szCs w:val="30"/>
          <w:highlight w:val="none"/>
        </w:rPr>
      </w:pPr>
      <w:r>
        <w:rPr>
          <w:rFonts w:ascii="宋体" w:hAnsi="宋体" w:eastAsia="宋体" w:cs="宋体"/>
          <w:b/>
          <w:bCs/>
          <w:color w:val="auto"/>
          <w:kern w:val="0"/>
          <w:sz w:val="30"/>
          <w:szCs w:val="30"/>
          <w:highlight w:val="none"/>
        </w:rPr>
        <w:t> </w:t>
      </w:r>
    </w:p>
    <w:p>
      <w:pPr>
        <w:widowControl/>
        <w:spacing w:before="75" w:after="75"/>
        <w:jc w:val="left"/>
        <w:rPr>
          <w:rFonts w:ascii="宋体" w:hAnsi="宋体" w:eastAsia="宋体" w:cs="宋体"/>
          <w:color w:val="auto"/>
          <w:kern w:val="0"/>
          <w:sz w:val="30"/>
          <w:szCs w:val="30"/>
          <w:highlight w:val="none"/>
        </w:rPr>
      </w:pPr>
      <w:r>
        <w:rPr>
          <w:rFonts w:ascii="宋体" w:hAnsi="宋体" w:eastAsia="宋体" w:cs="宋体"/>
          <w:b/>
          <w:bCs/>
          <w:color w:val="auto"/>
          <w:kern w:val="0"/>
          <w:sz w:val="30"/>
          <w:szCs w:val="30"/>
          <w:highlight w:val="none"/>
        </w:rPr>
        <w:t>      供应商名称 ：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30"/>
          <w:szCs w:val="30"/>
          <w:highlight w:val="none"/>
        </w:rPr>
        <w:t>      日    期 ： </w:t>
      </w:r>
      <w:r>
        <w:rPr>
          <w:rFonts w:ascii="宋体" w:hAnsi="宋体" w:eastAsia="宋体" w:cs="宋体"/>
          <w:b/>
          <w:bCs/>
          <w:color w:val="auto"/>
          <w:kern w:val="0"/>
          <w:sz w:val="24"/>
          <w:szCs w:val="24"/>
          <w:highlight w:val="none"/>
        </w:rPr>
        <w:t>              </w:t>
      </w:r>
    </w:p>
    <w:p>
      <w:pP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pacing w:before="75" w:after="75"/>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br w:type="textWrapping"/>
      </w:r>
      <w:r>
        <w:rPr>
          <w:rFonts w:ascii="宋体" w:hAnsi="宋体" w:eastAsia="宋体" w:cs="宋体"/>
          <w:b/>
          <w:bCs/>
          <w:color w:val="auto"/>
          <w:kern w:val="0"/>
          <w:sz w:val="24"/>
          <w:szCs w:val="24"/>
          <w:highlight w:val="none"/>
        </w:rPr>
        <w:t>目  录</w:t>
      </w:r>
    </w:p>
    <w:p>
      <w:pPr>
        <w:widowControl/>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附件1：谈判响应声明</w:t>
      </w:r>
    </w:p>
    <w:p>
      <w:pPr>
        <w:widowControl/>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附件2：报价一览表（含详细报价书）</w:t>
      </w:r>
    </w:p>
    <w:p>
      <w:pPr>
        <w:widowControl/>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附件3：资格证明文件</w:t>
      </w:r>
    </w:p>
    <w:p>
      <w:pPr>
        <w:widowControl/>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附件4：谈判保证金凭证</w:t>
      </w:r>
    </w:p>
    <w:p>
      <w:pPr>
        <w:widowControl/>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附件5：技术、服务和商务响应表</w:t>
      </w:r>
    </w:p>
    <w:p>
      <w:pPr>
        <w:widowControl/>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附件6：相关技术、商务、服务响应承诺及资料</w:t>
      </w:r>
    </w:p>
    <w:p>
      <w:pPr>
        <w:widowControl/>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附件7：供应商提交符合政府采购政策的证明材料</w:t>
      </w:r>
    </w:p>
    <w:p>
      <w:pPr>
        <w:widowControl/>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附件8：要求作为响应文件组成部分的其他内容（若有）</w:t>
      </w:r>
    </w:p>
    <w:p>
      <w:pPr>
        <w:widowControl/>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line="49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9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附件1            </w:t>
      </w:r>
      <w:r>
        <w:rPr>
          <w:rFonts w:ascii="宋体" w:hAnsi="宋体" w:eastAsia="宋体" w:cs="宋体"/>
          <w:b/>
          <w:bCs/>
          <w:color w:val="auto"/>
          <w:kern w:val="0"/>
          <w:sz w:val="24"/>
          <w:szCs w:val="24"/>
          <w:highlight w:val="none"/>
        </w:rPr>
        <w:t>谈判响应声明</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w:t>
      </w:r>
      <w:r>
        <w:rPr>
          <w:rFonts w:ascii="宋体" w:hAnsi="宋体" w:eastAsia="宋体" w:cs="宋体"/>
          <w:color w:val="auto"/>
          <w:kern w:val="0"/>
          <w:sz w:val="24"/>
          <w:szCs w:val="24"/>
          <w:highlight w:val="none"/>
          <w:u w:val="single"/>
        </w:rPr>
        <w:t xml:space="preserve">(采购人或采购代理机构) </w:t>
      </w: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1.根据贵方为</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rPr>
        <w:t>项目（项目编号</w:t>
      </w:r>
      <w:r>
        <w:rPr>
          <w:rFonts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xml:space="preserve"> ）的采购公告（或采购邀请书），我方签字代表</w:t>
      </w:r>
      <w:r>
        <w:rPr>
          <w:rFonts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rPr>
        <w:t>（全名、职务）  经正式授权并代表的供应商</w:t>
      </w:r>
      <w:r>
        <w:rPr>
          <w:rFonts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rPr>
        <w:t>（供应商名称、地址）提交包含下述内容的首次响应文件纸质文本正本</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rPr>
        <w:t>套，副本</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rPr>
        <w:t>套及电子文档  套。</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（1）谈判响应声明</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（2）报价一览表（含详细报价书）</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（3）资格证明文件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（4）谈判保证金凭证</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（5）技术、服务和商务响应表</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（6）相关技术、商务、服务响应承诺及资料</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（7）供应商提交符合政府采购政策的证明材料</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（8）按照谈判文件规定，要求作为响应文件组成部分的其他内容（若有）</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2.据此函，我方宣布响应承诺如下：</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2.4我方已经按照谈判文件要求提交谈判保证金。我方如果发生任何竞争性谈判文件中所述不予退还谈判保证金的情况，则我方的谈判保证金将被贵方不予退还，我方对此无异议。</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2.5我方愿意向贵方提供任何与本项目谈判采购有关的数据或资料。若贵方需要，我方愿意提供我方作出的一切承诺的证明材料。</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720"/>
        <w:jc w:val="left"/>
        <w:textAlignment w:val="auto"/>
        <w:rPr>
          <w:rFonts w:ascii="宋体" w:hAnsi="宋体" w:eastAsia="宋体" w:cs="宋体"/>
          <w:color w:val="auto"/>
          <w:kern w:val="0"/>
          <w:sz w:val="24"/>
          <w:szCs w:val="24"/>
          <w:highlight w:val="none"/>
          <w:u w:val="single"/>
        </w:rPr>
      </w:pPr>
      <w:r>
        <w:rPr>
          <w:rFonts w:ascii="宋体" w:hAnsi="宋体" w:eastAsia="宋体" w:cs="宋体"/>
          <w:color w:val="auto"/>
          <w:kern w:val="0"/>
          <w:sz w:val="24"/>
          <w:szCs w:val="24"/>
          <w:highlight w:val="none"/>
        </w:rPr>
        <w:t>通信地址：</w:t>
      </w:r>
      <w:r>
        <w:rPr>
          <w:rFonts w:ascii="宋体" w:hAnsi="宋体" w:eastAsia="宋体" w:cs="宋体"/>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720"/>
        <w:jc w:val="left"/>
        <w:textAlignment w:val="auto"/>
        <w:rPr>
          <w:rFonts w:ascii="宋体" w:hAnsi="宋体" w:eastAsia="宋体" w:cs="宋体"/>
          <w:color w:val="auto"/>
          <w:kern w:val="0"/>
          <w:sz w:val="24"/>
          <w:szCs w:val="24"/>
          <w:highlight w:val="none"/>
          <w:u w:val="single"/>
        </w:rPr>
      </w:pPr>
      <w:r>
        <w:rPr>
          <w:rFonts w:ascii="宋体" w:hAnsi="宋体" w:eastAsia="宋体" w:cs="宋体"/>
          <w:color w:val="auto"/>
          <w:kern w:val="0"/>
          <w:sz w:val="24"/>
          <w:szCs w:val="24"/>
          <w:highlight w:val="none"/>
        </w:rPr>
        <w:t>邮编：</w:t>
      </w:r>
      <w:r>
        <w:rPr>
          <w:rFonts w:ascii="宋体" w:hAnsi="宋体" w:eastAsia="宋体" w:cs="宋体"/>
          <w:color w:val="auto"/>
          <w:kern w:val="0"/>
          <w:sz w:val="24"/>
          <w:szCs w:val="24"/>
          <w:highlight w:val="none"/>
          <w:u w:val="singl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720"/>
        <w:jc w:val="left"/>
        <w:textAlignment w:val="auto"/>
        <w:rPr>
          <w:rFonts w:ascii="宋体" w:hAnsi="宋体" w:eastAsia="宋体" w:cs="宋体"/>
          <w:color w:val="auto"/>
          <w:kern w:val="0"/>
          <w:sz w:val="24"/>
          <w:szCs w:val="24"/>
          <w:highlight w:val="none"/>
          <w:u w:val="single"/>
        </w:rPr>
      </w:pPr>
      <w:r>
        <w:rPr>
          <w:rFonts w:ascii="宋体" w:hAnsi="宋体" w:eastAsia="宋体" w:cs="宋体"/>
          <w:color w:val="auto"/>
          <w:kern w:val="0"/>
          <w:sz w:val="24"/>
          <w:szCs w:val="24"/>
          <w:highlight w:val="none"/>
        </w:rPr>
        <w:t>传真号：</w:t>
      </w:r>
      <w:r>
        <w:rPr>
          <w:rFonts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u w:val="singl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u w:val="single"/>
        </w:rPr>
      </w:pPr>
      <w:r>
        <w:rPr>
          <w:rFonts w:ascii="宋体" w:hAnsi="宋体" w:eastAsia="宋体" w:cs="宋体"/>
          <w:color w:val="auto"/>
          <w:kern w:val="0"/>
          <w:sz w:val="24"/>
          <w:szCs w:val="24"/>
          <w:highlight w:val="none"/>
        </w:rPr>
        <w:t>    联系电话（固定电话和移动电话）：  </w:t>
      </w:r>
      <w:r>
        <w:rPr>
          <w:rFonts w:hint="eastAsia" w:ascii="宋体" w:hAnsi="宋体" w:eastAsia="宋体" w:cs="宋体"/>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u w:val="single"/>
        </w:rPr>
      </w:pPr>
      <w:r>
        <w:rPr>
          <w:rFonts w:ascii="宋体" w:hAnsi="宋体" w:eastAsia="宋体" w:cs="宋体"/>
          <w:color w:val="auto"/>
          <w:kern w:val="0"/>
          <w:sz w:val="24"/>
          <w:szCs w:val="24"/>
          <w:highlight w:val="none"/>
        </w:rPr>
        <w:t>    供应商代表：</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u w:val="single"/>
        </w:rPr>
        <w:t>（签字）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240" w:firstLineChars="100"/>
        <w:jc w:val="left"/>
        <w:textAlignment w:val="auto"/>
        <w:rPr>
          <w:rFonts w:ascii="宋体" w:hAnsi="宋体" w:eastAsia="宋体" w:cs="宋体"/>
          <w:color w:val="auto"/>
          <w:kern w:val="0"/>
          <w:sz w:val="24"/>
          <w:szCs w:val="24"/>
          <w:highlight w:val="none"/>
          <w:u w:val="single"/>
        </w:rPr>
      </w:pPr>
      <w:r>
        <w:rPr>
          <w:rFonts w:ascii="宋体" w:hAnsi="宋体" w:eastAsia="宋体" w:cs="宋体"/>
          <w:color w:val="auto"/>
          <w:kern w:val="0"/>
          <w:sz w:val="24"/>
          <w:szCs w:val="24"/>
          <w:highlight w:val="none"/>
        </w:rPr>
        <w:t>供应商代表电子信箱：</w:t>
      </w:r>
      <w:r>
        <w:rPr>
          <w:rFonts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u w:val="singl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rPr>
        <w:t>（全称并加盖公章）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日  期：</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rPr>
        <w:t>日</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b/>
          <w:bCs/>
          <w:color w:val="auto"/>
          <w:kern w:val="0"/>
          <w:sz w:val="24"/>
          <w:szCs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b/>
          <w:bCs/>
          <w:color w:val="auto"/>
          <w:kern w:val="0"/>
          <w:sz w:val="24"/>
          <w:szCs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b/>
          <w:bCs/>
          <w:color w:val="auto"/>
          <w:kern w:val="0"/>
          <w:sz w:val="24"/>
          <w:szCs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b/>
          <w:bCs/>
          <w:color w:val="auto"/>
          <w:kern w:val="0"/>
          <w:sz w:val="24"/>
          <w:szCs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b/>
          <w:bCs/>
          <w:color w:val="auto"/>
          <w:kern w:val="0"/>
          <w:sz w:val="24"/>
          <w:szCs w:val="24"/>
          <w:highlight w:val="none"/>
        </w:rPr>
      </w:pPr>
    </w:p>
    <w:p>
      <w:pP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pStyle w:val="2"/>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附件2</w:t>
      </w:r>
      <w:r>
        <w:rPr>
          <w:rFonts w:ascii="宋体" w:hAnsi="宋体" w:eastAsia="宋体" w:cs="宋体"/>
          <w:color w:val="auto"/>
          <w:kern w:val="0"/>
          <w:sz w:val="29"/>
          <w:szCs w:val="29"/>
          <w:highlight w:val="none"/>
        </w:rPr>
        <w:t>         </w:t>
      </w:r>
      <w:r>
        <w:rPr>
          <w:rFonts w:ascii="宋体" w:hAnsi="宋体" w:eastAsia="宋体" w:cs="宋体"/>
          <w:b/>
          <w:bCs/>
          <w:color w:val="auto"/>
          <w:kern w:val="0"/>
          <w:sz w:val="36"/>
          <w:szCs w:val="36"/>
          <w:highlight w:val="none"/>
        </w:rPr>
        <w:t>报价一览表</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供应商名称：（全称加盖单位公章）项目编号</w:t>
      </w:r>
      <w:r>
        <w:rPr>
          <w:rFonts w:hint="eastAsia" w:ascii="宋体" w:hAnsi="宋体" w:eastAsia="宋体" w:cs="宋体"/>
          <w:color w:val="auto"/>
          <w:kern w:val="0"/>
          <w:sz w:val="24"/>
          <w:szCs w:val="24"/>
          <w:highlight w:val="none"/>
        </w:rPr>
        <w:t>∶</w:t>
      </w:r>
      <w:r>
        <w:rPr>
          <w:rFonts w:ascii="Times New Roman" w:hAnsi="Times New Roman" w:eastAsia="宋体" w:cs="Times New Roman"/>
          <w:color w:val="auto"/>
          <w:kern w:val="0"/>
          <w:sz w:val="24"/>
          <w:szCs w:val="24"/>
          <w:highlight w:val="none"/>
        </w:rPr>
        <w:t>          </w:t>
      </w:r>
      <w:r>
        <w:rPr>
          <w:rFonts w:ascii="宋体" w:hAnsi="宋体" w:eastAsia="宋体" w:cs="宋体"/>
          <w:color w:val="auto"/>
          <w:kern w:val="0"/>
          <w:sz w:val="24"/>
          <w:szCs w:val="24"/>
          <w:highlight w:val="none"/>
        </w:rPr>
        <w:t>货币单位：元人民币</w:t>
      </w:r>
    </w:p>
    <w:tbl>
      <w:tblPr>
        <w:tblStyle w:val="19"/>
        <w:tblW w:w="8775"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65"/>
        <w:gridCol w:w="3696"/>
        <w:gridCol w:w="1796"/>
        <w:gridCol w:w="1021"/>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合同包</w:t>
            </w:r>
          </w:p>
        </w:tc>
        <w:tc>
          <w:tcPr>
            <w:tcW w:w="3666"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首次</w:t>
            </w:r>
            <w:r>
              <w:rPr>
                <w:rFonts w:hint="eastAsia" w:ascii="宋体" w:hAnsi="宋体" w:eastAsia="宋体" w:cs="宋体"/>
                <w:color w:val="auto"/>
                <w:kern w:val="0"/>
                <w:sz w:val="24"/>
                <w:szCs w:val="24"/>
                <w:highlight w:val="none"/>
                <w:lang w:eastAsia="zh-CN"/>
              </w:rPr>
              <w:t>单价</w:t>
            </w:r>
            <w:r>
              <w:rPr>
                <w:rFonts w:ascii="宋体" w:hAnsi="宋体" w:eastAsia="宋体" w:cs="宋体"/>
                <w:color w:val="auto"/>
                <w:kern w:val="0"/>
                <w:sz w:val="24"/>
                <w:szCs w:val="24"/>
                <w:highlight w:val="none"/>
              </w:rPr>
              <w:t>报价</w:t>
            </w:r>
          </w:p>
        </w:tc>
        <w:tc>
          <w:tcPr>
            <w:tcW w:w="1766"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交货期/工期/项目完成时间/服务时间</w:t>
            </w:r>
          </w:p>
        </w:tc>
        <w:tc>
          <w:tcPr>
            <w:tcW w:w="991"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谈判保证金</w:t>
            </w:r>
          </w:p>
        </w:tc>
        <w:tc>
          <w:tcPr>
            <w:tcW w:w="1152"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w:t>
            </w:r>
          </w:p>
        </w:tc>
        <w:tc>
          <w:tcPr>
            <w:tcW w:w="3666"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766"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991"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152"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Calibri" w:hAnsi="Calibri" w:eastAsia="宋体" w:cs="宋体"/>
                <w:color w:val="auto"/>
                <w:kern w:val="0"/>
                <w:szCs w:val="21"/>
                <w:highlight w:val="none"/>
              </w:rPr>
              <w:t>…</w:t>
            </w:r>
          </w:p>
        </w:tc>
        <w:tc>
          <w:tcPr>
            <w:tcW w:w="3666"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766"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991"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152"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Calibri" w:hAnsi="Calibri" w:eastAsia="宋体" w:cs="宋体"/>
                <w:color w:val="auto"/>
                <w:kern w:val="0"/>
                <w:szCs w:val="21"/>
                <w:highlight w:val="none"/>
              </w:rPr>
              <w:t>…</w:t>
            </w:r>
          </w:p>
        </w:tc>
        <w:tc>
          <w:tcPr>
            <w:tcW w:w="3666"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766"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991"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152"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Calibri" w:hAnsi="Calibri" w:eastAsia="宋体" w:cs="宋体"/>
                <w:color w:val="auto"/>
                <w:kern w:val="0"/>
                <w:szCs w:val="21"/>
                <w:highlight w:val="none"/>
              </w:rPr>
              <w:t>…</w:t>
            </w:r>
          </w:p>
        </w:tc>
        <w:tc>
          <w:tcPr>
            <w:tcW w:w="3666"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766"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991"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152"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Calibri" w:hAnsi="Calibri" w:eastAsia="宋体" w:cs="宋体"/>
                <w:color w:val="auto"/>
                <w:kern w:val="0"/>
                <w:szCs w:val="21"/>
                <w:highlight w:val="none"/>
              </w:rPr>
              <w:t>…</w:t>
            </w:r>
          </w:p>
        </w:tc>
        <w:tc>
          <w:tcPr>
            <w:tcW w:w="3666"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766"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991"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152"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bl>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备注：</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240" w:firstLineChars="1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详细报价书另纸详列，格式自拟。</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eastAsia="宋体" w:cs="宋体"/>
          <w:b/>
          <w:color w:val="auto"/>
          <w:sz w:val="24"/>
          <w:highlight w:val="none"/>
        </w:rPr>
      </w:pPr>
      <w:r>
        <w:rPr>
          <w:rFonts w:ascii="宋体" w:hAnsi="宋体" w:eastAsia="宋体" w:cs="宋体"/>
          <w:color w:val="auto"/>
          <w:kern w:val="0"/>
          <w:szCs w:val="21"/>
          <w:highlight w:val="none"/>
        </w:rPr>
        <w:t> </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、投标人须带多份空白报价一览表加盖单位公章以备现场使用。</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                                                                           </w:t>
      </w: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0" w:firstLineChars="200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供应商代表：   （签字）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hint="default" w:ascii="宋体" w:hAnsi="宋体" w:eastAsia="宋体" w:cs="宋体"/>
          <w:color w:val="auto"/>
          <w:kern w:val="0"/>
          <w:sz w:val="24"/>
          <w:szCs w:val="24"/>
          <w:highlight w:val="none"/>
          <w:lang w:val="en-US" w:eastAsia="zh-CN"/>
        </w:rPr>
      </w:pPr>
      <w:r>
        <w:rPr>
          <w:rFonts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附件2-1        </w:t>
      </w:r>
      <w:r>
        <w:rPr>
          <w:rFonts w:ascii="宋体" w:hAnsi="宋体" w:eastAsia="宋体" w:cs="宋体"/>
          <w:b/>
          <w:bCs/>
          <w:color w:val="auto"/>
          <w:kern w:val="0"/>
          <w:sz w:val="24"/>
          <w:szCs w:val="24"/>
          <w:highlight w:val="none"/>
        </w:rPr>
        <w:t>详细报价书</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说明：</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pStyle w:val="2"/>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         </w:t>
      </w:r>
      <w:r>
        <w:rPr>
          <w:rFonts w:ascii="宋体" w:hAnsi="宋体" w:eastAsia="宋体" w:cs="宋体"/>
          <w:b/>
          <w:bCs/>
          <w:color w:val="auto"/>
          <w:kern w:val="0"/>
          <w:sz w:val="24"/>
          <w:szCs w:val="24"/>
          <w:highlight w:val="none"/>
        </w:rPr>
        <w:t>资格证明文件</w:t>
      </w: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附件3-1       </w:t>
      </w:r>
      <w:r>
        <w:rPr>
          <w:rFonts w:ascii="宋体" w:hAnsi="宋体" w:eastAsia="宋体" w:cs="宋体"/>
          <w:b/>
          <w:bCs/>
          <w:color w:val="auto"/>
          <w:kern w:val="0"/>
          <w:sz w:val="24"/>
          <w:szCs w:val="24"/>
          <w:highlight w:val="none"/>
        </w:rPr>
        <w:t>参加竞争性谈判的声明函</w:t>
      </w: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致：(采购人或采购代理机构</w:t>
      </w:r>
      <w:r>
        <w:rPr>
          <w:rFonts w:ascii="Calibri" w:hAnsi="Calibri" w:eastAsia="宋体" w:cs="宋体"/>
          <w:color w:val="auto"/>
          <w:kern w:val="0"/>
          <w:sz w:val="24"/>
          <w:szCs w:val="24"/>
          <w:highlight w:val="none"/>
        </w:rPr>
        <w:t>)       </w:t>
      </w: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2、供应商的基本概况：</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2.1供应商单位名称： </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2.2注册地址：    </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2.3单位负责人姓名：      性别：     年龄：     职务：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备注：“单位负责人”指单位法定代表人（供应商为法人的）或法律、法规规定代表单位行使职权的主要负责人（供应商为其他组织的）。</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对于接受联合体形式的谈判且供应商是联合体的，则联合体各成员都应当提交本资格证明文件。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附件3-2        </w:t>
      </w:r>
      <w:r>
        <w:rPr>
          <w:rFonts w:ascii="宋体" w:hAnsi="宋体" w:eastAsia="宋体" w:cs="宋体"/>
          <w:b/>
          <w:bCs/>
          <w:color w:val="auto"/>
          <w:kern w:val="0"/>
          <w:sz w:val="24"/>
          <w:szCs w:val="24"/>
          <w:highlight w:val="none"/>
        </w:rPr>
        <w:t>供应商的资格声明</w:t>
      </w: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 致：(采购人或采购代理机构)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1、</w:t>
      </w:r>
      <w:r>
        <w:rPr>
          <w:rFonts w:ascii="宋体" w:hAnsi="宋体" w:eastAsia="宋体" w:cs="宋体"/>
          <w:color w:val="auto"/>
          <w:kern w:val="0"/>
          <w:sz w:val="24"/>
          <w:szCs w:val="24"/>
          <w:highlight w:val="none"/>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19"/>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《中华人民共和国政府采购法》第二十二条对供应商的要求</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（1）具有独立承担民事责任的能力</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（2）具有良好的商业信誉和健全的财务会计制度</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（3）具有履行合同所必需的设备和专业技术能力</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（4）参加政府采购活动前三年内，在经营活动中没有重大违法记录</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（5）法律、行政法规规定的其他条件</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谈判文件对合格供应商的一般规定</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为采购项目提供整体设计、规范编制或项目管理、监理、检测等服务的供应商，不得再参加该采购项目除整体设计、规范编制和项目管理、监理、检测等服务之外的其他采购活动。</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bl>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2、我方对上述声明的真实性、合法性、准确性、有效性负责，并愿意根据谈判文件和谈判过程中贵方要求提供全部现有资料、数据、文件等予以证实。</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备注：对于接受联合体形式的谈判且供应商是联合体的，则联合体各成员都应当提交本资格证明文件。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附件3-3         </w:t>
      </w:r>
      <w:r>
        <w:rPr>
          <w:rFonts w:ascii="宋体" w:hAnsi="宋体" w:eastAsia="宋体" w:cs="宋体"/>
          <w:b/>
          <w:bCs/>
          <w:color w:val="auto"/>
          <w:kern w:val="0"/>
          <w:sz w:val="24"/>
          <w:szCs w:val="24"/>
          <w:highlight w:val="none"/>
        </w:rPr>
        <w:t>单位负责人授权书</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致：(采购人或采购代理机构</w:t>
      </w:r>
      <w:r>
        <w:rPr>
          <w:rFonts w:ascii="Calibri" w:hAnsi="Calibri" w:eastAsia="宋体" w:cs="宋体"/>
          <w:color w:val="auto"/>
          <w:kern w:val="0"/>
          <w:sz w:val="24"/>
          <w:szCs w:val="24"/>
          <w:highlight w:val="none"/>
        </w:rPr>
        <w:t>)      </w:t>
      </w: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供应商代表无转委权。特此授权。</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（以下无正文）</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单位负责人：         身份证号：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手机：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供应商代表：         身份证号：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手机：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授权方</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供应商：（全称并加盖单位公章）</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单位负责人签字或盖章：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接受授权方</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供应商代表签字：</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签署日期：    年   月   日</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w:t>
      </w:r>
    </w:p>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pStyle w:val="16"/>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附：单位负责人、供应商代表的身份证正反面复印件</w:t>
      </w:r>
    </w:p>
    <w:tbl>
      <w:tblPr>
        <w:tblStyle w:val="19"/>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645" w:hRule="atLeast"/>
          <w:tblCellSpacing w:w="15" w:type="dxa"/>
        </w:trPr>
        <w:tc>
          <w:tcPr>
            <w:tcW w:w="8505"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要求：真实、有效、清晰</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tc>
      </w:tr>
    </w:tbl>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注意：</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1、企业（银行、保险、石油石化、电力、电信等行业除外）、事业单位和社会团体法人的“单位负责人”指</w:t>
      </w:r>
      <w:r>
        <w:rPr>
          <w:rFonts w:ascii="宋体" w:hAnsi="宋体" w:eastAsia="宋体" w:cs="宋体"/>
          <w:b/>
          <w:bCs/>
          <w:color w:val="auto"/>
          <w:kern w:val="0"/>
          <w:sz w:val="24"/>
          <w:szCs w:val="24"/>
          <w:highlight w:val="none"/>
        </w:rPr>
        <w:t>法定代表人</w:t>
      </w:r>
      <w:r>
        <w:rPr>
          <w:rFonts w:ascii="宋体" w:hAnsi="宋体" w:eastAsia="宋体" w:cs="宋体"/>
          <w:color w:val="auto"/>
          <w:kern w:val="0"/>
          <w:sz w:val="24"/>
          <w:szCs w:val="24"/>
          <w:highlight w:val="none"/>
        </w:rPr>
        <w:t>，即与实际提交的“营业执照等证明文件”载明的一致。</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2、银行、保险、石油石化、电力、电信等行业：以法人身份参加谈判的，“单位负责人”指</w:t>
      </w:r>
      <w:r>
        <w:rPr>
          <w:rFonts w:ascii="宋体" w:hAnsi="宋体" w:eastAsia="宋体" w:cs="宋体"/>
          <w:b/>
          <w:bCs/>
          <w:color w:val="auto"/>
          <w:kern w:val="0"/>
          <w:sz w:val="24"/>
          <w:szCs w:val="24"/>
          <w:highlight w:val="none"/>
        </w:rPr>
        <w:t>法定代表人</w:t>
      </w:r>
      <w:r>
        <w:rPr>
          <w:rFonts w:ascii="宋体" w:hAnsi="宋体" w:eastAsia="宋体" w:cs="宋体"/>
          <w:color w:val="auto"/>
          <w:kern w:val="0"/>
          <w:sz w:val="24"/>
          <w:szCs w:val="24"/>
          <w:highlight w:val="none"/>
        </w:rPr>
        <w:t>，即与实际提交的“营业执照等证明文件”载明的一致；以非法人身份参加谈判的，“单位负责人”指</w:t>
      </w:r>
      <w:r>
        <w:rPr>
          <w:rFonts w:ascii="宋体" w:hAnsi="宋体" w:eastAsia="宋体" w:cs="宋体"/>
          <w:b/>
          <w:bCs/>
          <w:color w:val="auto"/>
          <w:kern w:val="0"/>
          <w:sz w:val="24"/>
          <w:szCs w:val="24"/>
          <w:highlight w:val="none"/>
        </w:rPr>
        <w:t>代表单位行使职权的主要负责人</w:t>
      </w:r>
      <w:r>
        <w:rPr>
          <w:rFonts w:ascii="宋体" w:hAnsi="宋体" w:eastAsia="宋体" w:cs="宋体"/>
          <w:color w:val="auto"/>
          <w:kern w:val="0"/>
          <w:sz w:val="24"/>
          <w:szCs w:val="24"/>
          <w:highlight w:val="none"/>
        </w:rPr>
        <w:t>，即与实际提交的“营业执照等证明文件”载明的一致。</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4、对于接受联合体形式的谈判且供应商是联合体的，则只需要联合体的牵头方提交本授权书，在纸质响应文件正本中的本授权书应为原件。</w:t>
      </w:r>
    </w:p>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附件3-4 </w:t>
      </w:r>
      <w:r>
        <w:rPr>
          <w:rFonts w:ascii="宋体" w:hAnsi="宋体" w:eastAsia="宋体" w:cs="宋体"/>
          <w:b/>
          <w:bCs/>
          <w:color w:val="auto"/>
          <w:kern w:val="0"/>
          <w:sz w:val="24"/>
          <w:szCs w:val="24"/>
          <w:highlight w:val="none"/>
        </w:rPr>
        <w:t>       营业执照等证明文件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致：(采购人或采购代理机构)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）供应商为法人（包括企业、事业单位和社会团体）的</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现附上由（填写“签发机关全称”）签发的我方统一社会信用代码（请填写法人的具体证照名称）复印件，该证明材料真实有效，否则我方负全部责任。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）供应商为非法人（包括其他组织、自然人）的</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□现附上由（填写“签发机关全称”）签发的我方（请填写非自然人的非法人的具体证照名称）复印件，该证明材料真实有效，否则我方负全部责任。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□现附上由（填写“签发机关全称”）签发的我方（请填写自然人的身份证件名称）复印件，该证明材料真实有效，否则我方负全部责任。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注意：</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1、请供应商根据实际情况填写，在相应的（）中打“√”并选择相应的“□”（若有）后，再按照本格式的要求提供相应证明材料的复印件。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3、供应商提供的相应证明材料复印件均应符合：内容完整、清晰、整洁，并由供应商加盖其单位公章。</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4、对于接受联合体形式的谈判且供应商是联合体的，则联合体各成员都应当提交本资格证明文件。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附件3-5             </w:t>
      </w:r>
      <w:r>
        <w:rPr>
          <w:rFonts w:ascii="宋体" w:hAnsi="宋体" w:eastAsia="宋体" w:cs="宋体"/>
          <w:b/>
          <w:bCs/>
          <w:color w:val="auto"/>
          <w:kern w:val="0"/>
          <w:sz w:val="24"/>
          <w:szCs w:val="24"/>
          <w:highlight w:val="none"/>
        </w:rPr>
        <w:t>财务状况报告</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致：(采购人或采购代理机构</w:t>
      </w:r>
      <w:r>
        <w:rPr>
          <w:rFonts w:ascii="Calibri" w:hAnsi="Calibri" w:eastAsia="宋体" w:cs="宋体"/>
          <w:color w:val="auto"/>
          <w:kern w:val="0"/>
          <w:sz w:val="24"/>
          <w:szCs w:val="24"/>
          <w:highlight w:val="none"/>
        </w:rPr>
        <w:t>)      </w:t>
      </w: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）供应商提供财务报告的</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企业适用：现附上我方（填写“具体的年度、或半年度、或季度”）财务报告复印件，包括资产负债表、利润表、现金流量表、所有者权益变动表及其附注（若有），上述证明材料真实有效，否则我方负全部责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事业单位适用：现附上我方（填写“具体的年度、或半年度、或季度”）财务报告复印件，包括资产负债表、收入支出表或收入费用表、财政补助收入支出表（若有），上述证明材料真实有效，否则我方负全部责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□社会团体适用：现附上我方（填写“具体的年度、或半年度、或季度”）财务报告复印件，包括资产负债表、业务活动表、现金流量表，上述证明材料真实有效，否则我方负全部责任。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）供应商提供资信证明的</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□非自然人适用：现附上我方银行：（填写“开户银行全称”）出具的资信证明复印件，上述证明材料真实有效，否则我方负全部责任。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□自然人适用：现附上我方银行：（填写自然人的“个人账户的开户银行全称”）出具的资信证明复印件，上述证明材料真实有效，否则我方负全部责任。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）供应商提供投标担保函的</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现附上由财政部门认可的政府采购专业担保机构：（填写“担保机构全称”）出具的投标担保函复印件，上述证明材料真实有效，否则我方负全部责任。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注意事项：</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2、供应商提供的财务报告复印件（成立年限按照首次响应文件递交截止时间推算）应符合下列规定：</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2.1成立年限满1年及以上的供应商，提供经审计的上一年度的年度财务报告。</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2.2成立年限满半年但不足1年的供应商，提供该半年度中任一季度的季度财务报告或该半年度的半年度财务报告。</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jc w:val="left"/>
        <w:textAlignment w:val="auto"/>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ascii="宋体" w:hAnsi="宋体" w:eastAsia="宋体" w:cs="宋体"/>
          <w:b/>
          <w:bCs/>
          <w:color w:val="auto"/>
          <w:kern w:val="0"/>
          <w:sz w:val="24"/>
          <w:szCs w:val="24"/>
          <w:highlight w:val="none"/>
        </w:rPr>
        <w:t>无法按照本格式注意事项第2.1、2.2条规定提供财务报告复印件的供应商，应按照本格式注意事项的要求选择提供资信证明复印件或投标担保函复印件。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3、“财政部门认可的政府采购专业担保机构”应符合《财政部关于开展政府采购信用担保试点工作方案》（财库[2011]124号）的规定。</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4、供应商提供的相应证明材料复印件均应符合：内容完整、清晰、整洁，并由供应商加盖其单位公章。</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5、对于接受联合体形式的谈判且供应商是联合体的，则联合体各成员都应当提交本资格证明文件。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jc w:val="center"/>
        <w:textAlignment w:val="auto"/>
        <w:rPr>
          <w:sz w:val="24"/>
          <w:szCs w:val="24"/>
        </w:rPr>
      </w:pPr>
      <w:r>
        <w:rPr>
          <w:rFonts w:ascii="宋体" w:hAnsi="宋体" w:eastAsia="宋体" w:cs="宋体"/>
          <w:color w:val="auto"/>
          <w:kern w:val="0"/>
          <w:sz w:val="24"/>
          <w:szCs w:val="24"/>
          <w:highlight w:val="none"/>
        </w:rPr>
        <w:t>附件3-</w:t>
      </w:r>
      <w:r>
        <w:rPr>
          <w:rFonts w:hint="eastAsia" w:ascii="宋体" w:hAnsi="宋体" w:eastAsia="宋体" w:cs="宋体"/>
          <w:color w:val="auto"/>
          <w:kern w:val="0"/>
          <w:sz w:val="24"/>
          <w:szCs w:val="24"/>
          <w:highlight w:val="none"/>
          <w:lang w:val="en-US" w:eastAsia="zh-CN"/>
        </w:rPr>
        <w:t>7</w:t>
      </w:r>
      <w:r>
        <w:rPr>
          <w:rFonts w:ascii="宋体" w:hAnsi="宋体" w:eastAsia="宋体" w:cs="宋体"/>
          <w:color w:val="auto"/>
          <w:kern w:val="0"/>
          <w:sz w:val="24"/>
          <w:szCs w:val="24"/>
          <w:highlight w:val="none"/>
        </w:rPr>
        <w:t xml:space="preserve">    </w:t>
      </w:r>
      <w:r>
        <w:rPr>
          <w:rStyle w:val="23"/>
          <w:rFonts w:hint="eastAsia" w:ascii="宋体" w:hAnsi="宋体" w:eastAsia="宋体" w:cs="宋体"/>
          <w:sz w:val="24"/>
          <w:szCs w:val="24"/>
        </w:rPr>
        <w:t>依法缴纳税收证明材料</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textAlignment w:val="auto"/>
        <w:rPr>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（采购人或采购代理机构） </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textAlignment w:val="auto"/>
        <w:rPr>
          <w:sz w:val="24"/>
          <w:szCs w:val="24"/>
        </w:rPr>
      </w:pPr>
      <w:r>
        <w:rPr>
          <w:rFonts w:hint="eastAsia" w:ascii="宋体" w:hAnsi="宋体" w:eastAsia="宋体" w:cs="宋体"/>
          <w:sz w:val="24"/>
          <w:szCs w:val="24"/>
        </w:rPr>
        <w:t>1、依法缴纳税收的投标人</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textAlignment w:val="auto"/>
        <w:rPr>
          <w:sz w:val="24"/>
          <w:szCs w:val="24"/>
        </w:rPr>
      </w:pPr>
      <w:r>
        <w:rPr>
          <w:rFonts w:hint="eastAsia" w:ascii="宋体" w:hAnsi="宋体" w:eastAsia="宋体" w:cs="宋体"/>
          <w:sz w:val="24"/>
          <w:szCs w:val="24"/>
        </w:rPr>
        <w:t>（ ）法人（包括企业、事业单位和社会团体）的</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textAlignment w:val="auto"/>
        <w:rPr>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日至</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日期间我方缴纳</w:t>
      </w:r>
      <w:r>
        <w:rPr>
          <w:rFonts w:hint="eastAsia" w:ascii="宋体" w:hAnsi="宋体" w:eastAsia="宋体" w:cs="宋体"/>
          <w:sz w:val="24"/>
          <w:szCs w:val="24"/>
          <w:u w:val="single"/>
        </w:rPr>
        <w:t>（包括但不限于税务机关出具的专用收据、税收缴纳证明或税收代缴银行的缴款收讫凭证）等</w:t>
      </w:r>
      <w:r>
        <w:rPr>
          <w:rFonts w:hint="eastAsia" w:ascii="宋体" w:hAnsi="宋体" w:eastAsia="宋体" w:cs="宋体"/>
          <w:sz w:val="24"/>
          <w:szCs w:val="24"/>
        </w:rPr>
        <w:t>税收凭据复印件，上述证明材料真实有效，否则我方负全部责任。</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textAlignment w:val="auto"/>
        <w:rPr>
          <w:sz w:val="24"/>
          <w:szCs w:val="24"/>
        </w:rPr>
      </w:pPr>
      <w:r>
        <w:rPr>
          <w:rFonts w:hint="eastAsia" w:ascii="宋体" w:hAnsi="宋体" w:eastAsia="宋体" w:cs="宋体"/>
          <w:sz w:val="24"/>
          <w:szCs w:val="24"/>
        </w:rPr>
        <w:t>（ ）非法人（包括其他组织、自然人）的</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textAlignment w:val="auto"/>
        <w:rPr>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日至</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日期间我方缴纳</w:t>
      </w:r>
      <w:r>
        <w:rPr>
          <w:rFonts w:hint="eastAsia" w:ascii="宋体" w:hAnsi="宋体" w:eastAsia="宋体" w:cs="宋体"/>
          <w:sz w:val="24"/>
          <w:szCs w:val="24"/>
          <w:u w:val="single"/>
        </w:rPr>
        <w:t>（包括但不限于税务机关出具的专用收据、税收缴纳证明或税收代缴银行的缴款收讫凭证）等</w:t>
      </w:r>
      <w:r>
        <w:rPr>
          <w:rFonts w:hint="eastAsia" w:ascii="宋体" w:hAnsi="宋体" w:eastAsia="宋体" w:cs="宋体"/>
          <w:sz w:val="24"/>
          <w:szCs w:val="24"/>
        </w:rPr>
        <w:t>税收凭据复印件，上述证明材料真实有效，否则我方负全部责任。</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textAlignment w:val="auto"/>
        <w:rPr>
          <w:sz w:val="24"/>
          <w:szCs w:val="24"/>
        </w:rPr>
      </w:pPr>
      <w:r>
        <w:rPr>
          <w:rFonts w:hint="eastAsia" w:ascii="宋体" w:hAnsi="宋体" w:eastAsia="宋体" w:cs="宋体"/>
          <w:sz w:val="24"/>
          <w:szCs w:val="24"/>
        </w:rPr>
        <w:t>2、依法免税的投标人</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textAlignment w:val="auto"/>
        <w:rPr>
          <w:sz w:val="24"/>
          <w:szCs w:val="24"/>
        </w:rPr>
      </w:pPr>
      <w:r>
        <w:rPr>
          <w:rFonts w:hint="eastAsia" w:ascii="宋体" w:hAnsi="宋体" w:eastAsia="宋体" w:cs="宋体"/>
          <w:sz w:val="24"/>
          <w:szCs w:val="24"/>
        </w:rPr>
        <w:t>（ ）现附上我方依法免税证明材料复印件，上述证明材料真实有效，否则我方负全部责任。</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textAlignment w:val="auto"/>
        <w:rPr>
          <w:sz w:val="24"/>
          <w:szCs w:val="24"/>
        </w:rPr>
      </w:pPr>
      <w:r>
        <w:rPr>
          <w:rFonts w:hint="eastAsia" w:ascii="宋体" w:hAnsi="宋体" w:eastAsia="宋体" w:cs="宋体"/>
          <w:sz w:val="24"/>
          <w:szCs w:val="24"/>
        </w:rPr>
        <w:t>※注意：</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textAlignment w:val="auto"/>
        <w:rPr>
          <w:sz w:val="24"/>
          <w:szCs w:val="24"/>
        </w:rPr>
      </w:pPr>
      <w:r>
        <w:rPr>
          <w:rFonts w:hint="eastAsia" w:ascii="宋体" w:hAnsi="宋体" w:eastAsia="宋体" w:cs="宋体"/>
          <w:sz w:val="24"/>
          <w:szCs w:val="24"/>
        </w:rPr>
        <w:t>1、请投标人按照实际情况编制填写，在相应的（）中打“√”，并按照本格式的要求提供相应证明材料的复印件。</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textAlignment w:val="auto"/>
        <w:rPr>
          <w:sz w:val="24"/>
          <w:szCs w:val="24"/>
        </w:rPr>
      </w:pPr>
      <w:r>
        <w:rPr>
          <w:rFonts w:hint="eastAsia" w:ascii="宋体" w:hAnsi="宋体" w:eastAsia="宋体" w:cs="宋体"/>
          <w:sz w:val="24"/>
          <w:szCs w:val="24"/>
        </w:rPr>
        <w:t>2、投标人提供的税收凭据复印件应符合下列规定：</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textAlignment w:val="auto"/>
        <w:rPr>
          <w:sz w:val="24"/>
          <w:szCs w:val="24"/>
        </w:rPr>
      </w:pPr>
      <w:r>
        <w:rPr>
          <w:rFonts w:hint="eastAsia" w:ascii="宋体" w:hAnsi="宋体" w:eastAsia="宋体" w:cs="宋体"/>
          <w:sz w:val="24"/>
          <w:szCs w:val="24"/>
        </w:rPr>
        <w:t>2.1投标截止时间前（不含投标截止时间的当月）已依法缴纳税收的投标人，提供投标截止时间前六个月（不含投标截止时间的当月）中任一月份的税收凭据复印件。</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textAlignment w:val="auto"/>
        <w:rPr>
          <w:sz w:val="24"/>
          <w:szCs w:val="24"/>
        </w:rPr>
      </w:pPr>
      <w:r>
        <w:rPr>
          <w:rFonts w:hint="eastAsia" w:ascii="宋体" w:hAnsi="宋体" w:eastAsia="宋体" w:cs="宋体"/>
          <w:sz w:val="24"/>
          <w:szCs w:val="24"/>
        </w:rPr>
        <w:t>2.2投标截止时间的当月成立且已依法缴纳税收的投标人，提供投标截止时间当月的税收凭据复印件。</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textAlignment w:val="auto"/>
        <w:rPr>
          <w:sz w:val="24"/>
          <w:szCs w:val="24"/>
        </w:rPr>
      </w:pPr>
      <w:r>
        <w:rPr>
          <w:rFonts w:hint="eastAsia" w:ascii="宋体" w:hAnsi="宋体" w:eastAsia="宋体" w:cs="宋体"/>
          <w:sz w:val="24"/>
          <w:szCs w:val="24"/>
        </w:rPr>
        <w:t>2.3投标截止时间的当月成立但因税务机关原因导致其尚未依法缴纳税收的投标人，提供依法缴纳税收承诺书（格式自拟），该承诺书视同税收凭据。</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textAlignment w:val="auto"/>
        <w:rPr>
          <w:sz w:val="24"/>
          <w:szCs w:val="24"/>
        </w:rPr>
      </w:pPr>
      <w:r>
        <w:rPr>
          <w:rFonts w:hint="default" w:ascii="Calibri" w:hAnsi="Calibri" w:cs="Calibri"/>
          <w:sz w:val="24"/>
          <w:szCs w:val="24"/>
        </w:rPr>
        <w:t> </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textAlignment w:val="auto"/>
        <w:rPr>
          <w:sz w:val="24"/>
          <w:szCs w:val="24"/>
        </w:rPr>
      </w:pPr>
      <w:r>
        <w:rPr>
          <w:rFonts w:hint="default" w:ascii="Calibri" w:hAnsi="Calibri" w:cs="Calibri"/>
          <w:sz w:val="24"/>
          <w:szCs w:val="24"/>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jc w:val="center"/>
        <w:textAlignment w:val="auto"/>
        <w:rPr>
          <w:rFonts w:hint="default" w:ascii="Calibri" w:hAnsi="Calibri" w:cs="Calibri"/>
          <w:sz w:val="24"/>
          <w:szCs w:val="24"/>
        </w:rPr>
      </w:pPr>
      <w:r>
        <w:rPr>
          <w:rFonts w:hint="default" w:ascii="Calibri" w:hAnsi="Calibri" w:cs="Calibri"/>
          <w:sz w:val="24"/>
          <w:szCs w:val="24"/>
        </w:rPr>
        <w:br w:type="textWrapping"/>
      </w:r>
    </w:p>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hint="default" w:ascii="Calibri" w:hAnsi="Calibri" w:cs="Calibri"/>
          <w:sz w:val="24"/>
          <w:szCs w:val="24"/>
        </w:rPr>
      </w:pPr>
      <w:r>
        <w:rPr>
          <w:rFonts w:hint="default" w:ascii="Calibri" w:hAnsi="Calibri" w:cs="Calibri"/>
          <w:sz w:val="24"/>
          <w:szCs w:val="24"/>
        </w:rPr>
        <w:br w:type="page"/>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jc w:val="center"/>
        <w:textAlignment w:val="auto"/>
        <w:rPr>
          <w:sz w:val="24"/>
          <w:szCs w:val="24"/>
        </w:rPr>
      </w:pPr>
      <w:r>
        <w:rPr>
          <w:rFonts w:ascii="宋体" w:hAnsi="宋体" w:eastAsia="宋体" w:cs="宋体"/>
          <w:color w:val="auto"/>
          <w:kern w:val="0"/>
          <w:sz w:val="24"/>
          <w:szCs w:val="24"/>
          <w:highlight w:val="none"/>
        </w:rPr>
        <w:t>附件3-</w:t>
      </w:r>
      <w:r>
        <w:rPr>
          <w:rFonts w:hint="eastAsia" w:ascii="宋体" w:hAnsi="宋体" w:eastAsia="宋体" w:cs="宋体"/>
          <w:color w:val="auto"/>
          <w:kern w:val="0"/>
          <w:sz w:val="24"/>
          <w:szCs w:val="24"/>
          <w:highlight w:val="none"/>
          <w:lang w:val="en-US" w:eastAsia="zh-CN"/>
        </w:rPr>
        <w:t>8</w:t>
      </w:r>
      <w:r>
        <w:rPr>
          <w:rFonts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Style w:val="23"/>
          <w:rFonts w:hint="eastAsia" w:ascii="宋体" w:hAnsi="宋体" w:eastAsia="宋体" w:cs="宋体"/>
          <w:sz w:val="24"/>
          <w:szCs w:val="24"/>
        </w:rPr>
        <w:t>依法缴纳社会保障资金证明材料</w:t>
      </w:r>
      <w:r>
        <w:rPr>
          <w:rFonts w:hint="eastAsia" w:ascii="宋体" w:hAnsi="宋体" w:eastAsia="宋体" w:cs="宋体"/>
          <w:sz w:val="24"/>
          <w:szCs w:val="24"/>
        </w:rPr>
        <w:t> </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textAlignment w:val="auto"/>
        <w:rPr>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（采购人或采购代理机构） </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textAlignment w:val="auto"/>
        <w:rPr>
          <w:sz w:val="24"/>
          <w:szCs w:val="24"/>
        </w:rPr>
      </w:pPr>
      <w:r>
        <w:rPr>
          <w:rFonts w:hint="eastAsia" w:ascii="宋体" w:hAnsi="宋体" w:eastAsia="宋体" w:cs="宋体"/>
          <w:sz w:val="24"/>
          <w:szCs w:val="24"/>
        </w:rPr>
        <w:t>1、依法缴纳社会保障资金的投标人</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textAlignment w:val="auto"/>
        <w:rPr>
          <w:sz w:val="24"/>
          <w:szCs w:val="24"/>
        </w:rPr>
      </w:pPr>
      <w:r>
        <w:rPr>
          <w:rFonts w:hint="eastAsia" w:ascii="宋体" w:hAnsi="宋体" w:eastAsia="宋体" w:cs="宋体"/>
          <w:sz w:val="24"/>
          <w:szCs w:val="24"/>
        </w:rPr>
        <w:t>（ ）法人（包括企业、事业单位和社会团体）的</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textAlignment w:val="auto"/>
        <w:rPr>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日至</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日我方缴纳的社会保险凭据（限：税务机关/社会保障资金管理机关的专用收据或社会保险缴纳清单，或社会保险的银行缴款收讫凭证）复印件，上述证明材料真实有效，否则我方负全部责任。</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textAlignment w:val="auto"/>
        <w:rPr>
          <w:sz w:val="24"/>
          <w:szCs w:val="24"/>
        </w:rPr>
      </w:pPr>
      <w:r>
        <w:rPr>
          <w:rFonts w:hint="eastAsia" w:ascii="宋体" w:hAnsi="宋体" w:eastAsia="宋体" w:cs="宋体"/>
          <w:sz w:val="24"/>
          <w:szCs w:val="24"/>
        </w:rPr>
        <w:t>（ ）非法人（包括其他组织、自然人）的</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textAlignment w:val="auto"/>
        <w:rPr>
          <w:sz w:val="24"/>
          <w:szCs w:val="24"/>
        </w:rPr>
      </w:pPr>
      <w:r>
        <w:rPr>
          <w:rFonts w:hint="eastAsia" w:ascii="宋体" w:hAnsi="宋体" w:eastAsia="宋体" w:cs="宋体"/>
          <w:sz w:val="24"/>
          <w:szCs w:val="24"/>
        </w:rPr>
        <w:t>自</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日至</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日我方缴纳的社会保险凭据（限：税务机关/社会保障资金管理机关的专用收据或社会保险缴纳清单，或社会保险的银行缴款收讫凭证）复印件，上述证明材料真实有效，否则我方负全部责任。</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textAlignment w:val="auto"/>
        <w:rPr>
          <w:sz w:val="24"/>
          <w:szCs w:val="24"/>
        </w:rPr>
      </w:pPr>
      <w:r>
        <w:rPr>
          <w:rFonts w:hint="eastAsia" w:ascii="宋体" w:hAnsi="宋体" w:eastAsia="宋体" w:cs="宋体"/>
          <w:sz w:val="24"/>
          <w:szCs w:val="24"/>
        </w:rPr>
        <w:t>2、依法不需要缴纳社会保障资金的投标人</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textAlignment w:val="auto"/>
        <w:rPr>
          <w:sz w:val="24"/>
          <w:szCs w:val="24"/>
        </w:rPr>
      </w:pPr>
      <w:r>
        <w:rPr>
          <w:rFonts w:hint="eastAsia" w:ascii="宋体" w:hAnsi="宋体" w:eastAsia="宋体" w:cs="宋体"/>
          <w:sz w:val="24"/>
          <w:szCs w:val="24"/>
        </w:rPr>
        <w:t>（ ）现附上我方依法不需要缴纳社会保障资金证明材料复印件，上述证明材料真实有效，否则我方负全部责任。</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textAlignment w:val="auto"/>
        <w:rPr>
          <w:sz w:val="24"/>
          <w:szCs w:val="24"/>
        </w:rPr>
      </w:pPr>
      <w:r>
        <w:rPr>
          <w:rFonts w:hint="eastAsia" w:ascii="宋体" w:hAnsi="宋体" w:eastAsia="宋体" w:cs="宋体"/>
          <w:sz w:val="24"/>
          <w:szCs w:val="24"/>
        </w:rPr>
        <w:t>※注意：</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textAlignment w:val="auto"/>
        <w:rPr>
          <w:sz w:val="24"/>
          <w:szCs w:val="24"/>
        </w:rPr>
      </w:pPr>
      <w:r>
        <w:rPr>
          <w:rFonts w:hint="eastAsia" w:ascii="宋体" w:hAnsi="宋体" w:eastAsia="宋体" w:cs="宋体"/>
          <w:sz w:val="24"/>
          <w:szCs w:val="24"/>
        </w:rPr>
        <w:t>1、请投标人按照实际情况编制填写，在相应的（）中打“√”，并按照本格式的要求提供相应证明材料的复印件。</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textAlignment w:val="auto"/>
        <w:rPr>
          <w:sz w:val="24"/>
          <w:szCs w:val="24"/>
        </w:rPr>
      </w:pPr>
      <w:r>
        <w:rPr>
          <w:rFonts w:hint="eastAsia" w:ascii="宋体" w:hAnsi="宋体" w:eastAsia="宋体" w:cs="宋体"/>
          <w:sz w:val="24"/>
          <w:szCs w:val="24"/>
        </w:rPr>
        <w:t>2、投标人提供的社会保险凭据复印件应符合下列规定：</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textAlignment w:val="auto"/>
        <w:rPr>
          <w:sz w:val="24"/>
          <w:szCs w:val="24"/>
        </w:rPr>
      </w:pPr>
      <w:r>
        <w:rPr>
          <w:rFonts w:hint="eastAsia" w:ascii="宋体" w:hAnsi="宋体" w:eastAsia="宋体" w:cs="宋体"/>
          <w:sz w:val="24"/>
          <w:szCs w:val="24"/>
        </w:rPr>
        <w:t>2.1投标截止时间前（不含投标截止时间的当月）已依法缴纳社会保障资金的投标人，提供投标截止时间前六个月（不含投标截止时间的当月）中任一月份的社会保险凭据复印件。</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textAlignment w:val="auto"/>
        <w:rPr>
          <w:sz w:val="24"/>
          <w:szCs w:val="24"/>
        </w:rPr>
      </w:pPr>
      <w:r>
        <w:rPr>
          <w:rFonts w:hint="eastAsia" w:ascii="宋体" w:hAnsi="宋体" w:eastAsia="宋体" w:cs="宋体"/>
          <w:sz w:val="24"/>
          <w:szCs w:val="24"/>
        </w:rPr>
        <w:t>2.2投标截止时间的当月成立且已依法缴纳社会保障资金的投标人，提供投标截止时间当月的社会保险凭据复印件。</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textAlignment w:val="auto"/>
        <w:rPr>
          <w:sz w:val="24"/>
          <w:szCs w:val="24"/>
        </w:rPr>
      </w:pPr>
      <w:r>
        <w:rPr>
          <w:rFonts w:hint="eastAsia" w:ascii="宋体" w:hAnsi="宋体" w:eastAsia="宋体" w:cs="宋体"/>
          <w:sz w:val="24"/>
          <w:szCs w:val="24"/>
        </w:rPr>
        <w:t>2.3投标截止时间的当月成立但因税务机关</w:t>
      </w:r>
      <w:r>
        <w:rPr>
          <w:rFonts w:hint="default" w:ascii="Calibri" w:hAnsi="Calibri" w:eastAsia="宋体" w:cs="Calibri"/>
          <w:sz w:val="24"/>
          <w:szCs w:val="24"/>
        </w:rPr>
        <w:t>/</w:t>
      </w:r>
      <w:r>
        <w:rPr>
          <w:rFonts w:hint="eastAsia" w:ascii="宋体" w:hAnsi="宋体" w:eastAsia="宋体" w:cs="宋体"/>
          <w:sz w:val="24"/>
          <w:szCs w:val="24"/>
        </w:rPr>
        <w:t>社会保障资金管理机关原因导致其尚未依法缴纳社会保障资金的投标人，提供依法缴纳社会保障资金承诺书（格式自拟），该承诺书视同社会保险凭据。</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textAlignment w:val="auto"/>
        <w:rPr>
          <w:sz w:val="24"/>
          <w:szCs w:val="24"/>
        </w:rPr>
      </w:pPr>
      <w:r>
        <w:rPr>
          <w:rFonts w:hint="default" w:ascii="Calibri" w:hAnsi="Calibri" w:cs="Calibri"/>
          <w:sz w:val="24"/>
          <w:szCs w:val="24"/>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3-9          </w:t>
      </w:r>
      <w:r>
        <w:rPr>
          <w:rFonts w:ascii="宋体" w:hAnsi="宋体" w:eastAsia="宋体" w:cs="宋体"/>
          <w:b/>
          <w:bCs/>
          <w:color w:val="auto"/>
          <w:kern w:val="0"/>
          <w:sz w:val="24"/>
          <w:szCs w:val="24"/>
          <w:highlight w:val="none"/>
        </w:rPr>
        <w:t>具备履行合同所必需设备和专业技术能力证明材料</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声明函</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致：(采购人或采购代理机构)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我方具备履行合同所必需的设备和专业技术能力，并对本声明承诺的真实性负责，否则产生不利后果由我方承担责任。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特此声明。</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注意：</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w:t>
      </w:r>
      <w:r>
        <w:rPr>
          <w:rFonts w:ascii="宋体" w:hAnsi="宋体" w:eastAsia="宋体" w:cs="宋体"/>
          <w:b/>
          <w:bCs/>
          <w:color w:val="auto"/>
          <w:kern w:val="0"/>
          <w:sz w:val="24"/>
          <w:szCs w:val="24"/>
          <w:highlight w:val="none"/>
        </w:rPr>
        <w:t>谈判文件“供应商的资格”中特定资格条件如果没有特别规定，则由供应商在响应文件中按上述格式提供其具备履行合同所必需的设备和专业技术能力的声明即可，声明函应加盖供应商单位公章。</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  </w:t>
      </w:r>
      <w:r>
        <w:rPr>
          <w:rFonts w:ascii="宋体" w:hAnsi="宋体" w:eastAsia="宋体" w:cs="宋体"/>
          <w:b/>
          <w:bCs/>
          <w:color w:val="auto"/>
          <w:kern w:val="0"/>
          <w:sz w:val="24"/>
          <w:szCs w:val="24"/>
          <w:highlight w:val="none"/>
        </w:rPr>
        <w:t>3.对于接受联合体形式的谈判且供应商是联合体的，则联合体各成员都应当提交本资格证明文件。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pStyle w:val="16"/>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color w:val="auto"/>
          <w:sz w:val="24"/>
          <w:szCs w:val="24"/>
          <w:highlight w:val="none"/>
        </w:rPr>
      </w:pPr>
    </w:p>
    <w:p>
      <w:pPr>
        <w:rPr>
          <w:color w:val="auto"/>
          <w:sz w:val="24"/>
          <w:szCs w:val="24"/>
          <w:highlight w:val="none"/>
        </w:rPr>
      </w:pPr>
      <w:r>
        <w:rPr>
          <w:color w:val="auto"/>
          <w:sz w:val="24"/>
          <w:szCs w:val="24"/>
          <w:highlight w:val="none"/>
        </w:rPr>
        <w:br w:type="page"/>
      </w:r>
    </w:p>
    <w:p>
      <w:pPr>
        <w:pStyle w:val="2"/>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附件3-</w:t>
      </w:r>
      <w:r>
        <w:rPr>
          <w:rFonts w:hint="eastAsia" w:ascii="宋体" w:hAnsi="宋体" w:eastAsia="宋体" w:cs="宋体"/>
          <w:color w:val="auto"/>
          <w:kern w:val="0"/>
          <w:sz w:val="24"/>
          <w:szCs w:val="24"/>
          <w:highlight w:val="none"/>
          <w:lang w:val="en-US" w:eastAsia="zh-CN"/>
        </w:rPr>
        <w:t>10</w:t>
      </w:r>
      <w:r>
        <w:rPr>
          <w:rFonts w:ascii="宋体" w:hAnsi="宋体" w:eastAsia="宋体" w:cs="宋体"/>
          <w:color w:val="auto"/>
          <w:kern w:val="0"/>
          <w:sz w:val="24"/>
          <w:szCs w:val="24"/>
          <w:highlight w:val="none"/>
        </w:rPr>
        <w:t>   </w:t>
      </w:r>
      <w:r>
        <w:rPr>
          <w:rFonts w:ascii="宋体" w:hAnsi="宋体" w:eastAsia="宋体" w:cs="宋体"/>
          <w:b/>
          <w:bCs/>
          <w:color w:val="auto"/>
          <w:kern w:val="0"/>
          <w:sz w:val="24"/>
          <w:szCs w:val="24"/>
          <w:highlight w:val="none"/>
        </w:rPr>
        <w:t>参加采购活动前三年内在经营活动中没有重大违法记录书面声明</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致：(采购人或采购代理机构)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参加采购活动前三年内，我方在经营活动中没有重大违法记录，也无行贿犯罪记录。</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特此声明。</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注意：</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1、“重大违法记录”指供应商因违法经营受到刑事处罚或责令停产停业、吊销许可证或执照、较大数额罚款等行政处罚。</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2、请供应商根据实际情况进行声明，若声明不真实，视为提供虚假材料。</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3、对于接受联合体形式的谈判且供应商是联合体的，则联合体各成员都应当提交本资格证明文件。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w:t>
      </w:r>
      <w:r>
        <w:rPr>
          <w:rFonts w:hint="eastAsia" w:ascii="宋体" w:hAnsi="宋体" w:eastAsia="宋体" w:cs="宋体"/>
          <w:color w:val="auto"/>
          <w:kern w:val="0"/>
          <w:sz w:val="24"/>
          <w:szCs w:val="24"/>
          <w:highlight w:val="none"/>
          <w:lang w:val="en-US" w:eastAsia="zh-CN"/>
        </w:rPr>
        <w:t>11</w:t>
      </w:r>
      <w:r>
        <w:rPr>
          <w:rFonts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w:t>
      </w:r>
      <w:r>
        <w:rPr>
          <w:rFonts w:ascii="宋体" w:hAnsi="宋体" w:eastAsia="宋体" w:cs="宋体"/>
          <w:b/>
          <w:bCs/>
          <w:color w:val="auto"/>
          <w:kern w:val="0"/>
          <w:sz w:val="24"/>
          <w:szCs w:val="24"/>
          <w:highlight w:val="none"/>
        </w:rPr>
        <w:t>信用记录查询结果</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致：(采购人或采购代理机构)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注意：</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1、供应商应</w:t>
      </w:r>
      <w:r>
        <w:rPr>
          <w:rFonts w:ascii="宋体" w:hAnsi="宋体" w:eastAsia="宋体" w:cs="宋体"/>
          <w:b/>
          <w:bCs/>
          <w:color w:val="auto"/>
          <w:kern w:val="0"/>
          <w:sz w:val="24"/>
          <w:szCs w:val="24"/>
          <w:highlight w:val="none"/>
        </w:rPr>
        <w:t>同时提供</w:t>
      </w:r>
      <w:r>
        <w:rPr>
          <w:rFonts w:ascii="宋体" w:hAnsi="宋体" w:eastAsia="宋体" w:cs="宋体"/>
          <w:color w:val="auto"/>
          <w:kern w:val="0"/>
          <w:sz w:val="24"/>
          <w:szCs w:val="24"/>
          <w:highlight w:val="none"/>
        </w:rPr>
        <w:t>在谈判文件要求的首次响应文件递交截止时点前通过上述2个网站获取的信用信息查询结果，信用信息查询结果应为从上述网站获取的查询结果原始页面的打印件或完整截图，</w:t>
      </w:r>
      <w:r>
        <w:rPr>
          <w:rFonts w:ascii="宋体" w:hAnsi="宋体" w:eastAsia="宋体" w:cs="宋体"/>
          <w:b/>
          <w:bCs/>
          <w:color w:val="auto"/>
          <w:kern w:val="0"/>
          <w:sz w:val="24"/>
          <w:szCs w:val="24"/>
          <w:highlight w:val="none"/>
        </w:rPr>
        <w:t>否则其响应文件将被否决</w:t>
      </w:r>
      <w:r>
        <w:rPr>
          <w:rFonts w:ascii="宋体" w:hAnsi="宋体" w:eastAsia="宋体" w:cs="宋体"/>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2、若本项目接受联合体响应谈判且供应商为联合体，则联合体各成员均应</w:t>
      </w:r>
      <w:r>
        <w:rPr>
          <w:rFonts w:ascii="宋体" w:hAnsi="宋体" w:eastAsia="宋体" w:cs="宋体"/>
          <w:b/>
          <w:bCs/>
          <w:color w:val="auto"/>
          <w:kern w:val="0"/>
          <w:sz w:val="24"/>
          <w:szCs w:val="24"/>
          <w:highlight w:val="none"/>
        </w:rPr>
        <w:t>同时提供</w:t>
      </w:r>
      <w:r>
        <w:rPr>
          <w:rFonts w:ascii="宋体" w:hAnsi="宋体" w:eastAsia="宋体" w:cs="宋体"/>
          <w:color w:val="auto"/>
          <w:kern w:val="0"/>
          <w:sz w:val="24"/>
          <w:szCs w:val="24"/>
          <w:highlight w:val="none"/>
        </w:rPr>
        <w:t>在谈判文件要求的首次响应文件截止时点前通过上述2个网站获取的联合体各方的信用信息查询结果，信用信息查询结果应为从上述网站获取的查询结果原始页面的完整截图或打印件，</w:t>
      </w:r>
      <w:r>
        <w:rPr>
          <w:rFonts w:ascii="宋体" w:hAnsi="宋体" w:eastAsia="宋体" w:cs="宋体"/>
          <w:b/>
          <w:bCs/>
          <w:color w:val="auto"/>
          <w:kern w:val="0"/>
          <w:sz w:val="24"/>
          <w:szCs w:val="24"/>
          <w:highlight w:val="none"/>
        </w:rPr>
        <w:t>否则其响应文件将被否决</w:t>
      </w:r>
      <w:r>
        <w:rPr>
          <w:rFonts w:ascii="宋体" w:hAnsi="宋体" w:eastAsia="宋体" w:cs="宋体"/>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3、联合体成员存在不良信用记录的，视同联合体存在不良信用记录，</w:t>
      </w:r>
      <w:r>
        <w:rPr>
          <w:rFonts w:ascii="宋体" w:hAnsi="宋体" w:eastAsia="宋体" w:cs="宋体"/>
          <w:b/>
          <w:bCs/>
          <w:color w:val="auto"/>
          <w:kern w:val="0"/>
          <w:sz w:val="24"/>
          <w:szCs w:val="24"/>
          <w:highlight w:val="none"/>
        </w:rPr>
        <w:t>其响应文件将被否决</w:t>
      </w:r>
      <w:r>
        <w:rPr>
          <w:rFonts w:ascii="宋体" w:hAnsi="宋体" w:eastAsia="宋体" w:cs="宋体"/>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ascii="宋体" w:hAnsi="宋体" w:eastAsia="宋体" w:cs="宋体"/>
          <w:b/>
          <w:bCs/>
          <w:color w:val="auto"/>
          <w:kern w:val="0"/>
          <w:sz w:val="24"/>
          <w:szCs w:val="24"/>
          <w:highlight w:val="none"/>
        </w:rPr>
        <w:t>除上述规定外，信用记录的其他有关规定（包括但不限于：信用信息的查询渠道及截止时点、查询记录和证据留存的具体方式、使用规则等内容）详见谈判文件第一章。</w:t>
      </w: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pStyle w:val="2"/>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br w:type="textWrapping"/>
      </w:r>
      <w:r>
        <w:rPr>
          <w:rFonts w:ascii="宋体" w:hAnsi="宋体" w:eastAsia="宋体" w:cs="宋体"/>
          <w:color w:val="auto"/>
          <w:kern w:val="0"/>
          <w:sz w:val="24"/>
          <w:szCs w:val="24"/>
          <w:highlight w:val="none"/>
        </w:rPr>
        <w:t>附件3-</w:t>
      </w:r>
      <w:r>
        <w:rPr>
          <w:rFonts w:hint="eastAsia" w:ascii="宋体" w:hAnsi="宋体" w:eastAsia="宋体" w:cs="宋体"/>
          <w:color w:val="auto"/>
          <w:kern w:val="0"/>
          <w:sz w:val="24"/>
          <w:szCs w:val="24"/>
          <w:highlight w:val="none"/>
          <w:lang w:val="en-US" w:eastAsia="zh-CN"/>
        </w:rPr>
        <w:t>12</w:t>
      </w:r>
      <w:r>
        <w:rPr>
          <w:rFonts w:ascii="宋体" w:hAnsi="宋体" w:eastAsia="宋体" w:cs="宋体"/>
          <w:color w:val="auto"/>
          <w:kern w:val="0"/>
          <w:sz w:val="24"/>
          <w:szCs w:val="24"/>
          <w:highlight w:val="none"/>
        </w:rPr>
        <w:t>  </w:t>
      </w:r>
      <w:r>
        <w:rPr>
          <w:rFonts w:ascii="宋体" w:hAnsi="宋体" w:eastAsia="宋体" w:cs="宋体"/>
          <w:b/>
          <w:bCs/>
          <w:color w:val="auto"/>
          <w:kern w:val="0"/>
          <w:sz w:val="24"/>
          <w:szCs w:val="24"/>
          <w:highlight w:val="none"/>
        </w:rPr>
        <w:t>检察机关行贿犯罪档案查询结果告知函（如果需要）</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1.检察机关行贿犯罪档案查询结果告知函（以下简称：“告知函”）由供应商向住所地或业务发生地检察院申请查询，具体以检察院出具的为准。</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采购人在谈判文件中约定是否需要提供“告知函”，如果需要提供“告知函”，则在谈判文件“供应商的资格”中特定资格条件中进行约定。如果特定资格条件中未明确约定，视同为本项目不需要提供“告知函”。</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谈判文件有要求提交“告知函”时注意：</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1、供应商未提供行贿犯罪档案查询结果或查询结果有行贿犯罪记录的，</w:t>
      </w:r>
      <w:r>
        <w:rPr>
          <w:rFonts w:ascii="宋体" w:hAnsi="宋体" w:eastAsia="宋体" w:cs="宋体"/>
          <w:b/>
          <w:bCs/>
          <w:color w:val="auto"/>
          <w:kern w:val="0"/>
          <w:sz w:val="24"/>
          <w:szCs w:val="24"/>
          <w:highlight w:val="none"/>
        </w:rPr>
        <w:t>则供应商的响应文件将被否决</w:t>
      </w:r>
      <w:r>
        <w:rPr>
          <w:rFonts w:ascii="宋体" w:hAnsi="宋体" w:eastAsia="宋体" w:cs="宋体"/>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2、告知函应在有效期内，</w:t>
      </w:r>
      <w:r>
        <w:rPr>
          <w:rFonts w:ascii="宋体" w:hAnsi="宋体" w:eastAsia="宋体" w:cs="宋体"/>
          <w:b/>
          <w:bCs/>
          <w:color w:val="auto"/>
          <w:kern w:val="0"/>
          <w:sz w:val="24"/>
          <w:szCs w:val="24"/>
          <w:highlight w:val="none"/>
        </w:rPr>
        <w:t>否则其响应文件将被否决</w:t>
      </w:r>
      <w:r>
        <w:rPr>
          <w:rFonts w:ascii="宋体" w:hAnsi="宋体" w:eastAsia="宋体" w:cs="宋体"/>
          <w:color w:val="auto"/>
          <w:kern w:val="0"/>
          <w:sz w:val="24"/>
          <w:szCs w:val="24"/>
          <w:highlight w:val="none"/>
        </w:rPr>
        <w:t>。有效期内的告知函复印件，无论内容中是否注明“复印件无效”，均视同有效。</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3、若从检察机关指定网站下载打印或截图告知函，则告知函应为从前述指定网站获取的查询结果原始页面的打印件或完整截图，</w:t>
      </w:r>
      <w:r>
        <w:rPr>
          <w:rFonts w:ascii="宋体" w:hAnsi="宋体" w:eastAsia="宋体" w:cs="宋体"/>
          <w:b/>
          <w:bCs/>
          <w:color w:val="auto"/>
          <w:kern w:val="0"/>
          <w:sz w:val="24"/>
          <w:szCs w:val="24"/>
          <w:highlight w:val="none"/>
        </w:rPr>
        <w:t>否则其响应文件将被否决</w:t>
      </w:r>
      <w:r>
        <w:rPr>
          <w:rFonts w:ascii="宋体" w:hAnsi="宋体" w:eastAsia="宋体" w:cs="宋体"/>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4、若告知函未注明“复印件无效”，供应商可提供原件或复印件。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5、对于接受联合体形式的谈判且供应商是联合体的，则联合体各成员都应当提交本资格证明文件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6、无法获取有效期内检察机关行贿犯罪档案查询结果告知函的，应在《参加采购活动前三年内在经营活动中没有重大违法记录书面声明》中对近三年无行贿犯罪记录进行声明。</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附件3-1</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      </w:t>
      </w:r>
      <w:r>
        <w:rPr>
          <w:rFonts w:ascii="宋体" w:hAnsi="宋体" w:eastAsia="宋体" w:cs="宋体"/>
          <w:b/>
          <w:bCs/>
          <w:color w:val="auto"/>
          <w:kern w:val="0"/>
          <w:sz w:val="24"/>
          <w:szCs w:val="24"/>
          <w:highlight w:val="none"/>
        </w:rPr>
        <w:t>  联合体协议（接受联合体的项目使用）</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致：(采购人或采购代理机构</w:t>
      </w:r>
      <w:r>
        <w:rPr>
          <w:rFonts w:ascii="Calibri" w:hAnsi="Calibri" w:eastAsia="宋体" w:cs="宋体"/>
          <w:color w:val="auto"/>
          <w:kern w:val="0"/>
          <w:sz w:val="24"/>
          <w:szCs w:val="24"/>
          <w:highlight w:val="none"/>
        </w:rPr>
        <w:t>)    </w:t>
      </w: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兹有（填写“联合体中各方的全称”，各方的全称之间请用“、”分割）自愿组成联合体，共同参加（填写 “项目名称” ） 项目（项目编号：       ）的响应谈判。现就联合体参加本项目响应谈判的有关事宜达成下列协议：</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一、联合体各方应承担的工作和义务具体如下：</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1、联合体牵头方单位名称：                                  </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（填写“工作及义务的具体内容”）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righ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2、联合体成员方单位名称：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2.1（成员一的全称）： （填写“工作及义务的具体内容”）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三、联合体各方约定由（填写填写“牵头方的全称”）代表联合体办理谈判保证金事宜。</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四、若成交，牵头方将代表联合体与采购人就合同签订事宜进行协商；若协商一致，则联合体各方将共同与采购人签订政府采购合同，并就政府采购合同约定的事项对采购人承担连带责任。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五、本协议自签署之日起生效，政府采购合同履行完毕后自动失效。</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六、本协议一式（填写具体份数）份，联合体各方各执一份，响应文件中提交一份。</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（以下无正文）</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牵头方：（全称并加盖单位公章）</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（签字或盖章）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成员一：（全称并加盖成员一的单位公章）</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（签字或盖章）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成员**：（全称并加盖成员**的单位公章）</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（签字或盖章）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签署日期：    年    月    日</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注意：</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1、若谈判文件规定接受联合体形式且供应商为联合体的，则供应商应提供本协议；否则无须提供。</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2、本协议中的供应商代表如果不是竞争性谈判须知中定义的“单位负责人”，则还必须提供“单位负责人授权书”。</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3、若谈判文件规定接受联合体形式且供应商为联合体的，纸质响应文件正本中的本协议应为原件。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附件3-1</w:t>
      </w:r>
      <w:r>
        <w:rPr>
          <w:rFonts w:hint="eastAsia" w:ascii="宋体" w:hAnsi="宋体" w:eastAsia="宋体" w:cs="宋体"/>
          <w:color w:val="auto"/>
          <w:kern w:val="0"/>
          <w:sz w:val="24"/>
          <w:szCs w:val="24"/>
          <w:highlight w:val="none"/>
          <w:lang w:val="en-US" w:eastAsia="zh-CN"/>
        </w:rPr>
        <w:t>4</w:t>
      </w:r>
      <w:r>
        <w:rPr>
          <w:rFonts w:ascii="宋体" w:hAnsi="宋体" w:eastAsia="宋体" w:cs="宋体"/>
          <w:color w:val="auto"/>
          <w:kern w:val="0"/>
          <w:sz w:val="24"/>
          <w:szCs w:val="24"/>
          <w:highlight w:val="none"/>
        </w:rPr>
        <w:t>          </w:t>
      </w:r>
      <w:r>
        <w:rPr>
          <w:rFonts w:ascii="宋体" w:hAnsi="宋体" w:eastAsia="宋体" w:cs="宋体"/>
          <w:b/>
          <w:bCs/>
          <w:color w:val="auto"/>
          <w:kern w:val="0"/>
          <w:sz w:val="24"/>
          <w:szCs w:val="24"/>
          <w:highlight w:val="none"/>
        </w:rPr>
        <w:t>其它资格证明文件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（如果有的话）</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2、若谈判文件规定接受联合体形式且供应商为联合体的，涉及联合体成员的其它资格证明文件在此处提供相关证明材料，并加盖供应商单位公章。</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附件4        </w:t>
      </w:r>
      <w:r>
        <w:rPr>
          <w:rFonts w:ascii="宋体" w:hAnsi="宋体" w:eastAsia="宋体" w:cs="宋体"/>
          <w:b/>
          <w:bCs/>
          <w:color w:val="auto"/>
          <w:kern w:val="0"/>
          <w:sz w:val="24"/>
          <w:szCs w:val="24"/>
          <w:highlight w:val="none"/>
        </w:rPr>
        <w:t>谈判保证金凭证</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336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编制说明</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1、在此项下提交的</w:t>
      </w:r>
      <w:r>
        <w:rPr>
          <w:rFonts w:ascii="宋体" w:hAnsi="宋体" w:eastAsia="宋体" w:cs="宋体"/>
          <w:b/>
          <w:bCs/>
          <w:color w:val="auto"/>
          <w:kern w:val="0"/>
          <w:sz w:val="24"/>
          <w:szCs w:val="24"/>
          <w:highlight w:val="none"/>
        </w:rPr>
        <w:t>“谈判保证金”</w:t>
      </w:r>
      <w:r>
        <w:rPr>
          <w:rFonts w:ascii="宋体" w:hAnsi="宋体" w:eastAsia="宋体" w:cs="宋体"/>
          <w:color w:val="auto"/>
          <w:kern w:val="0"/>
          <w:sz w:val="24"/>
          <w:szCs w:val="24"/>
          <w:highlight w:val="none"/>
        </w:rPr>
        <w:t>材料可使用转账凭证复印件或从福建省政府采购网上公开信息系统中下载的有关原始页面的打印件。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2、谈判保证金是否已提交按照谈判文件规定执行。</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pStyle w:val="16"/>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附件5-1  </w:t>
      </w:r>
      <w:r>
        <w:rPr>
          <w:rFonts w:ascii="宋体" w:hAnsi="宋体" w:eastAsia="宋体" w:cs="宋体"/>
          <w:b/>
          <w:bCs/>
          <w:color w:val="auto"/>
          <w:kern w:val="0"/>
          <w:sz w:val="24"/>
          <w:szCs w:val="24"/>
          <w:highlight w:val="none"/>
        </w:rPr>
        <w:t>    技术和服务要求响应表</w:t>
      </w: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（全称加盖单位公章）  项目编号</w:t>
      </w:r>
      <w:r>
        <w:rPr>
          <w:rFonts w:hint="eastAsia" w:ascii="宋体" w:hAnsi="宋体" w:eastAsia="宋体" w:cs="宋体"/>
          <w:color w:val="auto"/>
          <w:kern w:val="0"/>
          <w:sz w:val="24"/>
          <w:szCs w:val="24"/>
          <w:highlight w:val="none"/>
        </w:rPr>
        <w:t>∶</w:t>
      </w:r>
      <w:r>
        <w:rPr>
          <w:rFonts w:ascii="Times New Roman" w:hAnsi="Times New Roman" w:eastAsia="宋体" w:cs="Times New Roman"/>
          <w:color w:val="auto"/>
          <w:kern w:val="0"/>
          <w:sz w:val="24"/>
          <w:szCs w:val="24"/>
          <w:highlight w:val="none"/>
        </w:rPr>
        <w:t>       </w:t>
      </w:r>
    </w:p>
    <w:tbl>
      <w:tblPr>
        <w:tblStyle w:val="19"/>
        <w:tblW w:w="4998" w:type="pct"/>
        <w:tblCellSpacing w:w="15" w:type="dxa"/>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autofit"/>
        <w:tblCellMar>
          <w:top w:w="15" w:type="dxa"/>
          <w:left w:w="15" w:type="dxa"/>
          <w:bottom w:w="15" w:type="dxa"/>
          <w:right w:w="15" w:type="dxa"/>
        </w:tblCellMar>
      </w:tblPr>
      <w:tblGrid>
        <w:gridCol w:w="903"/>
        <w:gridCol w:w="1748"/>
        <w:gridCol w:w="2902"/>
        <w:gridCol w:w="2524"/>
        <w:gridCol w:w="1515"/>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rHeight w:val="945" w:hRule="atLeast"/>
          <w:tblCellSpacing w:w="15" w:type="dxa"/>
        </w:trPr>
        <w:tc>
          <w:tcPr>
            <w:tcW w:w="447"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合同包</w:t>
            </w:r>
          </w:p>
        </w:tc>
        <w:tc>
          <w:tcPr>
            <w:tcW w:w="895"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章节条目号</w:t>
            </w:r>
          </w:p>
        </w:tc>
        <w:tc>
          <w:tcPr>
            <w:tcW w:w="1496"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竞争性谈判文件规定的技术和服务要求</w:t>
            </w:r>
          </w:p>
        </w:tc>
        <w:tc>
          <w:tcPr>
            <w:tcW w:w="1299"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响应文件响应承诺</w:t>
            </w:r>
          </w:p>
        </w:tc>
        <w:tc>
          <w:tcPr>
            <w:tcW w:w="766"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是否偏离及说明</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rHeight w:val="540" w:hRule="atLeast"/>
          <w:tblCellSpacing w:w="15" w:type="dxa"/>
        </w:trPr>
        <w:tc>
          <w:tcPr>
            <w:tcW w:w="447"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895"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496"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299"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766"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rHeight w:val="540" w:hRule="atLeast"/>
          <w:tblCellSpacing w:w="15" w:type="dxa"/>
        </w:trPr>
        <w:tc>
          <w:tcPr>
            <w:tcW w:w="447"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895"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496"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299"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766"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rHeight w:val="540" w:hRule="atLeast"/>
          <w:tblCellSpacing w:w="15" w:type="dxa"/>
        </w:trPr>
        <w:tc>
          <w:tcPr>
            <w:tcW w:w="447"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895"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496"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299"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766"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rHeight w:val="540" w:hRule="atLeast"/>
          <w:tblCellSpacing w:w="15" w:type="dxa"/>
        </w:trPr>
        <w:tc>
          <w:tcPr>
            <w:tcW w:w="447"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895"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496"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299"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766"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rHeight w:val="540" w:hRule="atLeast"/>
          <w:tblCellSpacing w:w="15" w:type="dxa"/>
        </w:trPr>
        <w:tc>
          <w:tcPr>
            <w:tcW w:w="447"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895"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496"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299"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766"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rHeight w:val="540" w:hRule="atLeast"/>
          <w:tblCellSpacing w:w="15" w:type="dxa"/>
        </w:trPr>
        <w:tc>
          <w:tcPr>
            <w:tcW w:w="447"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895"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496"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299"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766"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rHeight w:val="540" w:hRule="atLeast"/>
          <w:tblCellSpacing w:w="15" w:type="dxa"/>
        </w:trPr>
        <w:tc>
          <w:tcPr>
            <w:tcW w:w="447"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895"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496"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299"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766"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rHeight w:val="540" w:hRule="atLeast"/>
          <w:tblCellSpacing w:w="15" w:type="dxa"/>
        </w:trPr>
        <w:tc>
          <w:tcPr>
            <w:tcW w:w="447"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895"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496"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299"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766"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rHeight w:val="540" w:hRule="atLeast"/>
          <w:tblCellSpacing w:w="15" w:type="dxa"/>
        </w:trPr>
        <w:tc>
          <w:tcPr>
            <w:tcW w:w="447"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895"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496"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299"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766" w:type="pc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bl>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供应商代表签字： _________________</w:t>
      </w:r>
    </w:p>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附件5-2      </w:t>
      </w:r>
      <w:r>
        <w:rPr>
          <w:rFonts w:hint="eastAsia" w:ascii="宋体" w:hAnsi="宋体" w:eastAsia="宋体" w:cs="宋体"/>
          <w:color w:val="auto"/>
          <w:kern w:val="0"/>
          <w:sz w:val="24"/>
          <w:szCs w:val="24"/>
          <w:highlight w:val="none"/>
          <w:lang w:val="en-US" w:eastAsia="zh-CN"/>
        </w:rPr>
        <w:t xml:space="preserve"> </w:t>
      </w:r>
      <w:r>
        <w:rPr>
          <w:rFonts w:ascii="宋体" w:hAnsi="宋体" w:eastAsia="宋体" w:cs="宋体"/>
          <w:b/>
          <w:bCs/>
          <w:color w:val="auto"/>
          <w:kern w:val="0"/>
          <w:sz w:val="24"/>
          <w:szCs w:val="24"/>
          <w:highlight w:val="none"/>
        </w:rPr>
        <w:t> 商务条件和其它事项响应表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（全称加盖单位公章）  项目编号</w:t>
      </w:r>
      <w:r>
        <w:rPr>
          <w:rFonts w:hint="eastAsia" w:ascii="宋体" w:hAnsi="宋体" w:eastAsia="宋体" w:cs="宋体"/>
          <w:color w:val="auto"/>
          <w:kern w:val="0"/>
          <w:sz w:val="24"/>
          <w:szCs w:val="24"/>
          <w:highlight w:val="none"/>
        </w:rPr>
        <w:t>∶</w:t>
      </w:r>
      <w:r>
        <w:rPr>
          <w:rFonts w:ascii="Times New Roman" w:hAnsi="Times New Roman" w:eastAsia="宋体" w:cs="Times New Roman"/>
          <w:color w:val="auto"/>
          <w:kern w:val="0"/>
          <w:sz w:val="24"/>
          <w:szCs w:val="24"/>
          <w:highlight w:val="none"/>
        </w:rPr>
        <w:t>       </w:t>
      </w:r>
    </w:p>
    <w:tbl>
      <w:tblPr>
        <w:tblStyle w:val="19"/>
        <w:tblW w:w="4996" w:type="pct"/>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10"/>
        <w:gridCol w:w="1760"/>
        <w:gridCol w:w="2925"/>
        <w:gridCol w:w="2560"/>
        <w:gridCol w:w="145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45" w:hRule="atLeast"/>
          <w:tblCellSpacing w:w="15" w:type="dxa"/>
        </w:trPr>
        <w:tc>
          <w:tcPr>
            <w:tcW w:w="450" w:type="pct"/>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合同包</w:t>
            </w:r>
          </w:p>
        </w:tc>
        <w:tc>
          <w:tcPr>
            <w:tcW w:w="900" w:type="pct"/>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章节条目号</w:t>
            </w:r>
          </w:p>
        </w:tc>
        <w:tc>
          <w:tcPr>
            <w:tcW w:w="1506" w:type="pct"/>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竞争性谈判文件规定的商务条件要求</w:t>
            </w:r>
          </w:p>
        </w:tc>
        <w:tc>
          <w:tcPr>
            <w:tcW w:w="1316" w:type="pct"/>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响应文件响应承诺</w:t>
            </w:r>
          </w:p>
        </w:tc>
        <w:tc>
          <w:tcPr>
            <w:tcW w:w="732" w:type="pct"/>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450" w:type="pct"/>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900"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506"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316"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732"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450" w:type="pct"/>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900"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506"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316"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732"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450" w:type="pct"/>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900"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506"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316"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732"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450" w:type="pct"/>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900"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506"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316"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732"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450" w:type="pct"/>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900"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506"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316"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732"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450" w:type="pct"/>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900"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506"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316"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732"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450" w:type="pct"/>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900"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506"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316"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732"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450" w:type="pct"/>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900"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506"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316"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732"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450" w:type="pct"/>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900"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506"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316"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732"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450" w:type="pct"/>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900"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506"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316"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732"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450" w:type="pct"/>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900"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506"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316"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732" w:type="pct"/>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bl>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供应商代表签字： _________________</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附件6    </w:t>
      </w:r>
      <w:r>
        <w:rPr>
          <w:rFonts w:ascii="宋体" w:hAnsi="宋体" w:eastAsia="宋体" w:cs="宋体"/>
          <w:b/>
          <w:bCs/>
          <w:color w:val="auto"/>
          <w:kern w:val="0"/>
          <w:sz w:val="24"/>
          <w:szCs w:val="24"/>
          <w:highlight w:val="none"/>
        </w:rPr>
        <w:t>  相关技术、商务、服务响应承诺及资料</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说明：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2.如果没有特别要求的，供应商根据谈判文件的要求以及特点，提供相关技术、商务、服务响应承诺及资料，格式自拟。</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pStyle w:val="16"/>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r>
        <w:rPr>
          <w:rFonts w:ascii="宋体" w:hAnsi="宋体" w:eastAsia="宋体" w:cs="宋体"/>
          <w:color w:val="auto"/>
          <w:kern w:val="0"/>
          <w:sz w:val="24"/>
          <w:szCs w:val="24"/>
          <w:highlight w:val="none"/>
        </w:rPr>
        <w:t>附件7     </w:t>
      </w:r>
      <w:r>
        <w:rPr>
          <w:rFonts w:ascii="宋体" w:hAnsi="宋体" w:eastAsia="宋体" w:cs="宋体"/>
          <w:b/>
          <w:bCs/>
          <w:color w:val="auto"/>
          <w:kern w:val="0"/>
          <w:sz w:val="24"/>
          <w:szCs w:val="24"/>
          <w:highlight w:val="none"/>
        </w:rPr>
        <w:t>供应商提交符合政府采购政策的证明材料</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附件7-1-1        </w:t>
      </w:r>
      <w:r>
        <w:rPr>
          <w:rFonts w:ascii="宋体" w:hAnsi="宋体" w:eastAsia="宋体" w:cs="宋体"/>
          <w:b/>
          <w:bCs/>
          <w:color w:val="auto"/>
          <w:kern w:val="0"/>
          <w:sz w:val="24"/>
          <w:szCs w:val="24"/>
          <w:highlight w:val="none"/>
        </w:rPr>
        <w:t>中小企业声明函（如果有的话）</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28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中小企业声明函（货物）</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1.  （标的名称） ，属于（采购文件中明确的所属行业）行业；制造商为（企业名称），从业人员  人，营业收入为  万元，资产总额为  万元</w:t>
      </w:r>
      <w:r>
        <w:rPr>
          <w:rFonts w:ascii="宋体" w:hAnsi="宋体" w:eastAsia="宋体" w:cs="宋体"/>
          <w:color w:val="auto"/>
          <w:kern w:val="0"/>
          <w:sz w:val="24"/>
          <w:szCs w:val="24"/>
          <w:highlight w:val="none"/>
          <w:vertAlign w:val="superscript"/>
        </w:rPr>
        <w:t>1</w:t>
      </w:r>
      <w:r>
        <w:rPr>
          <w:rFonts w:ascii="宋体" w:hAnsi="宋体" w:eastAsia="宋体" w:cs="宋体"/>
          <w:color w:val="auto"/>
          <w:kern w:val="0"/>
          <w:sz w:val="24"/>
          <w:szCs w:val="24"/>
          <w:highlight w:val="none"/>
        </w:rPr>
        <w:t>，属于（中型企业、小型企业、微型企业）；</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2.  （标的名称） ， 属 于 （采购文件中明确的所属行业 ）行业；制造商为（企业名称），从业人员  人，营业收入为  万元，资产总额为  万元，属于（中型企业、小型企业、微型企业）；</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以上企业，不属于大企业的分支机构，不存在控股股东为大企业的情形，也不存在与大企业的负责人为同一人的情形。</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本企业对上述声明内容的真实性负责。如有虚假，将依法承担相应责任。</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企业名称（盖章）：        </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日期：</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1从业人员、营业收入、资产总额填报上一年度数据，无上一年度数据的新成立企业可不填报。</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br w:type="textWrapping"/>
      </w:r>
    </w:p>
    <w:p>
      <w:pP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28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中小企业声明函（工程、服务）</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本公司（联合体）郑重声明，根据《政府采购促进中小企业发展管理办法》（财库﹝2020﹞46 号）的规定，本公司（联合体）参加</w:t>
      </w:r>
      <w:r>
        <w:rPr>
          <w:rFonts w:ascii="宋体" w:hAnsi="宋体" w:eastAsia="宋体" w:cs="宋体"/>
          <w:color w:val="auto"/>
          <w:kern w:val="0"/>
          <w:sz w:val="24"/>
          <w:szCs w:val="24"/>
          <w:highlight w:val="none"/>
          <w:u w:val="single"/>
        </w:rPr>
        <w:t>（单位名称）</w:t>
      </w:r>
      <w:r>
        <w:rPr>
          <w:rFonts w:ascii="宋体" w:hAnsi="宋体" w:eastAsia="宋体" w:cs="宋体"/>
          <w:color w:val="auto"/>
          <w:kern w:val="0"/>
          <w:sz w:val="24"/>
          <w:szCs w:val="24"/>
          <w:highlight w:val="none"/>
        </w:rPr>
        <w:t>的</w:t>
      </w:r>
      <w:r>
        <w:rPr>
          <w:rFonts w:ascii="宋体" w:hAnsi="宋体" w:eastAsia="宋体" w:cs="宋体"/>
          <w:color w:val="auto"/>
          <w:kern w:val="0"/>
          <w:sz w:val="24"/>
          <w:szCs w:val="24"/>
          <w:highlight w:val="none"/>
          <w:u w:val="single"/>
        </w:rPr>
        <w:t>（项目名称）</w:t>
      </w:r>
      <w:r>
        <w:rPr>
          <w:rFonts w:ascii="宋体" w:hAnsi="宋体" w:eastAsia="宋体" w:cs="宋体"/>
          <w:color w:val="auto"/>
          <w:ker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1. （标的名称），属于（采购文件中明确的所属行业）；承建（承接）企业为（企业名称），从业人员  </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人，营业收入为  万元，资产总额为  万元</w:t>
      </w:r>
      <w:r>
        <w:rPr>
          <w:rFonts w:ascii="宋体" w:hAnsi="宋体" w:eastAsia="宋体" w:cs="宋体"/>
          <w:color w:val="auto"/>
          <w:kern w:val="0"/>
          <w:sz w:val="24"/>
          <w:szCs w:val="24"/>
          <w:highlight w:val="none"/>
          <w:vertAlign w:val="superscript"/>
        </w:rPr>
        <w:t>1</w:t>
      </w:r>
      <w:r>
        <w:rPr>
          <w:rFonts w:ascii="宋体" w:hAnsi="宋体" w:eastAsia="宋体" w:cs="宋体"/>
          <w:color w:val="auto"/>
          <w:kern w:val="0"/>
          <w:sz w:val="24"/>
          <w:szCs w:val="24"/>
          <w:highlight w:val="none"/>
        </w:rPr>
        <w:t>，属于（中型企业、小型企业、微型企业）；</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 （标的名称），属于（采购文件中明确的所属行业）；承建（承接）企业为（企业名称），从业人员  人，营业收入为  万元，资产总额为  万元，属于（中型企业、小型企业、微型企业）；</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以上企业，不属于大企业的分支机构，不存在控股股东为大企业的情形，也不存在与大企业的负责人为同一人的情形。</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本企业对上述声明内容的真实性负责。如有虚假，将依法承担相应责任。</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企业名称（盖章）：          </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日期：</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1从业人员、营业收入、资产总额填报上一年度数据，无上一年度数据的新成立企业可不填报。</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textAlignment w:val="auto"/>
        <w:rPr>
          <w:rFonts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附件7-1-2</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残疾人福利性单位声明函（如果有的话）</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宋体" w:hAnsi="宋体" w:eastAsia="宋体" w:cs="宋体"/>
          <w:color w:val="auto"/>
          <w:kern w:val="0"/>
          <w:sz w:val="24"/>
          <w:szCs w:val="24"/>
          <w:highlight w:val="none"/>
          <w:u w:val="single"/>
        </w:rPr>
        <w:t>（填写“项目名称”）</w:t>
      </w:r>
      <w:r>
        <w:rPr>
          <w:rFonts w:ascii="宋体" w:hAnsi="宋体" w:eastAsia="宋体" w:cs="宋体"/>
          <w:color w:val="auto"/>
          <w:kern w:val="0"/>
          <w:sz w:val="24"/>
          <w:szCs w:val="24"/>
          <w:highlight w:val="none"/>
        </w:rPr>
        <w:t>项目采购活动：</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）提供本供应商制造的</w:t>
      </w:r>
      <w:r>
        <w:rPr>
          <w:rFonts w:ascii="宋体" w:hAnsi="宋体" w:eastAsia="宋体" w:cs="宋体"/>
          <w:color w:val="auto"/>
          <w:kern w:val="0"/>
          <w:sz w:val="24"/>
          <w:szCs w:val="24"/>
          <w:highlight w:val="none"/>
          <w:u w:val="single"/>
        </w:rPr>
        <w:t>（填写“所投合同包、品目号”）</w:t>
      </w:r>
      <w:r>
        <w:rPr>
          <w:rFonts w:ascii="宋体" w:hAnsi="宋体" w:eastAsia="宋体" w:cs="宋体"/>
          <w:color w:val="auto"/>
          <w:kern w:val="0"/>
          <w:sz w:val="24"/>
          <w:szCs w:val="24"/>
          <w:highlight w:val="none"/>
        </w:rPr>
        <w:t>货物，或提供其他残疾人福利性单位制造的</w:t>
      </w:r>
      <w:r>
        <w:rPr>
          <w:rFonts w:ascii="宋体" w:hAnsi="宋体" w:eastAsia="宋体" w:cs="宋体"/>
          <w:color w:val="auto"/>
          <w:kern w:val="0"/>
          <w:sz w:val="24"/>
          <w:szCs w:val="24"/>
          <w:highlight w:val="none"/>
          <w:u w:val="single"/>
        </w:rPr>
        <w:t>（填写“所投合同包、品目号”）</w:t>
      </w:r>
      <w:r>
        <w:rPr>
          <w:rFonts w:ascii="宋体" w:hAnsi="宋体" w:eastAsia="宋体" w:cs="宋体"/>
          <w:color w:val="auto"/>
          <w:kern w:val="0"/>
          <w:sz w:val="24"/>
          <w:szCs w:val="24"/>
          <w:highlight w:val="none"/>
        </w:rPr>
        <w:t>货物（不包括使用非残疾人福利性单位注册商标的货物）。（说明：只有部分货物由残疾人福利企业制造的，在该货物后标★）</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）由本供应商承建的</w:t>
      </w:r>
      <w:r>
        <w:rPr>
          <w:rFonts w:ascii="宋体" w:hAnsi="宋体" w:eastAsia="宋体" w:cs="宋体"/>
          <w:color w:val="auto"/>
          <w:kern w:val="0"/>
          <w:sz w:val="24"/>
          <w:szCs w:val="24"/>
          <w:highlight w:val="none"/>
          <w:u w:val="single"/>
        </w:rPr>
        <w:t>（填写“所投合同包、品目号”）</w:t>
      </w:r>
      <w:r>
        <w:rPr>
          <w:rFonts w:ascii="宋体" w:hAnsi="宋体" w:eastAsia="宋体" w:cs="宋体"/>
          <w:color w:val="auto"/>
          <w:kern w:val="0"/>
          <w:sz w:val="24"/>
          <w:szCs w:val="24"/>
          <w:highlight w:val="none"/>
        </w:rPr>
        <w:t>工程</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）由本供应商承接的</w:t>
      </w:r>
      <w:r>
        <w:rPr>
          <w:rFonts w:ascii="宋体" w:hAnsi="宋体" w:eastAsia="宋体" w:cs="宋体"/>
          <w:color w:val="auto"/>
          <w:kern w:val="0"/>
          <w:sz w:val="24"/>
          <w:szCs w:val="24"/>
          <w:highlight w:val="none"/>
          <w:u w:val="single"/>
        </w:rPr>
        <w:t>（填写“所投合同包、品目号”）</w:t>
      </w:r>
      <w:r>
        <w:rPr>
          <w:rFonts w:ascii="宋体" w:hAnsi="宋体" w:eastAsia="宋体" w:cs="宋体"/>
          <w:color w:val="auto"/>
          <w:kern w:val="0"/>
          <w:sz w:val="24"/>
          <w:szCs w:val="24"/>
          <w:highlight w:val="none"/>
        </w:rPr>
        <w:t>服务；</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本供应商对上述声明的真实性负责。如有虚假，将依法承担相应责任。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2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w:t>
      </w:r>
      <w:r>
        <w:rPr>
          <w:rFonts w:ascii="宋体" w:hAnsi="宋体" w:eastAsia="宋体" w:cs="宋体"/>
          <w:color w:val="auto"/>
          <w:kern w:val="0"/>
          <w:sz w:val="24"/>
          <w:szCs w:val="24"/>
          <w:highlight w:val="none"/>
          <w:u w:val="single"/>
        </w:rPr>
        <w:t>             （签字）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w:t>
      </w:r>
      <w:r>
        <w:rPr>
          <w:rFonts w:ascii="宋体" w:hAnsi="宋体" w:eastAsia="宋体" w:cs="宋体"/>
          <w:color w:val="auto"/>
          <w:kern w:val="0"/>
          <w:sz w:val="24"/>
          <w:szCs w:val="24"/>
          <w:highlight w:val="none"/>
          <w:u w:val="single"/>
        </w:rPr>
        <w:t>    （全称并加盖公章）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年 </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月 </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日</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备注：（1）若供应商不符合残疾人福利性单位，不用提供本声明函，否则视为提供虚假材料。供应商在提交最后报价前，如果已向</w:t>
      </w:r>
      <w:r>
        <w:rPr>
          <w:rFonts w:hint="eastAsia" w:ascii="宋体" w:hAnsi="宋体" w:eastAsia="宋体" w:cs="宋体"/>
          <w:color w:val="auto"/>
          <w:kern w:val="0"/>
          <w:sz w:val="24"/>
          <w:szCs w:val="24"/>
          <w:highlight w:val="none"/>
          <w:lang w:eastAsia="zh-CN"/>
        </w:rPr>
        <w:t>谈判</w:t>
      </w:r>
      <w:r>
        <w:rPr>
          <w:rFonts w:ascii="宋体" w:hAnsi="宋体" w:eastAsia="宋体" w:cs="宋体"/>
          <w:color w:val="auto"/>
          <w:kern w:val="0"/>
          <w:sz w:val="24"/>
          <w:szCs w:val="24"/>
          <w:highlight w:val="none"/>
        </w:rPr>
        <w:t>小组提交上述声明函，视同为供应商符合残疾人福利性单位，享受价格扣除的优惠政策。</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（2）请供应商按照实际情况编制填写本声明函，并在相应的（）中打“√”。</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（3）纸质响应文件正本中的本声明函（若有）应为原件。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（4）若《残疾人福利性单位声明函》内容不真实，视为提供虚假材料。</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p>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附件7-2</w:t>
      </w:r>
      <w:r>
        <w:rPr>
          <w:rFonts w:ascii="宋体" w:hAnsi="宋体" w:eastAsia="宋体" w:cs="宋体"/>
          <w:b/>
          <w:bCs/>
          <w:color w:val="auto"/>
          <w:kern w:val="0"/>
          <w:sz w:val="24"/>
          <w:szCs w:val="24"/>
          <w:highlight w:val="none"/>
        </w:rPr>
        <w:t>优先类节能产品、环境标志产品价格扣除证明材料（如果有的话）</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tbl>
      <w:tblPr>
        <w:tblStyle w:val="19"/>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222"/>
        <w:gridCol w:w="1212"/>
        <w:gridCol w:w="1207"/>
        <w:gridCol w:w="1218"/>
        <w:gridCol w:w="1207"/>
        <w:gridCol w:w="1218"/>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7"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7253" w:type="dxa"/>
            <w:gridSpan w:val="6"/>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7"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合同包</w:t>
            </w:r>
          </w:p>
        </w:tc>
        <w:tc>
          <w:tcPr>
            <w:tcW w:w="1182" w:type="dxa"/>
            <w:tcBorders>
              <w:top w:val="nil"/>
              <w:left w:val="nil"/>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品目号</w:t>
            </w:r>
          </w:p>
        </w:tc>
        <w:tc>
          <w:tcPr>
            <w:tcW w:w="1177"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产品名称</w:t>
            </w:r>
          </w:p>
        </w:tc>
        <w:tc>
          <w:tcPr>
            <w:tcW w:w="118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最后报价单价</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（现场）</w:t>
            </w:r>
          </w:p>
        </w:tc>
        <w:tc>
          <w:tcPr>
            <w:tcW w:w="1177"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数量</w:t>
            </w:r>
          </w:p>
        </w:tc>
        <w:tc>
          <w:tcPr>
            <w:tcW w:w="118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最后报价总价</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（现场）</w:t>
            </w:r>
          </w:p>
        </w:tc>
        <w:tc>
          <w:tcPr>
            <w:tcW w:w="119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认证种类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7"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w:t>
            </w:r>
          </w:p>
        </w:tc>
        <w:tc>
          <w:tcPr>
            <w:tcW w:w="1182" w:type="dxa"/>
            <w:tcBorders>
              <w:top w:val="nil"/>
              <w:left w:val="nil"/>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w:t>
            </w:r>
          </w:p>
        </w:tc>
        <w:tc>
          <w:tcPr>
            <w:tcW w:w="1177" w:type="dxa"/>
            <w:tcBorders>
              <w:top w:val="nil"/>
              <w:left w:val="nil"/>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188" w:type="dxa"/>
            <w:tcBorders>
              <w:top w:val="nil"/>
              <w:left w:val="nil"/>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177" w:type="dxa"/>
            <w:tcBorders>
              <w:top w:val="nil"/>
              <w:left w:val="nil"/>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188" w:type="dxa"/>
            <w:tcBorders>
              <w:top w:val="nil"/>
              <w:left w:val="nil"/>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191" w:type="dxa"/>
            <w:tcBorders>
              <w:top w:val="nil"/>
              <w:left w:val="nil"/>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7" w:type="dxa"/>
            <w:vMerge w:val="continue"/>
            <w:tcBorders>
              <w:top w:val="nil"/>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182" w:type="dxa"/>
            <w:tcBorders>
              <w:top w:val="nil"/>
              <w:left w:val="nil"/>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Calibri" w:hAnsi="Calibri" w:eastAsia="宋体" w:cs="宋体"/>
                <w:color w:val="auto"/>
                <w:kern w:val="0"/>
                <w:sz w:val="24"/>
                <w:szCs w:val="24"/>
                <w:highlight w:val="none"/>
              </w:rPr>
              <w:t>…</w:t>
            </w:r>
          </w:p>
        </w:tc>
        <w:tc>
          <w:tcPr>
            <w:tcW w:w="1177" w:type="dxa"/>
            <w:tcBorders>
              <w:top w:val="nil"/>
              <w:left w:val="nil"/>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188" w:type="dxa"/>
            <w:tcBorders>
              <w:top w:val="nil"/>
              <w:left w:val="nil"/>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177" w:type="dxa"/>
            <w:tcBorders>
              <w:top w:val="nil"/>
              <w:left w:val="nil"/>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188" w:type="dxa"/>
            <w:tcBorders>
              <w:top w:val="nil"/>
              <w:left w:val="nil"/>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c>
          <w:tcPr>
            <w:tcW w:w="1191" w:type="dxa"/>
            <w:tcBorders>
              <w:top w:val="nil"/>
              <w:left w:val="nil"/>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7"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center"/>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备注</w:t>
            </w:r>
          </w:p>
        </w:tc>
        <w:tc>
          <w:tcPr>
            <w:tcW w:w="7253" w:type="dxa"/>
            <w:gridSpan w:val="6"/>
            <w:tcBorders>
              <w:top w:val="nil"/>
              <w:left w:val="nil"/>
              <w:bottom w:val="outset" w:color="auto" w:sz="6" w:space="0"/>
              <w:right w:val="outset" w:color="auto" w:sz="6" w:space="0"/>
            </w:tcBorders>
            <w:tcMar>
              <w:top w:w="0" w:type="dxa"/>
              <w:left w:w="105" w:type="dxa"/>
              <w:bottom w:w="0" w:type="dxa"/>
              <w:right w:w="105" w:type="dxa"/>
            </w:tcMa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a.本合同包内属于节能、环境标志产品的合计最后报价总金额：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b.本合同包最后报价总价：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c.本合同包内属于节能、环境标志产品的合计最后报价总金额占本合同包最后报价总价的比例（以</w:t>
            </w:r>
            <w:r>
              <w:rPr>
                <w:rFonts w:ascii="Calibri" w:hAnsi="Calibri" w:eastAsia="宋体" w:cs="宋体"/>
                <w:color w:val="auto"/>
                <w:kern w:val="0"/>
                <w:sz w:val="24"/>
                <w:szCs w:val="24"/>
                <w:highlight w:val="none"/>
              </w:rPr>
              <w:t>%</w:t>
            </w:r>
            <w:r>
              <w:rPr>
                <w:rFonts w:ascii="宋体" w:hAnsi="宋体" w:eastAsia="宋体" w:cs="宋体"/>
                <w:color w:val="auto"/>
                <w:kern w:val="0"/>
                <w:sz w:val="24"/>
                <w:szCs w:val="24"/>
                <w:highlight w:val="none"/>
              </w:rPr>
              <w:t>列示）：           。</w:t>
            </w:r>
          </w:p>
        </w:tc>
      </w:tr>
    </w:tbl>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注意：</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3、具体统计、计算：</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3.1若同一合同包内的单个或多个货物取得或同时取得节能、环境标志产品等两项或多项认证的，均按照单个货物对应一项认证的原则统计、计算</w:t>
      </w:r>
      <w:r>
        <w:rPr>
          <w:rFonts w:ascii="Calibri" w:hAnsi="Calibri" w:eastAsia="宋体" w:cs="宋体"/>
          <w:color w:val="auto"/>
          <w:kern w:val="0"/>
          <w:sz w:val="24"/>
          <w:szCs w:val="24"/>
          <w:highlight w:val="none"/>
        </w:rPr>
        <w:t>1</w:t>
      </w:r>
      <w:r>
        <w:rPr>
          <w:rFonts w:ascii="宋体" w:hAnsi="宋体" w:eastAsia="宋体" w:cs="宋体"/>
          <w:color w:val="auto"/>
          <w:kern w:val="0"/>
          <w:sz w:val="24"/>
          <w:szCs w:val="24"/>
          <w:highlight w:val="none"/>
        </w:rPr>
        <w:t>次。</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3.2计算结果若除不尽，可四舍五入保留到小数点后两位。</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3.3供应商应按照谈判文件上表要求认真统计、计算，否则谈判小组可不予认定。</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3.4若无节能、环境标志产品，不填写本表，否则，视为提供虚假材料。</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3.5强制类节能产品不享受价格扣除。</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5、纸质响应文件正本中的本表（若有）应为原件。</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pStyle w:val="16"/>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附件8       </w:t>
      </w:r>
      <w:r>
        <w:rPr>
          <w:rFonts w:ascii="宋体" w:hAnsi="宋体" w:eastAsia="宋体" w:cs="宋体"/>
          <w:b/>
          <w:bCs/>
          <w:color w:val="auto"/>
          <w:kern w:val="0"/>
          <w:sz w:val="24"/>
          <w:szCs w:val="24"/>
          <w:highlight w:val="none"/>
        </w:rPr>
        <w:t>要求作为响应文件组成部分的其他内容（若有）</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说明：</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firstLine="48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2、供应商根据自身实际情况编写有关资料包括如供应商单位简介、竞争性谈判文件要求提供或供应商自已认为体现自身优势，需要补充说明的其它资料，格式自拟。</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shd w:val="clear" w:color="auto" w:fill="7F7F7F"/>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shd w:val="clear" w:color="auto" w:fill="7F7F7F"/>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jc w:val="left"/>
        <w:textAlignment w:val="auto"/>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采购文件相关附件</w:t>
      </w:r>
    </w:p>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color w:val="auto"/>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color w:val="auto"/>
          <w:highlight w:val="none"/>
        </w:rPr>
      </w:pPr>
      <w:bookmarkStart w:id="3" w:name="_GoBack"/>
      <w:bookmarkEnd w:id="3"/>
    </w:p>
    <w:sectPr>
      <w:headerReference r:id="rId3" w:type="default"/>
      <w:footerReference r:id="rId4" w:type="default"/>
      <w:pgSz w:w="11907" w:h="16840"/>
      <w:pgMar w:top="1440" w:right="1287" w:bottom="1440" w:left="1304" w:header="851" w:footer="992" w:gutter="0"/>
      <w:pgBorders>
        <w:top w:val="none" w:sz="0" w:space="0"/>
        <w:left w:val="none" w:sz="0" w:space="0"/>
        <w:bottom w:val="none" w:sz="0" w:space="0"/>
        <w:right w:val="none" w:sz="0" w:space="0"/>
      </w:pgBorders>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eastAsiaTheme="minorEastAsia"/>
        <w:lang w:eastAsia="zh-CN"/>
      </w:rPr>
    </w:pPr>
    <w:r>
      <w:rPr>
        <w:rFonts w:hint="eastAsia"/>
        <w:lang w:eastAsia="zh-CN"/>
      </w:rPr>
      <w:t>谈判</w:t>
    </w:r>
    <w:r>
      <w:rPr>
        <w:rFonts w:hint="eastAsia"/>
      </w:rPr>
      <w:t xml:space="preserve">文件                                                            </w:t>
    </w:r>
    <w:r>
      <w:rPr>
        <w:rFonts w:hint="eastAsia"/>
        <w:lang w:eastAsia="zh-CN"/>
      </w:rPr>
      <w:t>建融建设管理集团有限责任公司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1AD41"/>
    <w:multiLevelType w:val="singleLevel"/>
    <w:tmpl w:val="AF21AD41"/>
    <w:lvl w:ilvl="0" w:tentative="0">
      <w:start w:val="3"/>
      <w:numFmt w:val="chineseCounting"/>
      <w:suff w:val="nothing"/>
      <w:lvlText w:val="（%1）"/>
      <w:lvlJc w:val="left"/>
      <w:pPr>
        <w:ind w:left="210"/>
      </w:pPr>
      <w:rPr>
        <w:rFonts w:hint="eastAsia"/>
      </w:rPr>
    </w:lvl>
  </w:abstractNum>
  <w:abstractNum w:abstractNumId="1">
    <w:nsid w:val="B71AD1BA"/>
    <w:multiLevelType w:val="singleLevel"/>
    <w:tmpl w:val="B71AD1BA"/>
    <w:lvl w:ilvl="0" w:tentative="0">
      <w:start w:val="2"/>
      <w:numFmt w:val="chineseCounting"/>
      <w:suff w:val="nothing"/>
      <w:lvlText w:val="%1、"/>
      <w:lvlJc w:val="left"/>
      <w:rPr>
        <w:rFonts w:hint="eastAsia"/>
      </w:rPr>
    </w:lvl>
  </w:abstractNum>
  <w:abstractNum w:abstractNumId="2">
    <w:nsid w:val="00000002"/>
    <w:multiLevelType w:val="singleLevel"/>
    <w:tmpl w:val="00000002"/>
    <w:lvl w:ilvl="0" w:tentative="0">
      <w:start w:val="1"/>
      <w:numFmt w:val="decimal"/>
      <w:suff w:val="nothing"/>
      <w:lvlText w:val="%1、"/>
      <w:lvlJc w:val="left"/>
      <w:rPr>
        <w:rFonts w:cs="Times New Roman"/>
      </w:rPr>
    </w:lvl>
  </w:abstractNum>
  <w:abstractNum w:abstractNumId="3">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pStyle w:val="32"/>
      <w:lvlText w:val="%1.%2"/>
      <w:lvlJc w:val="left"/>
      <w:pPr>
        <w:tabs>
          <w:tab w:val="left" w:pos="900"/>
        </w:tabs>
        <w:ind w:left="900" w:hanging="900"/>
      </w:pPr>
      <w:rPr>
        <w:rFonts w:hint="eastAsia" w:ascii="宋体" w:hAnsi="宋体" w:eastAsia="宋体"/>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7A247649"/>
    <w:multiLevelType w:val="singleLevel"/>
    <w:tmpl w:val="7A247649"/>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16B"/>
    <w:rsid w:val="000B5232"/>
    <w:rsid w:val="000C08BF"/>
    <w:rsid w:val="000E5DE3"/>
    <w:rsid w:val="000E7B41"/>
    <w:rsid w:val="00126C7E"/>
    <w:rsid w:val="00180D37"/>
    <w:rsid w:val="001A58D4"/>
    <w:rsid w:val="001E10A4"/>
    <w:rsid w:val="00214AB9"/>
    <w:rsid w:val="00257D40"/>
    <w:rsid w:val="00280221"/>
    <w:rsid w:val="002938FA"/>
    <w:rsid w:val="002D769F"/>
    <w:rsid w:val="002F29CE"/>
    <w:rsid w:val="00303DE8"/>
    <w:rsid w:val="00326A31"/>
    <w:rsid w:val="00352D51"/>
    <w:rsid w:val="003B3AE9"/>
    <w:rsid w:val="003B6288"/>
    <w:rsid w:val="003B6870"/>
    <w:rsid w:val="003F2A1E"/>
    <w:rsid w:val="00412997"/>
    <w:rsid w:val="00416FA0"/>
    <w:rsid w:val="0042716B"/>
    <w:rsid w:val="004426E3"/>
    <w:rsid w:val="00462B5E"/>
    <w:rsid w:val="004772DA"/>
    <w:rsid w:val="004F3BF0"/>
    <w:rsid w:val="005434AC"/>
    <w:rsid w:val="006430FB"/>
    <w:rsid w:val="00675635"/>
    <w:rsid w:val="006814FF"/>
    <w:rsid w:val="00693180"/>
    <w:rsid w:val="00782106"/>
    <w:rsid w:val="007F137A"/>
    <w:rsid w:val="008010B5"/>
    <w:rsid w:val="00887391"/>
    <w:rsid w:val="008B165D"/>
    <w:rsid w:val="008B5461"/>
    <w:rsid w:val="008F63E4"/>
    <w:rsid w:val="00905A04"/>
    <w:rsid w:val="00944C89"/>
    <w:rsid w:val="00977945"/>
    <w:rsid w:val="00985112"/>
    <w:rsid w:val="00A0629D"/>
    <w:rsid w:val="00A12AF8"/>
    <w:rsid w:val="00A31C9A"/>
    <w:rsid w:val="00AB4D6A"/>
    <w:rsid w:val="00AC09A4"/>
    <w:rsid w:val="00AD5D14"/>
    <w:rsid w:val="00B418BD"/>
    <w:rsid w:val="00B638BF"/>
    <w:rsid w:val="00B654D2"/>
    <w:rsid w:val="00B717FA"/>
    <w:rsid w:val="00BC0D9B"/>
    <w:rsid w:val="00C331EE"/>
    <w:rsid w:val="00C46B29"/>
    <w:rsid w:val="00C51837"/>
    <w:rsid w:val="00CC027A"/>
    <w:rsid w:val="00CC4B3C"/>
    <w:rsid w:val="00D006AD"/>
    <w:rsid w:val="00D05825"/>
    <w:rsid w:val="00D27678"/>
    <w:rsid w:val="00D34522"/>
    <w:rsid w:val="00D65D38"/>
    <w:rsid w:val="00D71A2B"/>
    <w:rsid w:val="00D932B2"/>
    <w:rsid w:val="00DC4C2D"/>
    <w:rsid w:val="00DF4671"/>
    <w:rsid w:val="00E75148"/>
    <w:rsid w:val="00E80F05"/>
    <w:rsid w:val="00EC07A7"/>
    <w:rsid w:val="00EC6FE3"/>
    <w:rsid w:val="00F06F5C"/>
    <w:rsid w:val="00F55ABB"/>
    <w:rsid w:val="00FB4092"/>
    <w:rsid w:val="00FB7F81"/>
    <w:rsid w:val="00FE13EB"/>
    <w:rsid w:val="0179002C"/>
    <w:rsid w:val="01B814A8"/>
    <w:rsid w:val="03563D39"/>
    <w:rsid w:val="0FAE5983"/>
    <w:rsid w:val="10756BA5"/>
    <w:rsid w:val="143D42AB"/>
    <w:rsid w:val="14F91789"/>
    <w:rsid w:val="16953841"/>
    <w:rsid w:val="1F044597"/>
    <w:rsid w:val="21843685"/>
    <w:rsid w:val="27AF379E"/>
    <w:rsid w:val="28696EE5"/>
    <w:rsid w:val="2A754BCA"/>
    <w:rsid w:val="2BF126F3"/>
    <w:rsid w:val="2CB00E75"/>
    <w:rsid w:val="2D6D7FA6"/>
    <w:rsid w:val="2EA05067"/>
    <w:rsid w:val="300F4001"/>
    <w:rsid w:val="30E01A90"/>
    <w:rsid w:val="31AB35AC"/>
    <w:rsid w:val="31C22ACF"/>
    <w:rsid w:val="321D63AD"/>
    <w:rsid w:val="328E21AE"/>
    <w:rsid w:val="37F94829"/>
    <w:rsid w:val="3B9C3A14"/>
    <w:rsid w:val="3DA00DEA"/>
    <w:rsid w:val="40064EB3"/>
    <w:rsid w:val="451E487F"/>
    <w:rsid w:val="466A09B2"/>
    <w:rsid w:val="495C359F"/>
    <w:rsid w:val="49AC2D5E"/>
    <w:rsid w:val="53192FD1"/>
    <w:rsid w:val="56784F80"/>
    <w:rsid w:val="5715355D"/>
    <w:rsid w:val="57992C5B"/>
    <w:rsid w:val="5A46672F"/>
    <w:rsid w:val="5CB9385F"/>
    <w:rsid w:val="5D1C662F"/>
    <w:rsid w:val="5D575C30"/>
    <w:rsid w:val="5FEB1323"/>
    <w:rsid w:val="6383477F"/>
    <w:rsid w:val="68F71677"/>
    <w:rsid w:val="6FD34BD9"/>
    <w:rsid w:val="765E62C1"/>
    <w:rsid w:val="768E60B5"/>
    <w:rsid w:val="789C6803"/>
    <w:rsid w:val="7BE748A3"/>
    <w:rsid w:val="7CB24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3"/>
    <w:basedOn w:val="1"/>
    <w:next w:val="1"/>
    <w:link w:val="26"/>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21">
    <w:name w:val="Default Paragraph Font"/>
    <w:link w:val="22"/>
    <w:semiHidden/>
    <w:unhideWhenUsed/>
    <w:qFormat/>
    <w:uiPriority w:val="1"/>
    <w:rPr>
      <w:rFonts w:ascii="Calibri" w:hAnsi="Calibri"/>
    </w:rPr>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99"/>
    <w:pPr>
      <w:tabs>
        <w:tab w:val="right" w:leader="dot" w:pos="8296"/>
      </w:tabs>
      <w:spacing w:line="480" w:lineRule="exact"/>
      <w:jc w:val="center"/>
    </w:pPr>
    <w:rPr>
      <w:rFonts w:ascii="宋体" w:hAnsi="宋体"/>
      <w:b/>
      <w:sz w:val="30"/>
      <w:szCs w:val="30"/>
    </w:rPr>
  </w:style>
  <w:style w:type="paragraph" w:styleId="5">
    <w:name w:val="Normal Indent"/>
    <w:basedOn w:val="1"/>
    <w:qFormat/>
    <w:uiPriority w:val="0"/>
    <w:pPr>
      <w:ind w:firstLine="420"/>
    </w:pPr>
    <w:rPr>
      <w:szCs w:val="20"/>
    </w:rPr>
  </w:style>
  <w:style w:type="paragraph" w:styleId="6">
    <w:name w:val="annotation text"/>
    <w:basedOn w:val="1"/>
    <w:link w:val="29"/>
    <w:semiHidden/>
    <w:unhideWhenUsed/>
    <w:qFormat/>
    <w:uiPriority w:val="99"/>
    <w:pPr>
      <w:jc w:val="left"/>
    </w:pPr>
  </w:style>
  <w:style w:type="paragraph" w:styleId="7">
    <w:name w:val="Body Text"/>
    <w:basedOn w:val="1"/>
    <w:next w:val="1"/>
    <w:qFormat/>
    <w:uiPriority w:val="0"/>
    <w:pPr>
      <w:spacing w:after="120"/>
    </w:pPr>
    <w:rPr>
      <w:lang w:val="zh-CN"/>
    </w:rPr>
  </w:style>
  <w:style w:type="paragraph" w:styleId="8">
    <w:name w:val="Body Text Indent"/>
    <w:basedOn w:val="1"/>
    <w:qFormat/>
    <w:uiPriority w:val="0"/>
    <w:pPr>
      <w:ind w:firstLine="627"/>
    </w:pPr>
    <w:rPr>
      <w:sz w:val="28"/>
    </w:rPr>
  </w:style>
  <w:style w:type="paragraph" w:styleId="9">
    <w:name w:val="toc 5"/>
    <w:basedOn w:val="1"/>
    <w:next w:val="1"/>
    <w:qFormat/>
    <w:uiPriority w:val="0"/>
    <w:pPr>
      <w:ind w:left="1680" w:leftChars="800"/>
    </w:pPr>
  </w:style>
  <w:style w:type="paragraph" w:styleId="10">
    <w:name w:val="Plain Text"/>
    <w:basedOn w:val="1"/>
    <w:qFormat/>
    <w:uiPriority w:val="99"/>
    <w:rPr>
      <w:rFonts w:ascii="宋体" w:hAnsi="Courier New"/>
    </w:rPr>
  </w:style>
  <w:style w:type="paragraph" w:styleId="11">
    <w:name w:val="Balloon Text"/>
    <w:basedOn w:val="1"/>
    <w:link w:val="31"/>
    <w:semiHidden/>
    <w:unhideWhenUsed/>
    <w:qFormat/>
    <w:uiPriority w:val="99"/>
    <w:rPr>
      <w:sz w:val="18"/>
      <w:szCs w:val="18"/>
    </w:rPr>
  </w:style>
  <w:style w:type="paragraph" w:styleId="12">
    <w:name w:val="footer"/>
    <w:basedOn w:val="1"/>
    <w:link w:val="28"/>
    <w:unhideWhenUsed/>
    <w:qFormat/>
    <w:uiPriority w:val="99"/>
    <w:pPr>
      <w:tabs>
        <w:tab w:val="center" w:pos="4153"/>
        <w:tab w:val="right" w:pos="8306"/>
      </w:tabs>
      <w:snapToGrid w:val="0"/>
      <w:jc w:val="left"/>
    </w:pPr>
    <w:rPr>
      <w:sz w:val="18"/>
      <w:szCs w:val="18"/>
    </w:rPr>
  </w:style>
  <w:style w:type="paragraph" w:styleId="13">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rFonts w:ascii="仿宋_GB2312" w:hAnsi="宋体" w:eastAsia="仿宋_GB2312" w:cs="Times New Roman"/>
      <w:snapToGrid w:val="0"/>
      <w:kern w:val="0"/>
      <w:sz w:val="16"/>
      <w:szCs w:val="16"/>
    </w:rPr>
  </w:style>
  <w:style w:type="paragraph" w:styleId="15">
    <w:name w:val="Normal (Web)"/>
    <w:basedOn w:val="1"/>
    <w:semiHidden/>
    <w:unhideWhenUsed/>
    <w:qFormat/>
    <w:uiPriority w:val="99"/>
    <w:rPr>
      <w:rFonts w:ascii="Times New Roman" w:hAnsi="Times New Roman" w:cs="Times New Roman"/>
      <w:sz w:val="24"/>
      <w:szCs w:val="24"/>
    </w:rPr>
  </w:style>
  <w:style w:type="paragraph" w:styleId="16">
    <w:name w:val="Title"/>
    <w:basedOn w:val="1"/>
    <w:next w:val="1"/>
    <w:qFormat/>
    <w:uiPriority w:val="99"/>
    <w:pPr>
      <w:jc w:val="center"/>
      <w:outlineLvl w:val="0"/>
    </w:pPr>
    <w:rPr>
      <w:rFonts w:ascii="Arial" w:hAnsi="Arial" w:cs="Arial"/>
      <w:b/>
      <w:bCs/>
      <w:sz w:val="32"/>
      <w:szCs w:val="32"/>
    </w:rPr>
  </w:style>
  <w:style w:type="paragraph" w:styleId="17">
    <w:name w:val="annotation subject"/>
    <w:basedOn w:val="6"/>
    <w:next w:val="6"/>
    <w:link w:val="30"/>
    <w:semiHidden/>
    <w:unhideWhenUsed/>
    <w:qFormat/>
    <w:uiPriority w:val="99"/>
    <w:rPr>
      <w:b/>
      <w:bCs/>
    </w:rPr>
  </w:style>
  <w:style w:type="paragraph" w:styleId="18">
    <w:name w:val="Body Text First Indent 2"/>
    <w:basedOn w:val="8"/>
    <w:qFormat/>
    <w:uiPriority w:val="0"/>
    <w:pPr>
      <w:spacing w:after="120" w:afterLines="0" w:line="360" w:lineRule="auto"/>
      <w:ind w:firstLine="480" w:firstLineChars="200"/>
    </w:pPr>
    <w:rPr>
      <w:sz w:val="24"/>
      <w:szCs w:val="24"/>
    </w:rPr>
  </w:style>
  <w:style w:type="table" w:styleId="20">
    <w:name w:val="Table Grid"/>
    <w:basedOn w:val="19"/>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2">
    <w:name w:val="_Style 3"/>
    <w:basedOn w:val="1"/>
    <w:link w:val="21"/>
    <w:qFormat/>
    <w:uiPriority w:val="0"/>
    <w:pPr>
      <w:spacing w:line="240" w:lineRule="atLeast"/>
      <w:ind w:left="420" w:firstLine="420"/>
    </w:pPr>
    <w:rPr>
      <w:rFonts w:ascii="Calibri" w:hAnsi="Calibri"/>
    </w:rPr>
  </w:style>
  <w:style w:type="character" w:styleId="23">
    <w:name w:val="Strong"/>
    <w:basedOn w:val="21"/>
    <w:qFormat/>
    <w:uiPriority w:val="99"/>
    <w:rPr>
      <w:rFonts w:cs="Times New Roman"/>
      <w:b/>
    </w:rPr>
  </w:style>
  <w:style w:type="character" w:styleId="24">
    <w:name w:val="annotation reference"/>
    <w:basedOn w:val="21"/>
    <w:semiHidden/>
    <w:unhideWhenUsed/>
    <w:qFormat/>
    <w:uiPriority w:val="99"/>
    <w:rPr>
      <w:sz w:val="21"/>
      <w:szCs w:val="21"/>
    </w:rPr>
  </w:style>
  <w:style w:type="paragraph" w:customStyle="1" w:styleId="25">
    <w:name w:val="Fließtext"/>
    <w:basedOn w:val="1"/>
    <w:qFormat/>
    <w:uiPriority w:val="0"/>
    <w:pPr>
      <w:overflowPunct w:val="0"/>
      <w:autoSpaceDE w:val="0"/>
      <w:autoSpaceDN w:val="0"/>
      <w:adjustRightInd w:val="0"/>
      <w:textAlignment w:val="baseline"/>
    </w:pPr>
    <w:rPr>
      <w:kern w:val="28"/>
      <w:szCs w:val="20"/>
    </w:rPr>
  </w:style>
  <w:style w:type="character" w:customStyle="1" w:styleId="26">
    <w:name w:val="标题 3 Char"/>
    <w:basedOn w:val="21"/>
    <w:link w:val="4"/>
    <w:qFormat/>
    <w:uiPriority w:val="9"/>
    <w:rPr>
      <w:rFonts w:ascii="宋体" w:hAnsi="宋体" w:eastAsia="宋体" w:cs="宋体"/>
      <w:b/>
      <w:bCs/>
      <w:kern w:val="0"/>
      <w:sz w:val="27"/>
      <w:szCs w:val="27"/>
    </w:rPr>
  </w:style>
  <w:style w:type="character" w:customStyle="1" w:styleId="27">
    <w:name w:val="页眉 Char"/>
    <w:basedOn w:val="21"/>
    <w:link w:val="13"/>
    <w:qFormat/>
    <w:uiPriority w:val="99"/>
    <w:rPr>
      <w:sz w:val="18"/>
      <w:szCs w:val="18"/>
    </w:rPr>
  </w:style>
  <w:style w:type="character" w:customStyle="1" w:styleId="28">
    <w:name w:val="页脚 Char"/>
    <w:basedOn w:val="21"/>
    <w:link w:val="12"/>
    <w:qFormat/>
    <w:uiPriority w:val="99"/>
    <w:rPr>
      <w:sz w:val="18"/>
      <w:szCs w:val="18"/>
    </w:rPr>
  </w:style>
  <w:style w:type="character" w:customStyle="1" w:styleId="29">
    <w:name w:val="批注文字 Char"/>
    <w:basedOn w:val="21"/>
    <w:link w:val="6"/>
    <w:semiHidden/>
    <w:qFormat/>
    <w:uiPriority w:val="99"/>
  </w:style>
  <w:style w:type="character" w:customStyle="1" w:styleId="30">
    <w:name w:val="批注主题 Char"/>
    <w:basedOn w:val="29"/>
    <w:link w:val="17"/>
    <w:semiHidden/>
    <w:qFormat/>
    <w:uiPriority w:val="99"/>
    <w:rPr>
      <w:b/>
      <w:bCs/>
    </w:rPr>
  </w:style>
  <w:style w:type="character" w:customStyle="1" w:styleId="31">
    <w:name w:val="批注框文本 Char"/>
    <w:basedOn w:val="21"/>
    <w:link w:val="11"/>
    <w:semiHidden/>
    <w:qFormat/>
    <w:uiPriority w:val="99"/>
    <w:rPr>
      <w:sz w:val="18"/>
      <w:szCs w:val="18"/>
    </w:rPr>
  </w:style>
  <w:style w:type="paragraph" w:customStyle="1" w:styleId="32">
    <w:name w:val="加点正文缩进"/>
    <w:basedOn w:val="1"/>
    <w:qFormat/>
    <w:uiPriority w:val="0"/>
    <w:pPr>
      <w:numPr>
        <w:ilvl w:val="1"/>
        <w:numId w:val="1"/>
      </w:numPr>
      <w:spacing w:line="300" w:lineRule="auto"/>
      <w:jc w:val="left"/>
    </w:pPr>
    <w:rPr>
      <w:sz w:val="24"/>
    </w:rPr>
  </w:style>
  <w:style w:type="paragraph" w:styleId="33">
    <w:name w:val="List Paragraph"/>
    <w:basedOn w:val="1"/>
    <w:qFormat/>
    <w:uiPriority w:val="34"/>
    <w:pPr>
      <w:ind w:firstLine="420" w:firstLineChars="200"/>
    </w:pPr>
  </w:style>
  <w:style w:type="character" w:customStyle="1" w:styleId="34">
    <w:name w:val="15"/>
    <w:basedOn w:val="21"/>
    <w:qFormat/>
    <w:uiPriority w:val="0"/>
    <w:rPr>
      <w:rFonts w:hint="default" w:ascii="Times New Roman" w:hAnsi="Times New Roman" w:cs="Times New Roman"/>
      <w:b/>
      <w:bCs/>
    </w:rPr>
  </w:style>
  <w:style w:type="character" w:customStyle="1" w:styleId="35">
    <w:name w:val="apple-converted-space"/>
    <w:basedOn w:val="2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32717</Words>
  <Characters>33883</Characters>
  <Lines>301</Lines>
  <Paragraphs>84</Paragraphs>
  <TotalTime>1</TotalTime>
  <ScaleCrop>false</ScaleCrop>
  <LinksUpToDate>false</LinksUpToDate>
  <CharactersWithSpaces>36811</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2021-05-11T04:44:00Z</dcterms:created>
  <dc:creator>NTKO</dc:creator>
  <cp:lastModifiedBy>Admin</cp:lastModifiedBy>
  <cp:lastPrinted>2022-04-24T02:38:00Z</cp:lastPrinted>
  <dcterms:modified xsi:type="dcterms:W3CDTF">2022-07-26T01:44:10Z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C14A57DD4BA1408D931517A534A8C233</vt:lpwstr>
  </property>
</Properties>
</file>