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b/>
          <w:color w:val="auto"/>
          <w:sz w:val="28"/>
          <w:szCs w:val="28"/>
          <w:highlight w:val="none"/>
        </w:rPr>
      </w:pPr>
      <w:bookmarkStart w:id="0" w:name="_Toc26627"/>
      <w:r>
        <w:rPr>
          <w:rFonts w:hint="eastAsia" w:ascii="宋体" w:hAnsi="宋体" w:cs="宋体"/>
          <w:b/>
          <w:color w:val="auto"/>
          <w:sz w:val="28"/>
          <w:szCs w:val="28"/>
          <w:highlight w:val="none"/>
        </w:rPr>
        <w:t>本文件已经我单位审核，请按此文件发布!</w:t>
      </w:r>
    </w:p>
    <w:p>
      <w:pPr>
        <w:spacing w:line="360" w:lineRule="auto"/>
        <w:ind w:firstLine="4337" w:firstLineChars="1543"/>
        <w:rPr>
          <w:rFonts w:ascii="宋体" w:hAnsi="宋体" w:cs="宋体"/>
          <w:b/>
          <w:bCs/>
          <w:color w:val="auto"/>
          <w:sz w:val="28"/>
          <w:szCs w:val="28"/>
          <w:highlight w:val="none"/>
        </w:rPr>
      </w:pPr>
      <w:r>
        <w:rPr>
          <w:rFonts w:hint="eastAsia" w:ascii="宋体" w:hAnsi="宋体" w:cs="宋体"/>
          <w:b/>
          <w:bCs/>
          <w:color w:val="auto"/>
          <w:sz w:val="28"/>
          <w:szCs w:val="28"/>
          <w:highlight w:val="none"/>
        </w:rPr>
        <w:t>盖章：</w:t>
      </w:r>
    </w:p>
    <w:p>
      <w:pPr>
        <w:wordWrap w:val="0"/>
        <w:adjustRightInd w:val="0"/>
        <w:ind w:right="600"/>
        <w:rPr>
          <w:rFonts w:ascii="宋体" w:hAnsi="宋体" w:cs="宋体"/>
          <w:b/>
          <w:bCs/>
          <w:color w:val="auto"/>
          <w:sz w:val="28"/>
          <w:szCs w:val="28"/>
          <w:highlight w:val="none"/>
        </w:rPr>
      </w:pPr>
    </w:p>
    <w:p>
      <w:pPr>
        <w:wordWrap w:val="0"/>
        <w:adjustRightInd w:val="0"/>
        <w:ind w:right="600"/>
        <w:rPr>
          <w:rFonts w:ascii="宋体" w:hAnsi="宋体" w:cs="宋体"/>
          <w:b/>
          <w:color w:val="auto"/>
          <w:sz w:val="72"/>
          <w:szCs w:val="72"/>
          <w:highlight w:val="none"/>
        </w:rPr>
      </w:pPr>
    </w:p>
    <w:p>
      <w:pPr>
        <w:spacing w:line="360" w:lineRule="auto"/>
        <w:ind w:firstLine="708" w:firstLineChars="98"/>
        <w:rPr>
          <w:rFonts w:ascii="宋体" w:hAnsi="宋体" w:cs="宋体"/>
          <w:b/>
          <w:color w:val="auto"/>
          <w:sz w:val="72"/>
          <w:szCs w:val="72"/>
          <w:highlight w:val="none"/>
        </w:rPr>
      </w:pPr>
    </w:p>
    <w:p>
      <w:pPr>
        <w:spacing w:line="264" w:lineRule="auto"/>
        <w:rPr>
          <w:rFonts w:ascii="宋体" w:hAnsi="宋体" w:cs="宋体"/>
          <w:b/>
          <w:color w:val="auto"/>
          <w:sz w:val="84"/>
          <w:szCs w:val="84"/>
          <w:highlight w:val="none"/>
        </w:rPr>
      </w:pPr>
      <w:r>
        <w:rPr>
          <w:rFonts w:hint="eastAsia" w:ascii="宋体" w:hAnsi="宋体" w:cs="宋体"/>
          <w:b/>
          <w:color w:val="auto"/>
          <w:sz w:val="72"/>
          <w:szCs w:val="72"/>
          <w:highlight w:val="none"/>
        </w:rPr>
        <w:t xml:space="preserve">      公开招标文件</w:t>
      </w:r>
    </w:p>
    <w:p>
      <w:pPr>
        <w:tabs>
          <w:tab w:val="left" w:pos="4008"/>
        </w:tabs>
        <w:spacing w:line="264" w:lineRule="auto"/>
        <w:rPr>
          <w:rFonts w:ascii="宋体" w:hAnsi="宋体" w:cs="宋体"/>
          <w:color w:val="auto"/>
          <w:highlight w:val="none"/>
        </w:rPr>
      </w:pPr>
    </w:p>
    <w:p>
      <w:pPr>
        <w:pStyle w:val="22"/>
        <w:ind w:left="420" w:firstLine="480"/>
        <w:rPr>
          <w:rFonts w:ascii="宋体" w:hAnsi="宋体" w:cs="宋体"/>
          <w:color w:val="auto"/>
          <w:highlight w:val="none"/>
        </w:rPr>
      </w:pPr>
    </w:p>
    <w:p>
      <w:pPr>
        <w:pStyle w:val="22"/>
        <w:ind w:left="420" w:firstLine="480"/>
        <w:rPr>
          <w:rFonts w:ascii="宋体" w:hAnsi="宋体" w:cs="宋体"/>
          <w:color w:val="auto"/>
          <w:highlight w:val="none"/>
        </w:rPr>
      </w:pPr>
    </w:p>
    <w:p>
      <w:pPr>
        <w:pStyle w:val="22"/>
        <w:ind w:left="0" w:leftChars="0" w:firstLine="0" w:firstLineChars="0"/>
        <w:rPr>
          <w:rFonts w:ascii="宋体" w:hAnsi="宋体" w:cs="宋体"/>
          <w:color w:val="auto"/>
          <w:highlight w:val="none"/>
        </w:rPr>
      </w:pPr>
    </w:p>
    <w:p>
      <w:pPr>
        <w:pStyle w:val="22"/>
        <w:ind w:left="420" w:firstLine="480"/>
        <w:rPr>
          <w:rFonts w:ascii="宋体" w:hAnsi="宋体" w:cs="宋体"/>
          <w:color w:val="auto"/>
          <w:highlight w:val="none"/>
        </w:rPr>
      </w:pPr>
    </w:p>
    <w:p>
      <w:pPr>
        <w:tabs>
          <w:tab w:val="left" w:pos="4008"/>
        </w:tabs>
        <w:spacing w:line="36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cs="宋体"/>
          <w:b/>
          <w:color w:val="auto"/>
          <w:sz w:val="32"/>
          <w:szCs w:val="28"/>
          <w:highlight w:val="none"/>
        </w:rPr>
        <w:t>招标编号：</w:t>
      </w:r>
      <w:r>
        <w:rPr>
          <w:rFonts w:hint="eastAsia" w:ascii="宋体" w:hAnsi="宋体" w:cs="宋体"/>
          <w:b/>
          <w:color w:val="auto"/>
          <w:sz w:val="32"/>
          <w:szCs w:val="28"/>
          <w:highlight w:val="none"/>
          <w:lang w:eastAsia="zh-CN"/>
        </w:rPr>
        <w:t>闽莆建融【F-2022】采招030号</w:t>
      </w:r>
    </w:p>
    <w:p>
      <w:pPr>
        <w:tabs>
          <w:tab w:val="left" w:pos="4008"/>
        </w:tabs>
        <w:spacing w:line="360" w:lineRule="auto"/>
        <w:jc w:val="center"/>
        <w:rPr>
          <w:rFonts w:hint="eastAsia" w:ascii="宋体" w:hAnsi="宋体" w:eastAsia="宋体" w:cs="宋体"/>
          <w:b/>
          <w:color w:val="auto"/>
          <w:sz w:val="32"/>
          <w:szCs w:val="28"/>
          <w:highlight w:val="none"/>
          <w:lang w:eastAsia="zh-CN"/>
        </w:rPr>
      </w:pPr>
      <w:r>
        <w:rPr>
          <w:rFonts w:hint="eastAsia" w:ascii="宋体" w:hAnsi="宋体" w:cs="宋体"/>
          <w:b/>
          <w:color w:val="auto"/>
          <w:sz w:val="32"/>
          <w:szCs w:val="28"/>
          <w:highlight w:val="none"/>
        </w:rPr>
        <w:t>项目名称：</w:t>
      </w:r>
      <w:r>
        <w:rPr>
          <w:rFonts w:hint="eastAsia" w:ascii="宋体" w:hAnsi="宋体" w:cs="宋体"/>
          <w:b/>
          <w:bCs/>
          <w:color w:val="auto"/>
          <w:sz w:val="32"/>
          <w:szCs w:val="32"/>
          <w:highlight w:val="none"/>
          <w:lang w:eastAsia="zh-CN"/>
        </w:rPr>
        <w:t>2022省级精品在线开放课程建设项目</w:t>
      </w:r>
    </w:p>
    <w:p>
      <w:pPr>
        <w:pStyle w:val="13"/>
        <w:ind w:firstLine="0" w:firstLineChars="0"/>
        <w:rPr>
          <w:rFonts w:ascii="宋体" w:hAnsi="宋体" w:cs="宋体"/>
          <w:color w:val="auto"/>
          <w:highlight w:val="none"/>
        </w:rPr>
      </w:pPr>
    </w:p>
    <w:p>
      <w:pPr>
        <w:pStyle w:val="53"/>
        <w:ind w:firstLine="0" w:firstLineChars="0"/>
        <w:rPr>
          <w:rFonts w:ascii="宋体" w:hAnsi="宋体" w:eastAsia="宋体" w:cs="宋体"/>
          <w:color w:val="auto"/>
          <w:highlight w:val="none"/>
        </w:rPr>
      </w:pPr>
    </w:p>
    <w:p>
      <w:pPr>
        <w:pStyle w:val="53"/>
        <w:ind w:firstLine="0" w:firstLineChars="0"/>
        <w:rPr>
          <w:rFonts w:ascii="宋体" w:hAnsi="宋体" w:eastAsia="宋体" w:cs="宋体"/>
          <w:color w:val="auto"/>
          <w:highlight w:val="none"/>
        </w:rPr>
      </w:pPr>
    </w:p>
    <w:p>
      <w:pPr>
        <w:pStyle w:val="53"/>
        <w:ind w:firstLine="0" w:firstLineChars="0"/>
        <w:rPr>
          <w:rFonts w:ascii="宋体" w:hAnsi="宋体" w:eastAsia="宋体" w:cs="宋体"/>
          <w:color w:val="auto"/>
          <w:highlight w:val="none"/>
        </w:rPr>
      </w:pPr>
    </w:p>
    <w:p>
      <w:pPr>
        <w:pStyle w:val="53"/>
        <w:ind w:firstLine="0" w:firstLineChars="0"/>
        <w:rPr>
          <w:rFonts w:ascii="宋体" w:hAnsi="宋体" w:eastAsia="宋体" w:cs="宋体"/>
          <w:color w:val="auto"/>
          <w:highlight w:val="none"/>
        </w:rPr>
      </w:pPr>
    </w:p>
    <w:p>
      <w:pPr>
        <w:pStyle w:val="53"/>
        <w:ind w:firstLine="0" w:firstLineChars="0"/>
        <w:rPr>
          <w:rFonts w:ascii="宋体" w:hAnsi="宋体" w:eastAsia="宋体" w:cs="宋体"/>
          <w:color w:val="auto"/>
          <w:highlight w:val="none"/>
        </w:rPr>
      </w:pPr>
    </w:p>
    <w:p>
      <w:pPr>
        <w:pStyle w:val="53"/>
        <w:ind w:firstLine="0" w:firstLineChars="0"/>
        <w:rPr>
          <w:rFonts w:ascii="宋体" w:hAnsi="宋体" w:eastAsia="宋体" w:cs="宋体"/>
          <w:color w:val="auto"/>
          <w:highlight w:val="none"/>
        </w:rPr>
      </w:pPr>
    </w:p>
    <w:p>
      <w:pPr>
        <w:pStyle w:val="53"/>
        <w:ind w:firstLine="0" w:firstLineChars="0"/>
        <w:rPr>
          <w:rFonts w:ascii="宋体" w:hAnsi="宋体" w:eastAsia="宋体" w:cs="宋体"/>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28"/>
          <w:highlight w:val="none"/>
        </w:rPr>
        <w:t xml:space="preserve"> 招标人：湄洲湾职业技术学院</w:t>
      </w:r>
      <w:r>
        <w:rPr>
          <w:rFonts w:hint="eastAsia" w:ascii="宋体" w:hAnsi="宋体" w:cs="宋体"/>
          <w:b/>
          <w:color w:val="auto"/>
          <w:sz w:val="32"/>
          <w:szCs w:val="32"/>
          <w:highlight w:val="none"/>
        </w:rPr>
        <w:t>（盖章）</w:t>
      </w: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招标代理机构：建融建设管理集团有限责任公司 （盖章）</w:t>
      </w:r>
    </w:p>
    <w:p>
      <w:pPr>
        <w:tabs>
          <w:tab w:val="left" w:pos="4008"/>
        </w:tabs>
        <w:spacing w:line="360" w:lineRule="auto"/>
        <w:ind w:firstLine="3534" w:firstLineChars="1100"/>
        <w:rPr>
          <w:rFonts w:ascii="宋体" w:hAnsi="宋体" w:cs="宋体"/>
          <w:b/>
          <w:color w:val="auto"/>
          <w:sz w:val="32"/>
          <w:szCs w:val="28"/>
          <w:highlight w:val="none"/>
        </w:rPr>
      </w:pPr>
      <w:r>
        <w:rPr>
          <w:rFonts w:hint="eastAsia" w:ascii="宋体" w:hAnsi="宋体" w:cs="宋体"/>
          <w:b/>
          <w:color w:val="auto"/>
          <w:sz w:val="32"/>
          <w:szCs w:val="28"/>
          <w:highlight w:val="none"/>
        </w:rPr>
        <w:t>二○二二年十</w:t>
      </w:r>
      <w:r>
        <w:rPr>
          <w:rFonts w:hint="eastAsia" w:ascii="宋体" w:hAnsi="宋体" w:cs="宋体"/>
          <w:b/>
          <w:color w:val="auto"/>
          <w:sz w:val="32"/>
          <w:szCs w:val="28"/>
          <w:highlight w:val="none"/>
          <w:lang w:val="en-US" w:eastAsia="zh-CN"/>
        </w:rPr>
        <w:t>一</w:t>
      </w:r>
      <w:r>
        <w:rPr>
          <w:rFonts w:hint="eastAsia" w:ascii="宋体" w:hAnsi="宋体" w:cs="宋体"/>
          <w:b/>
          <w:color w:val="auto"/>
          <w:sz w:val="32"/>
          <w:szCs w:val="28"/>
          <w:highlight w:val="none"/>
        </w:rPr>
        <w:t xml:space="preserve">月 </w:t>
      </w:r>
    </w:p>
    <w:p>
      <w:pPr>
        <w:rPr>
          <w:rFonts w:ascii="宋体" w:hAnsi="宋体" w:cs="宋体"/>
          <w:color w:val="auto"/>
          <w:highlight w:val="none"/>
        </w:rPr>
      </w:pPr>
      <w:r>
        <w:rPr>
          <w:rFonts w:hint="eastAsia" w:ascii="宋体" w:hAnsi="宋体" w:cs="宋体"/>
          <w:color w:val="auto"/>
          <w:highlight w:val="none"/>
        </w:rPr>
        <w:br w:type="page"/>
      </w:r>
    </w:p>
    <w:p>
      <w:pPr>
        <w:tabs>
          <w:tab w:val="left" w:pos="4008"/>
        </w:tabs>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第一章 投标邀请</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u w:val="single"/>
        </w:rPr>
        <w:t xml:space="preserve">建融建设管理集团有限责任公司 </w:t>
      </w:r>
      <w:r>
        <w:rPr>
          <w:rFonts w:hint="eastAsia" w:ascii="宋体" w:hAnsi="宋体" w:cs="宋体"/>
          <w:color w:val="auto"/>
          <w:highlight w:val="none"/>
        </w:rPr>
        <w:t>采用</w:t>
      </w:r>
      <w:r>
        <w:rPr>
          <w:rFonts w:hint="eastAsia" w:ascii="宋体" w:hAnsi="宋体" w:cs="宋体"/>
          <w:color w:val="auto"/>
          <w:highlight w:val="none"/>
          <w:u w:val="single"/>
        </w:rPr>
        <w:t>公开招标方式</w:t>
      </w:r>
      <w:r>
        <w:rPr>
          <w:rFonts w:hint="eastAsia" w:ascii="宋体" w:hAnsi="宋体" w:cs="宋体"/>
          <w:color w:val="auto"/>
          <w:highlight w:val="none"/>
        </w:rPr>
        <w:t>组织</w:t>
      </w:r>
      <w:r>
        <w:rPr>
          <w:rFonts w:hint="eastAsia" w:ascii="宋体" w:hAnsi="宋体" w:cs="宋体"/>
          <w:color w:val="auto"/>
          <w:highlight w:val="none"/>
          <w:u w:val="single"/>
          <w:lang w:eastAsia="zh-CN"/>
        </w:rPr>
        <w:t>2022省级精品在线开放课程建设项目</w:t>
      </w:r>
      <w:r>
        <w:rPr>
          <w:rFonts w:hint="eastAsia" w:ascii="宋体" w:hAnsi="宋体" w:cs="宋体"/>
          <w:color w:val="auto"/>
          <w:highlight w:val="none"/>
        </w:rPr>
        <w:t>（以下简称：“本项目”）的政府采购活动，现邀请供应商参加投标。</w:t>
      </w:r>
    </w:p>
    <w:p>
      <w:pPr>
        <w:snapToGri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bCs/>
          <w:color w:val="auto"/>
          <w:sz w:val="24"/>
          <w:highlight w:val="none"/>
        </w:rPr>
        <w:t>1、招标编号：</w:t>
      </w:r>
      <w:r>
        <w:rPr>
          <w:rFonts w:hint="eastAsia" w:ascii="宋体" w:hAnsi="宋体" w:cs="宋体"/>
          <w:bCs/>
          <w:color w:val="auto"/>
          <w:sz w:val="24"/>
          <w:highlight w:val="none"/>
          <w:lang w:eastAsia="zh-CN"/>
        </w:rPr>
        <w:t>闽莆建融【F-2022】采招030号</w:t>
      </w:r>
    </w:p>
    <w:p>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2、预算金额、最高限价：详见《采购标的一览表》。</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3、招标内容及要求：详见《采购标的一览表》及招标文件第五章。</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4、需要落实的政府采购政策：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促进残疾人就业 ，适用于（所有合同包或品目号）。信用记录，（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5、投标人的资格要求</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5.1法定条件：符合政府采购法第二十二条第一款规定的条件。</w:t>
      </w:r>
    </w:p>
    <w:p>
      <w:pPr>
        <w:pStyle w:val="19"/>
        <w:widowControl/>
        <w:snapToGrid w:val="0"/>
        <w:spacing w:line="400" w:lineRule="exact"/>
        <w:ind w:left="479" w:leftChars="228"/>
        <w:rPr>
          <w:rFonts w:ascii="宋体" w:hAnsi="宋体" w:cs="宋体"/>
          <w:color w:val="auto"/>
          <w:highlight w:val="none"/>
        </w:rPr>
      </w:pPr>
      <w:r>
        <w:rPr>
          <w:rFonts w:hint="eastAsia" w:ascii="宋体" w:hAnsi="宋体" w:cs="宋体"/>
          <w:color w:val="auto"/>
          <w:highlight w:val="none"/>
        </w:rPr>
        <w:t>5.2特定条件：</w:t>
      </w:r>
    </w:p>
    <w:tbl>
      <w:tblPr>
        <w:tblStyle w:val="23"/>
        <w:tblW w:w="973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0"/>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2250" w:type="dxa"/>
            <w:shd w:val="clear" w:color="auto" w:fill="auto"/>
            <w:vAlign w:val="center"/>
          </w:tcPr>
          <w:p>
            <w:pPr>
              <w:widowControl/>
              <w:snapToGrid w:val="0"/>
              <w:jc w:val="center"/>
              <w:rPr>
                <w:b/>
                <w:bCs/>
                <w:color w:val="auto"/>
                <w:highlight w:val="none"/>
              </w:rPr>
            </w:pPr>
            <w:r>
              <w:rPr>
                <w:rFonts w:ascii="宋体" w:hAnsi="宋体" w:cs="宋体"/>
                <w:b/>
                <w:bCs/>
                <w:color w:val="auto"/>
                <w:kern w:val="0"/>
                <w:sz w:val="24"/>
                <w:highlight w:val="none"/>
              </w:rPr>
              <w:t>明细</w:t>
            </w:r>
          </w:p>
        </w:tc>
        <w:tc>
          <w:tcPr>
            <w:tcW w:w="7483" w:type="dxa"/>
            <w:shd w:val="clear" w:color="auto" w:fill="auto"/>
            <w:vAlign w:val="center"/>
          </w:tcPr>
          <w:p>
            <w:pPr>
              <w:widowControl/>
              <w:snapToGrid w:val="0"/>
              <w:jc w:val="center"/>
              <w:rPr>
                <w:b/>
                <w:bCs/>
                <w:color w:val="auto"/>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250" w:type="dxa"/>
            <w:shd w:val="clear" w:color="auto" w:fill="auto"/>
            <w:vAlign w:val="center"/>
          </w:tcPr>
          <w:p>
            <w:pPr>
              <w:widowControl/>
              <w:snapToGrid w:val="0"/>
              <w:jc w:val="left"/>
              <w:rPr>
                <w:color w:val="auto"/>
                <w:highlight w:val="none"/>
              </w:rPr>
            </w:pPr>
            <w:r>
              <w:rPr>
                <w:rFonts w:ascii="宋体" w:hAnsi="宋体" w:cs="宋体"/>
                <w:color w:val="auto"/>
                <w:kern w:val="0"/>
                <w:sz w:val="24"/>
                <w:highlight w:val="none"/>
              </w:rPr>
              <w:t>具备履行合同所必需设备和专业技术能力专项证明材料</w:t>
            </w:r>
          </w:p>
        </w:tc>
        <w:tc>
          <w:tcPr>
            <w:tcW w:w="7483" w:type="dxa"/>
            <w:shd w:val="clear" w:color="auto" w:fill="auto"/>
            <w:vAlign w:val="center"/>
          </w:tcPr>
          <w:p>
            <w:pPr>
              <w:widowControl/>
              <w:snapToGrid w:val="0"/>
              <w:ind w:left="216" w:leftChars="103" w:right="103" w:rightChars="49"/>
              <w:jc w:val="left"/>
              <w:rPr>
                <w:color w:val="auto"/>
                <w:highlight w:val="none"/>
              </w:rPr>
            </w:pPr>
            <w:r>
              <w:rPr>
                <w:rFonts w:ascii="宋体" w:hAnsi="宋体" w:cs="宋体"/>
                <w:color w:val="auto"/>
                <w:kern w:val="0"/>
                <w:sz w:val="24"/>
                <w:highlight w:val="none"/>
              </w:rPr>
              <w:t>投标人须提供具备履行合同所必需设备和专业技术能力的声明函。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250" w:type="dxa"/>
            <w:shd w:val="clear" w:color="auto" w:fill="auto"/>
            <w:vAlign w:val="center"/>
          </w:tcPr>
          <w:p>
            <w:pPr>
              <w:widowControl/>
              <w:snapToGrid w:val="0"/>
              <w:jc w:val="left"/>
              <w:rPr>
                <w:color w:val="auto"/>
                <w:highlight w:val="none"/>
              </w:rPr>
            </w:pPr>
            <w:r>
              <w:rPr>
                <w:rFonts w:ascii="宋体" w:hAnsi="宋体" w:cs="宋体"/>
                <w:color w:val="auto"/>
                <w:kern w:val="0"/>
                <w:sz w:val="24"/>
                <w:highlight w:val="none"/>
              </w:rPr>
              <w:t>落实政府采购政策的证明材料（专门面向中小企业采购）</w:t>
            </w:r>
          </w:p>
        </w:tc>
        <w:tc>
          <w:tcPr>
            <w:tcW w:w="7483" w:type="dxa"/>
            <w:shd w:val="clear" w:color="auto" w:fill="auto"/>
            <w:vAlign w:val="center"/>
          </w:tcPr>
          <w:p>
            <w:pPr>
              <w:widowControl/>
              <w:snapToGrid w:val="0"/>
              <w:ind w:left="216" w:leftChars="103" w:right="103" w:rightChars="49"/>
              <w:jc w:val="left"/>
              <w:rPr>
                <w:color w:val="auto"/>
                <w:highlight w:val="none"/>
              </w:rPr>
            </w:pPr>
            <w:r>
              <w:rPr>
                <w:rFonts w:ascii="宋体" w:hAnsi="宋体" w:cs="宋体"/>
                <w:color w:val="auto"/>
                <w:kern w:val="0"/>
                <w:sz w:val="24"/>
                <w:highlight w:val="none"/>
              </w:rPr>
              <w:t>1、供应商提供的服务应符合《政府采购促进中小企业发展管理办法》(财库〔2020〕46号) 第四条规定的情形，且应当提供《政府采购促进中小企业发展管理办法》(财库〔2020〕46号)规定的《中小企业声明函》，格式见第五章《响应文件格式》附件。 2、供 应商为监狱企业的视同小型和微型企业，可不提供以上第1材料，但应当提供由省级以上监狱管理局、戒毒管理局(含新疆生产建设兵团)出具的属于监狱企业的证明文件。 3、供 应商为残疾人福利性单位的视同小型和微型企业，可不提供以上第1点材料，但应当提供《残疾人福利性单位声明函》，格式见第五章《响应文件格式》附件。4、本采购项目</w:t>
            </w:r>
            <w:r>
              <w:rPr>
                <w:rFonts w:hint="eastAsia" w:ascii="宋体" w:hAnsi="宋体" w:cs="宋体"/>
                <w:color w:val="auto"/>
                <w:kern w:val="0"/>
                <w:sz w:val="24"/>
                <w:highlight w:val="none"/>
              </w:rPr>
              <w:t>属于服务类招标，</w:t>
            </w:r>
            <w:r>
              <w:rPr>
                <w:rFonts w:ascii="宋体" w:hAnsi="宋体" w:cs="宋体"/>
                <w:color w:val="auto"/>
                <w:kern w:val="0"/>
                <w:sz w:val="24"/>
                <w:highlight w:val="none"/>
              </w:rPr>
              <w:t>所属行业为</w:t>
            </w:r>
            <w:r>
              <w:rPr>
                <w:rFonts w:hint="eastAsia" w:ascii="宋体" w:hAnsi="宋体" w:cs="宋体"/>
                <w:b/>
                <w:color w:val="auto"/>
                <w:kern w:val="0"/>
                <w:sz w:val="24"/>
                <w:highlight w:val="yellow"/>
                <w:lang w:eastAsia="zh-CN" w:bidi="ar"/>
              </w:rPr>
              <w:t>软件和信息技术服务业</w:t>
            </w:r>
            <w:r>
              <w:rPr>
                <w:rFonts w:ascii="宋体" w:hAnsi="宋体" w:cs="宋体"/>
                <w:color w:val="auto"/>
                <w:kern w:val="0"/>
                <w:sz w:val="24"/>
                <w:highlight w:val="none"/>
              </w:rPr>
              <w:t>。</w:t>
            </w:r>
          </w:p>
        </w:tc>
      </w:tr>
    </w:tbl>
    <w:p>
      <w:pPr>
        <w:pStyle w:val="19"/>
        <w:widowControl/>
        <w:snapToGrid w:val="0"/>
        <w:spacing w:line="400" w:lineRule="exact"/>
        <w:ind w:firstLine="480" w:firstLineChars="200"/>
        <w:rPr>
          <w:rFonts w:ascii="宋体" w:hAnsi="宋体" w:cs="宋体"/>
          <w:color w:val="auto"/>
          <w:kern w:val="0"/>
          <w:highlight w:val="none"/>
        </w:rPr>
      </w:pPr>
      <w:r>
        <w:rPr>
          <w:rFonts w:hint="eastAsia" w:ascii="宋体" w:hAnsi="宋体" w:cs="宋体"/>
          <w:color w:val="auto"/>
          <w:highlight w:val="none"/>
        </w:rPr>
        <w:t>5.3是否接受联合体投标：不接受。</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※根据上述资格要求，投标文件中应提交的“投标人的资格及资信证明文件”详见招标文件第四章。</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6、报名</w:t>
      </w:r>
    </w:p>
    <w:p>
      <w:pPr>
        <w:widowControl/>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6、招标文件的获取</w:t>
      </w:r>
    </w:p>
    <w:p>
      <w:pPr>
        <w:widowControl/>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6.1、招标文件获取期限：详见招标公告或更正公告，若不一致，以更正公告为准。</w:t>
      </w:r>
    </w:p>
    <w:p>
      <w:pPr>
        <w:tabs>
          <w:tab w:val="left" w:pos="1134"/>
        </w:tabs>
        <w:snapToGrid w:val="0"/>
        <w:spacing w:line="400" w:lineRule="exact"/>
        <w:ind w:right="105" w:rightChars="50" w:firstLine="480" w:firstLineChars="200"/>
        <w:rPr>
          <w:rFonts w:ascii="宋体" w:hAnsi="宋体" w:cs="宋体"/>
          <w:color w:val="auto"/>
          <w:sz w:val="24"/>
          <w:highlight w:val="none"/>
        </w:rPr>
      </w:pPr>
      <w:r>
        <w:rPr>
          <w:rFonts w:hint="eastAsia" w:ascii="宋体" w:hAnsi="宋体" w:cs="宋体"/>
          <w:color w:val="auto"/>
          <w:sz w:val="24"/>
          <w:highlight w:val="none"/>
        </w:rPr>
        <w:t>6.2获取地点及方式：</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（莆田市城厢区荣华家园3号楼5层）。</w:t>
      </w:r>
    </w:p>
    <w:p>
      <w:pPr>
        <w:widowControl/>
        <w:snapToGrid w:val="0"/>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6.3、招标文件售价：100元。</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7、投标截止</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7.1投标截止时间：详见招标公告或更正公告（若有），若不一致，以更正公告（若有）为准。</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8、开标时间及地点：详见招标公告或更正公告（若有），若不一致，以更正公告（若有）为准。</w:t>
      </w:r>
      <w:r>
        <w:rPr>
          <w:rStyle w:val="27"/>
          <w:rFonts w:hint="eastAsia" w:ascii="宋体" w:hAnsi="宋体" w:cs="宋体"/>
          <w:color w:val="auto"/>
          <w:highlight w:val="none"/>
        </w:rPr>
        <w:t> </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9、公告期限</w:t>
      </w:r>
    </w:p>
    <w:p>
      <w:pPr>
        <w:autoSpaceDN w:val="0"/>
        <w:snapToGrid w:val="0"/>
        <w:spacing w:line="400" w:lineRule="exact"/>
        <w:ind w:firstLine="480" w:firstLineChars="200"/>
        <w:rPr>
          <w:rFonts w:ascii="宋体" w:hAnsi="宋体" w:cs="宋体"/>
          <w:color w:val="auto"/>
          <w:highlight w:val="none"/>
        </w:rPr>
      </w:pPr>
      <w:r>
        <w:rPr>
          <w:rFonts w:hint="eastAsia" w:ascii="宋体" w:hAnsi="宋体" w:cs="宋体"/>
          <w:color w:val="auto"/>
          <w:sz w:val="24"/>
          <w:highlight w:val="none"/>
        </w:rPr>
        <w:t>9.1招标公告的公告期限：</w:t>
      </w:r>
      <w:r>
        <w:rPr>
          <w:rFonts w:hint="eastAsia" w:ascii="宋体" w:hAnsi="宋体" w:cs="宋体"/>
          <w:color w:val="auto"/>
          <w:spacing w:val="-6"/>
          <w:sz w:val="24"/>
          <w:highlight w:val="none"/>
        </w:rPr>
        <w:t>指定的政府采购信息发布媒体最先发布公告之日起5个工作日。</w:t>
      </w:r>
    </w:p>
    <w:p>
      <w:pPr>
        <w:pStyle w:val="19"/>
        <w:widowControl/>
        <w:snapToGrid w:val="0"/>
        <w:spacing w:line="400" w:lineRule="exact"/>
        <w:ind w:firstLine="480"/>
        <w:rPr>
          <w:rFonts w:ascii="宋体" w:hAnsi="宋体" w:cs="宋体"/>
          <w:color w:val="auto"/>
          <w:highlight w:val="none"/>
        </w:rPr>
      </w:pPr>
      <w:r>
        <w:rPr>
          <w:rFonts w:hint="eastAsia" w:ascii="宋体" w:hAnsi="宋体" w:cs="宋体"/>
          <w:color w:val="auto"/>
          <w:highlight w:val="none"/>
        </w:rPr>
        <w:t>9.2招标文件公告期限：招标文件随同招标公告一并发布，其公告期限与本章第9.1条载明的期限保持一致。</w:t>
      </w:r>
    </w:p>
    <w:p>
      <w:pPr>
        <w:snapToGrid w:val="0"/>
        <w:spacing w:line="4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10、</w:t>
      </w:r>
      <w:r>
        <w:rPr>
          <w:rFonts w:hint="eastAsia" w:ascii="宋体" w:hAnsi="宋体" w:cs="宋体"/>
          <w:bCs/>
          <w:color w:val="auto"/>
          <w:sz w:val="24"/>
          <w:highlight w:val="none"/>
        </w:rPr>
        <w:t>投标须知：</w:t>
      </w:r>
    </w:p>
    <w:p>
      <w:pPr>
        <w:snapToGrid w:val="0"/>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10.1建融建设管理集团有限责任公司 指定账户：</w:t>
      </w:r>
    </w:p>
    <w:p>
      <w:pPr>
        <w:pStyle w:val="6"/>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保证金缴纳帐户：保证金必须以供应商</w:t>
      </w:r>
      <w:r>
        <w:rPr>
          <w:rFonts w:hint="eastAsia" w:ascii="宋体" w:hAnsi="宋体" w:cs="宋体"/>
          <w:b/>
          <w:color w:val="auto"/>
          <w:sz w:val="24"/>
          <w:highlight w:val="none"/>
        </w:rPr>
        <w:t>银行帐户公对公</w:t>
      </w:r>
      <w:r>
        <w:rPr>
          <w:rFonts w:hint="eastAsia" w:ascii="宋体" w:hAnsi="宋体" w:cs="宋体"/>
          <w:color w:val="auto"/>
          <w:sz w:val="24"/>
          <w:highlight w:val="none"/>
        </w:rPr>
        <w:t>转账至:</w:t>
      </w:r>
    </w:p>
    <w:p>
      <w:pPr>
        <w:pStyle w:val="6"/>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pStyle w:val="6"/>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pStyle w:val="6"/>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帐  号:13400201040007163</w:t>
      </w:r>
    </w:p>
    <w:p>
      <w:pPr>
        <w:snapToGrid w:val="0"/>
        <w:spacing w:line="400" w:lineRule="exact"/>
        <w:ind w:right="-218" w:rightChars="-104" w:firstLine="480" w:firstLineChars="200"/>
        <w:rPr>
          <w:rFonts w:ascii="宋体" w:hAnsi="宋体" w:cs="宋体"/>
          <w:color w:val="auto"/>
          <w:sz w:val="24"/>
          <w:highlight w:val="none"/>
        </w:rPr>
      </w:pPr>
      <w:r>
        <w:rPr>
          <w:rFonts w:hint="eastAsia" w:ascii="宋体" w:hAnsi="宋体" w:cs="宋体"/>
          <w:color w:val="auto"/>
          <w:sz w:val="24"/>
          <w:highlight w:val="none"/>
        </w:rPr>
        <w:t>11、对本次招标提出询问，请按以下方式联系：</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采购单位：湄洲湾职业技术学院</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地址：莆田市涵江区梧塘镇荔涵东大道1001号</w:t>
      </w:r>
    </w:p>
    <w:p>
      <w:pPr>
        <w:snapToGrid w:val="0"/>
        <w:spacing w:line="400" w:lineRule="exact"/>
        <w:ind w:left="40" w:leftChars="19" w:firstLine="756" w:firstLineChars="315"/>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陈</w:t>
      </w:r>
      <w:r>
        <w:rPr>
          <w:rFonts w:hint="eastAsia" w:ascii="宋体" w:hAnsi="宋体" w:cs="宋体"/>
          <w:color w:val="auto"/>
          <w:kern w:val="0"/>
          <w:sz w:val="24"/>
          <w:highlight w:val="none"/>
        </w:rPr>
        <w:t>老师</w:t>
      </w:r>
    </w:p>
    <w:p>
      <w:pPr>
        <w:snapToGrid w:val="0"/>
        <w:spacing w:line="400" w:lineRule="exact"/>
        <w:ind w:left="40" w:leftChars="19" w:firstLine="756" w:firstLineChars="315"/>
        <w:rPr>
          <w:rFonts w:ascii="宋体" w:hAnsi="宋体" w:cs="宋体"/>
          <w:color w:val="auto"/>
          <w:kern w:val="0"/>
          <w:sz w:val="24"/>
          <w:highlight w:val="none"/>
        </w:rPr>
      </w:pPr>
      <w:r>
        <w:rPr>
          <w:rFonts w:hint="eastAsia" w:ascii="宋体" w:hAnsi="宋体" w:cs="宋体"/>
          <w:color w:val="auto"/>
          <w:kern w:val="0"/>
          <w:sz w:val="24"/>
          <w:highlight w:val="none"/>
        </w:rPr>
        <w:t>电  话：13950766563</w:t>
      </w:r>
    </w:p>
    <w:p>
      <w:pPr>
        <w:snapToGrid w:val="0"/>
        <w:spacing w:line="400" w:lineRule="exact"/>
        <w:ind w:firstLine="720" w:firstLineChars="300"/>
        <w:rPr>
          <w:rFonts w:ascii="宋体" w:hAnsi="宋体" w:cs="宋体"/>
          <w:color w:val="auto"/>
          <w:kern w:val="0"/>
          <w:sz w:val="24"/>
          <w:highlight w:val="none"/>
        </w:rPr>
      </w:pP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采购代理机构联系方式</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采购代理机构：建融建设管理集团有限责任公司</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 xml:space="preserve">地  址：莆田市城厢区荣华嘉园3号楼5层 </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 xml:space="preserve">邮  编：  351100          </w:t>
      </w:r>
      <w:r>
        <w:rPr>
          <w:rFonts w:hint="eastAsia" w:ascii="宋体" w:hAnsi="宋体" w:cs="宋体"/>
          <w:color w:val="auto"/>
          <w:kern w:val="0"/>
          <w:sz w:val="24"/>
          <w:highlight w:val="none"/>
        </w:rPr>
        <w:tab/>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电  话： 13599466266（微信同号）</w:t>
      </w:r>
    </w:p>
    <w:p>
      <w:pPr>
        <w:snapToGrid w:val="0"/>
        <w:spacing w:line="400" w:lineRule="exact"/>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邮  箱： 149870167@qq.com</w:t>
      </w:r>
    </w:p>
    <w:p>
      <w:pPr>
        <w:rPr>
          <w:rFonts w:ascii="宋体" w:hAnsi="宋体" w:cs="宋体"/>
          <w:b/>
          <w:color w:val="auto"/>
          <w:sz w:val="24"/>
          <w:highlight w:val="none"/>
        </w:rPr>
      </w:pPr>
      <w:r>
        <w:rPr>
          <w:rFonts w:hint="eastAsia" w:ascii="宋体" w:hAnsi="宋体" w:cs="宋体"/>
          <w:b/>
          <w:color w:val="auto"/>
          <w:sz w:val="24"/>
          <w:highlight w:val="none"/>
        </w:rPr>
        <w:br w:type="page"/>
      </w:r>
    </w:p>
    <w:p>
      <w:pPr>
        <w:autoSpaceDN w:val="0"/>
        <w:spacing w:before="75" w:after="75" w:line="360" w:lineRule="auto"/>
        <w:rPr>
          <w:rFonts w:ascii="宋体" w:hAnsi="宋体" w:cs="宋体"/>
          <w:color w:val="auto"/>
          <w:sz w:val="24"/>
          <w:highlight w:val="none"/>
        </w:rPr>
      </w:pPr>
      <w:r>
        <w:rPr>
          <w:rFonts w:hint="eastAsia" w:ascii="宋体" w:hAnsi="宋体" w:cs="宋体"/>
          <w:color w:val="auto"/>
          <w:sz w:val="24"/>
          <w:highlight w:val="none"/>
        </w:rPr>
        <w:t>附1：采购标的一览表</w:t>
      </w:r>
    </w:p>
    <w:p>
      <w:pPr>
        <w:autoSpaceDN w:val="0"/>
        <w:spacing w:before="75" w:after="75" w:line="360" w:lineRule="auto"/>
        <w:rPr>
          <w:rFonts w:ascii="宋体" w:hAnsi="宋体" w:cs="宋体"/>
          <w:color w:val="auto"/>
          <w:sz w:val="24"/>
          <w:highlight w:val="none"/>
        </w:rPr>
      </w:pPr>
      <w:r>
        <w:rPr>
          <w:rFonts w:hint="eastAsia" w:ascii="宋体" w:hAnsi="宋体" w:cs="宋体"/>
          <w:color w:val="auto"/>
          <w:sz w:val="24"/>
          <w:highlight w:val="none"/>
        </w:rPr>
        <w:t xml:space="preserve">                                                            金额单位：人民币/元</w:t>
      </w:r>
    </w:p>
    <w:tbl>
      <w:tblPr>
        <w:tblStyle w:val="23"/>
        <w:tblW w:w="8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728"/>
        <w:gridCol w:w="4505"/>
        <w:gridCol w:w="780"/>
        <w:gridCol w:w="1193"/>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90" w:hRule="atLeast"/>
          <w:jc w:val="center"/>
        </w:trPr>
        <w:tc>
          <w:tcPr>
            <w:tcW w:w="728"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合同包</w:t>
            </w:r>
          </w:p>
        </w:tc>
        <w:tc>
          <w:tcPr>
            <w:tcW w:w="4505"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品目名称（采购标的）</w:t>
            </w:r>
          </w:p>
        </w:tc>
        <w:tc>
          <w:tcPr>
            <w:tcW w:w="780"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193" w:type="dxa"/>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小计（元）</w:t>
            </w:r>
          </w:p>
        </w:tc>
        <w:tc>
          <w:tcPr>
            <w:tcW w:w="1532" w:type="dxa"/>
            <w:noWrap/>
            <w:vAlign w:val="center"/>
          </w:tcPr>
          <w:p>
            <w:pPr>
              <w:autoSpaceDN w:val="0"/>
              <w:ind w:left="0" w:leftChars="0" w:firstLine="0" w:firstLineChars="0"/>
              <w:textAlignment w:val="center"/>
              <w:rPr>
                <w:rFonts w:ascii="宋体" w:hAnsi="宋体" w:cs="宋体"/>
                <w:b/>
                <w:bCs/>
                <w:color w:val="auto"/>
                <w:sz w:val="24"/>
                <w:highlight w:val="none"/>
              </w:rPr>
            </w:pPr>
            <w:r>
              <w:rPr>
                <w:rFonts w:hint="eastAsia" w:ascii="宋体" w:hAnsi="宋体" w:cs="宋体"/>
                <w:b/>
                <w:bCs/>
                <w:color w:val="auto"/>
                <w:sz w:val="24"/>
                <w:highlight w:val="none"/>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357" w:hRule="exact"/>
          <w:jc w:val="center"/>
        </w:trPr>
        <w:tc>
          <w:tcPr>
            <w:tcW w:w="728" w:type="dxa"/>
            <w:noWrap/>
            <w:vAlign w:val="center"/>
          </w:tcPr>
          <w:p>
            <w:pPr>
              <w:pStyle w:val="19"/>
              <w:spacing w:line="360" w:lineRule="auto"/>
              <w:jc w:val="center"/>
              <w:rPr>
                <w:rFonts w:ascii="宋体" w:hAnsi="宋体" w:cs="宋体"/>
                <w:color w:val="auto"/>
                <w:sz w:val="24"/>
                <w:highlight w:val="none"/>
              </w:rPr>
            </w:pPr>
            <w:r>
              <w:rPr>
                <w:rFonts w:hint="eastAsia"/>
              </w:rPr>
              <w:t>1</w:t>
            </w:r>
          </w:p>
        </w:tc>
        <w:tc>
          <w:tcPr>
            <w:tcW w:w="4505" w:type="dxa"/>
            <w:noWrap/>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《数控机床机械装配实训》</w:t>
            </w:r>
            <w:r>
              <w:rPr>
                <w:rFonts w:hint="eastAsia" w:ascii="宋体" w:hAnsi="宋体" w:eastAsia="宋体" w:cs="宋体"/>
                <w:color w:val="auto"/>
                <w:sz w:val="24"/>
                <w:szCs w:val="24"/>
              </w:rPr>
              <w:t>精品在线开放课程建设项目（省级）</w:t>
            </w:r>
          </w:p>
        </w:tc>
        <w:tc>
          <w:tcPr>
            <w:tcW w:w="780" w:type="dxa"/>
            <w:noWrap/>
            <w:vAlign w:val="center"/>
          </w:tcPr>
          <w:p>
            <w:pPr>
              <w:pStyle w:val="1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门</w:t>
            </w:r>
          </w:p>
        </w:tc>
        <w:tc>
          <w:tcPr>
            <w:tcW w:w="1193" w:type="dxa"/>
            <w:noWrap/>
            <w:vAlign w:val="center"/>
          </w:tcPr>
          <w:p>
            <w:pPr>
              <w:pStyle w:val="1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150000</w:t>
            </w:r>
          </w:p>
        </w:tc>
        <w:tc>
          <w:tcPr>
            <w:tcW w:w="1532" w:type="dxa"/>
            <w:vMerge w:val="restart"/>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1357" w:hRule="exact"/>
          <w:jc w:val="center"/>
        </w:trPr>
        <w:tc>
          <w:tcPr>
            <w:tcW w:w="728" w:type="dxa"/>
            <w:noWrap/>
            <w:vAlign w:val="center"/>
          </w:tcPr>
          <w:p>
            <w:pPr>
              <w:pStyle w:val="19"/>
              <w:spacing w:line="360" w:lineRule="auto"/>
              <w:jc w:val="center"/>
              <w:rPr>
                <w:rFonts w:hint="eastAsia" w:ascii="宋体" w:hAnsi="宋体" w:cs="宋体"/>
                <w:color w:val="auto"/>
                <w:kern w:val="0"/>
                <w:sz w:val="18"/>
                <w:szCs w:val="18"/>
                <w:highlight w:val="none"/>
              </w:rPr>
            </w:pPr>
            <w:r>
              <w:rPr>
                <w:rFonts w:hint="eastAsia"/>
                <w:lang w:val="en-US" w:eastAsia="zh-CN"/>
              </w:rPr>
              <w:t>2</w:t>
            </w:r>
          </w:p>
        </w:tc>
        <w:tc>
          <w:tcPr>
            <w:tcW w:w="4505" w:type="dxa"/>
            <w:noWrap/>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《电气装配实训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精品在线开放课程建设项目（省级）</w:t>
            </w:r>
          </w:p>
        </w:tc>
        <w:tc>
          <w:tcPr>
            <w:tcW w:w="780" w:type="dxa"/>
            <w:noWrap/>
            <w:vAlign w:val="center"/>
          </w:tcPr>
          <w:p>
            <w:pPr>
              <w:pStyle w:val="1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门</w:t>
            </w:r>
          </w:p>
        </w:tc>
        <w:tc>
          <w:tcPr>
            <w:tcW w:w="1193" w:type="dxa"/>
            <w:noWrap/>
            <w:vAlign w:val="center"/>
          </w:tcPr>
          <w:p>
            <w:pPr>
              <w:pStyle w:val="1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150000</w:t>
            </w:r>
          </w:p>
        </w:tc>
        <w:tc>
          <w:tcPr>
            <w:tcW w:w="1532" w:type="dxa"/>
            <w:vMerge w:val="continue"/>
            <w:noWrap/>
            <w:vAlign w:val="center"/>
          </w:tcPr>
          <w:p>
            <w:pPr>
              <w:spacing w:line="360" w:lineRule="auto"/>
              <w:jc w:val="center"/>
              <w:rPr>
                <w:rFonts w:hint="eastAsia" w:ascii="宋体" w:hAnsi="宋体" w:eastAsia="宋体" w:cs="宋体"/>
                <w:color w:val="auto"/>
                <w:sz w:val="24"/>
                <w:szCs w:val="24"/>
                <w:highlight w:val="none"/>
              </w:rPr>
            </w:pPr>
          </w:p>
        </w:tc>
      </w:tr>
    </w:tbl>
    <w:p>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1、供应商可按合同包报价，对同一合同包内所有品目号内容响应必须完整。成交以合同包为单位。</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2、本次采购设有最高限价，最高限价为</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0000元，超过最高限价视为无效报价。</w:t>
      </w:r>
    </w:p>
    <w:p>
      <w:pPr>
        <w:pStyle w:val="20"/>
        <w:jc w:val="both"/>
        <w:rPr>
          <w:rFonts w:ascii="宋体" w:hAnsi="宋体" w:cs="宋体"/>
          <w:color w:val="auto"/>
          <w:highlight w:val="none"/>
        </w:rPr>
      </w:pPr>
    </w:p>
    <w:p>
      <w:pPr>
        <w:pStyle w:val="11"/>
        <w:tabs>
          <w:tab w:val="left" w:pos="8360"/>
        </w:tabs>
        <w:spacing w:line="440" w:lineRule="exact"/>
        <w:jc w:val="left"/>
        <w:rPr>
          <w:rFonts w:hAnsi="宋体" w:cs="宋体"/>
          <w:color w:val="auto"/>
          <w:sz w:val="24"/>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pStyle w:val="22"/>
        <w:ind w:left="420" w:firstLine="643"/>
        <w:rPr>
          <w:rFonts w:ascii="宋体" w:hAnsi="宋体" w:cs="宋体"/>
          <w:b/>
          <w:bCs/>
          <w:color w:val="auto"/>
          <w:sz w:val="32"/>
          <w:highlight w:val="none"/>
        </w:rPr>
      </w:pPr>
    </w:p>
    <w:p>
      <w:pPr>
        <w:pStyle w:val="22"/>
        <w:ind w:left="420" w:firstLine="643"/>
        <w:rPr>
          <w:rFonts w:ascii="宋体" w:hAnsi="宋体" w:cs="宋体"/>
          <w:b/>
          <w:bCs/>
          <w:color w:val="auto"/>
          <w:sz w:val="32"/>
          <w:highlight w:val="none"/>
        </w:rPr>
      </w:pPr>
    </w:p>
    <w:p>
      <w:pPr>
        <w:spacing w:before="312" w:beforeLines="100" w:after="312" w:afterLines="100" w:line="400" w:lineRule="exact"/>
        <w:jc w:val="center"/>
        <w:rPr>
          <w:rFonts w:ascii="宋体" w:hAnsi="宋体" w:cs="宋体"/>
          <w:b/>
          <w:bCs/>
          <w:color w:val="auto"/>
          <w:kern w:val="0"/>
          <w:sz w:val="32"/>
          <w:highlight w:val="none"/>
        </w:rPr>
      </w:pPr>
    </w:p>
    <w:p>
      <w:pPr>
        <w:rPr>
          <w:rFonts w:ascii="宋体" w:hAnsi="宋体" w:cs="宋体"/>
          <w:color w:val="auto"/>
          <w:highlight w:val="none"/>
        </w:rPr>
      </w:pPr>
      <w:r>
        <w:rPr>
          <w:rFonts w:hint="eastAsia" w:ascii="宋体" w:hAnsi="宋体" w:cs="宋体"/>
          <w:b/>
          <w:bCs/>
          <w:color w:val="auto"/>
          <w:kern w:val="0"/>
          <w:sz w:val="32"/>
          <w:highlight w:val="none"/>
        </w:rPr>
        <w:br w:type="page"/>
      </w:r>
    </w:p>
    <w:p>
      <w:pPr>
        <w:spacing w:before="312" w:beforeLines="100" w:after="312" w:afterLines="100" w:line="400" w:lineRule="exact"/>
        <w:jc w:val="center"/>
        <w:rPr>
          <w:rFonts w:ascii="宋体" w:hAnsi="宋体" w:cs="宋体"/>
          <w:b/>
          <w:color w:val="auto"/>
          <w:sz w:val="32"/>
          <w:szCs w:val="32"/>
          <w:highlight w:val="none"/>
        </w:rPr>
      </w:pPr>
      <w:r>
        <w:rPr>
          <w:rFonts w:hint="eastAsia" w:ascii="宋体" w:hAnsi="宋体" w:cs="宋体"/>
          <w:b/>
          <w:bCs/>
          <w:color w:val="auto"/>
          <w:kern w:val="0"/>
          <w:sz w:val="32"/>
          <w:highlight w:val="none"/>
        </w:rPr>
        <w:t>第二章   投标人须知前附表（表1）</w:t>
      </w:r>
    </w:p>
    <w:p>
      <w:pPr>
        <w:spacing w:line="360" w:lineRule="auto"/>
        <w:ind w:firstLine="354" w:firstLineChars="147"/>
        <w:outlineLvl w:val="1"/>
        <w:rPr>
          <w:rFonts w:ascii="宋体" w:hAnsi="宋体" w:cs="宋体"/>
          <w:b/>
          <w:color w:val="auto"/>
          <w:sz w:val="32"/>
          <w:szCs w:val="32"/>
          <w:highlight w:val="none"/>
        </w:rPr>
      </w:pPr>
      <w:r>
        <w:rPr>
          <w:rFonts w:hint="eastAsia" w:ascii="宋体" w:hAnsi="宋体" w:cs="宋体"/>
          <w:b/>
          <w:bCs/>
          <w:color w:val="auto"/>
          <w:kern w:val="0"/>
          <w:sz w:val="24"/>
          <w:highlight w:val="none"/>
        </w:rPr>
        <w:t>表1</w:t>
      </w:r>
    </w:p>
    <w:tbl>
      <w:tblPr>
        <w:tblStyle w:val="23"/>
        <w:tblW w:w="9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7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886" w:type="dxa"/>
            <w:gridSpan w:val="3"/>
            <w:vAlign w:val="center"/>
          </w:tcPr>
          <w:p>
            <w:pPr>
              <w:spacing w:line="360" w:lineRule="auto"/>
              <w:ind w:firstLine="964" w:firstLineChars="400"/>
              <w:rPr>
                <w:rFonts w:ascii="宋体" w:hAnsi="宋体" w:cs="宋体"/>
                <w:b/>
                <w:color w:val="auto"/>
                <w:sz w:val="24"/>
                <w:highlight w:val="none"/>
              </w:rPr>
            </w:pPr>
            <w:r>
              <w:rPr>
                <w:rFonts w:hint="eastAsia" w:ascii="宋体" w:hAnsi="宋体" w:cs="宋体"/>
                <w:b/>
                <w:color w:val="auto"/>
                <w:sz w:val="24"/>
                <w:highlight w:val="none"/>
              </w:rPr>
              <w:t>特别提示：</w:t>
            </w:r>
            <w:r>
              <w:rPr>
                <w:rFonts w:hint="eastAsia" w:ascii="宋体" w:hAnsi="宋体" w:cs="宋体"/>
                <w:b/>
                <w:bCs/>
                <w:color w:val="auto"/>
                <w:sz w:val="24"/>
                <w:highlight w:val="none"/>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项号</w:t>
            </w:r>
          </w:p>
        </w:tc>
        <w:tc>
          <w:tcPr>
            <w:tcW w:w="178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招标文件（第三章）</w:t>
            </w:r>
          </w:p>
        </w:tc>
        <w:tc>
          <w:tcPr>
            <w:tcW w:w="7636"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82" w:type="dxa"/>
            <w:vAlign w:val="center"/>
          </w:tcPr>
          <w:p>
            <w:pPr>
              <w:widowControl/>
              <w:spacing w:line="360" w:lineRule="auto"/>
              <w:jc w:val="center"/>
              <w:rPr>
                <w:rFonts w:ascii="宋体" w:hAnsi="宋体" w:cs="宋体"/>
                <w:color w:val="auto"/>
                <w:kern w:val="0"/>
                <w:sz w:val="24"/>
                <w:highlight w:val="none"/>
              </w:rPr>
            </w:pPr>
          </w:p>
        </w:tc>
        <w:tc>
          <w:tcPr>
            <w:tcW w:w="7636" w:type="dxa"/>
            <w:vAlign w:val="center"/>
          </w:tcPr>
          <w:p>
            <w:pPr>
              <w:widowControl/>
              <w:spacing w:line="360" w:lineRule="auto"/>
              <w:jc w:val="left"/>
              <w:rPr>
                <w:rFonts w:ascii="宋体" w:hAnsi="宋体" w:cs="宋体"/>
                <w:color w:val="auto"/>
                <w:highlight w:val="none"/>
              </w:rPr>
            </w:pPr>
            <w:r>
              <w:rPr>
                <w:rStyle w:val="27"/>
                <w:rFonts w:hint="eastAsia" w:ascii="宋体" w:hAnsi="宋体" w:cs="宋体"/>
                <w:b w:val="0"/>
                <w:color w:val="auto"/>
                <w:sz w:val="24"/>
                <w:highlight w:val="none"/>
              </w:rPr>
              <w:t>是否组织现场考察或召开开标前答疑会：</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8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投标文件的份数</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纸质投标文件：</w:t>
            </w:r>
          </w:p>
          <w:p>
            <w:pPr>
              <w:widowControl/>
              <w:numPr>
                <w:ilvl w:val="0"/>
                <w:numId w:val="1"/>
              </w:num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资格及资信证明部分的正本1份、副本1份，报价部分的正本1份、副本1份，技术商务部分的正本1份、副本1份。</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允许散装或活页装订的内容或材料：</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（1）投标文件的补充、修改或撤回；</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是否允许中标人将本项目的非主体、非关键性工作进行分包</w:t>
            </w:r>
          </w:p>
        </w:tc>
        <w:tc>
          <w:tcPr>
            <w:tcW w:w="7636" w:type="dxa"/>
            <w:vAlign w:val="center"/>
          </w:tcPr>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82" w:type="dxa"/>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密封及其标记的具体形式：</w:t>
            </w:r>
          </w:p>
          <w:p>
            <w:pPr>
              <w:widowControl/>
              <w:spacing w:line="360" w:lineRule="auto"/>
              <w:jc w:val="center"/>
              <w:rPr>
                <w:rFonts w:ascii="宋体" w:hAnsi="宋体" w:cs="宋体"/>
                <w:color w:val="auto"/>
                <w:kern w:val="0"/>
                <w:sz w:val="24"/>
                <w:highlight w:val="none"/>
              </w:rPr>
            </w:pP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（1）全部纸质投标文件（包括正本、副本及可读介质）均应密封，否则投标将被拒绝。</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（2）密封的外包装应至少标记“项目名称、招标编号、所投合同包、投标人的全称”等内容，否则造成投标文件误投、遗漏或提前拆封的，建融建设管理集团有限责任公司 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82" w:type="dxa"/>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推荐候选人</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0" w:hRule="atLeast"/>
        </w:trPr>
        <w:tc>
          <w:tcPr>
            <w:tcW w:w="468"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8</w:t>
            </w:r>
          </w:p>
        </w:tc>
        <w:tc>
          <w:tcPr>
            <w:tcW w:w="1782" w:type="dxa"/>
            <w:vAlign w:val="center"/>
          </w:tcPr>
          <w:p>
            <w:pPr>
              <w:widowControl/>
              <w:spacing w:line="360" w:lineRule="auto"/>
              <w:jc w:val="left"/>
              <w:rPr>
                <w:rFonts w:ascii="宋体" w:hAnsi="宋体" w:cs="宋体"/>
                <w:color w:val="auto"/>
                <w:kern w:val="0"/>
                <w:sz w:val="24"/>
                <w:highlight w:val="none"/>
              </w:rPr>
            </w:pPr>
            <w:r>
              <w:rPr>
                <w:rStyle w:val="27"/>
                <w:rFonts w:hint="eastAsia" w:ascii="宋体" w:hAnsi="宋体" w:cs="宋体"/>
                <w:color w:val="auto"/>
                <w:highlight w:val="none"/>
              </w:rPr>
              <w:t>本项目中标人的确定（以合同包为单位）</w:t>
            </w:r>
          </w:p>
        </w:tc>
        <w:tc>
          <w:tcPr>
            <w:tcW w:w="7636" w:type="dxa"/>
            <w:vAlign w:val="center"/>
          </w:tcPr>
          <w:p>
            <w:pPr>
              <w:pStyle w:val="19"/>
              <w:widowControl/>
              <w:spacing w:line="360" w:lineRule="auto"/>
              <w:rPr>
                <w:rFonts w:ascii="宋体" w:hAnsi="宋体" w:cs="宋体"/>
                <w:color w:val="auto"/>
                <w:highlight w:val="none"/>
              </w:rPr>
            </w:pPr>
            <w:r>
              <w:rPr>
                <w:rFonts w:hint="eastAsia" w:ascii="宋体" w:hAnsi="宋体" w:cs="宋体"/>
                <w:color w:val="auto"/>
                <w:highlight w:val="none"/>
              </w:rPr>
              <w:t>（1）采购人应在政府采购招投标管理办法规定的时限内确定中标人。</w:t>
            </w:r>
          </w:p>
          <w:p>
            <w:pPr>
              <w:pStyle w:val="19"/>
              <w:widowControl/>
              <w:spacing w:line="360" w:lineRule="auto"/>
              <w:rPr>
                <w:rFonts w:ascii="宋体" w:hAnsi="宋体" w:cs="宋体"/>
                <w:color w:val="auto"/>
                <w:highlight w:val="none"/>
              </w:rPr>
            </w:pPr>
            <w:r>
              <w:rPr>
                <w:rFonts w:hint="eastAsia" w:ascii="宋体" w:hAnsi="宋体" w:cs="宋体"/>
                <w:color w:val="auto"/>
                <w:highlight w:val="none"/>
              </w:rPr>
              <w:t>（2）若出现中标候选人并列情形，则按照下列方式确定中标人：</w:t>
            </w:r>
          </w:p>
          <w:p>
            <w:pPr>
              <w:pStyle w:val="19"/>
              <w:widowControl/>
              <w:spacing w:line="360" w:lineRule="auto"/>
              <w:rPr>
                <w:rFonts w:ascii="宋体" w:hAnsi="宋体" w:cs="宋体"/>
                <w:color w:val="auto"/>
                <w:highlight w:val="none"/>
              </w:rPr>
            </w:pPr>
            <w:r>
              <w:rPr>
                <w:rFonts w:hint="eastAsia" w:ascii="宋体" w:hAnsi="宋体" w:cs="宋体"/>
                <w:color w:val="auto"/>
                <w:highlight w:val="none"/>
              </w:rPr>
              <w:t>①招标文件规定的方式：无。</w:t>
            </w:r>
          </w:p>
          <w:p>
            <w:pPr>
              <w:pStyle w:val="19"/>
              <w:widowControl/>
              <w:spacing w:line="360" w:lineRule="auto"/>
              <w:rPr>
                <w:rFonts w:ascii="宋体" w:hAnsi="宋体" w:cs="宋体"/>
                <w:color w:val="auto"/>
                <w:highlight w:val="none"/>
              </w:rPr>
            </w:pPr>
            <w:r>
              <w:rPr>
                <w:rFonts w:hint="eastAsia" w:ascii="宋体" w:hAnsi="宋体" w:cs="宋体"/>
                <w:color w:val="auto"/>
                <w:highlight w:val="none"/>
              </w:rPr>
              <w:t>②若本款第①点规定方式为“无”，则按照下列方式确定：无。</w:t>
            </w:r>
          </w:p>
          <w:p>
            <w:pPr>
              <w:pStyle w:val="19"/>
              <w:widowControl/>
              <w:spacing w:line="360" w:lineRule="auto"/>
              <w:rPr>
                <w:rFonts w:ascii="宋体" w:hAnsi="宋体" w:cs="宋体"/>
                <w:b/>
                <w:bCs/>
                <w:color w:val="auto"/>
                <w:highlight w:val="none"/>
              </w:rPr>
            </w:pPr>
            <w:r>
              <w:rPr>
                <w:rFonts w:hint="eastAsia" w:ascii="宋体" w:hAnsi="宋体" w:cs="宋体"/>
                <w:color w:val="auto"/>
                <w:highlight w:val="none"/>
              </w:rPr>
              <w:t>③若本款第①、②点规定方式均为“无”，则按照下列方式确定：</w:t>
            </w:r>
            <w:r>
              <w:rPr>
                <w:rFonts w:hint="eastAsia" w:ascii="宋体" w:hAnsi="宋体" w:cs="宋体"/>
                <w:b/>
                <w:bCs/>
                <w:color w:val="auto"/>
                <w:highlight w:val="none"/>
              </w:rPr>
              <w:t>随机抽取。</w:t>
            </w:r>
          </w:p>
          <w:p>
            <w:pPr>
              <w:pStyle w:val="19"/>
              <w:widowControl/>
              <w:spacing w:line="360" w:lineRule="auto"/>
              <w:rPr>
                <w:rFonts w:ascii="宋体" w:hAnsi="宋体" w:cs="宋体"/>
                <w:color w:val="auto"/>
                <w:highlight w:val="none"/>
              </w:rPr>
            </w:pPr>
            <w:r>
              <w:rPr>
                <w:rFonts w:hint="eastAsia" w:ascii="宋体" w:hAnsi="宋体" w:cs="宋体"/>
                <w:color w:val="auto"/>
                <w:highlight w:val="none"/>
              </w:rPr>
              <w:t>（3）本项目确定的中标人家数：</w:t>
            </w:r>
          </w:p>
          <w:p>
            <w:pPr>
              <w:pStyle w:val="19"/>
              <w:widowControl/>
              <w:spacing w:line="360" w:lineRule="auto"/>
              <w:rPr>
                <w:rFonts w:ascii="宋体" w:hAnsi="宋体" w:cs="宋体"/>
                <w:color w:val="auto"/>
                <w:highlight w:val="none"/>
              </w:rPr>
            </w:pPr>
            <w:r>
              <w:rPr>
                <w:rFonts w:hint="eastAsia" w:ascii="宋体" w:hAnsi="宋体" w:cs="宋体"/>
                <w:color w:val="auto"/>
                <w:highlight w:val="none"/>
              </w:rPr>
              <w:t>①本项目确定合同包1中标人数为1家；</w:t>
            </w:r>
          </w:p>
          <w:p>
            <w:pPr>
              <w:widowControl/>
              <w:spacing w:line="360" w:lineRule="auto"/>
              <w:jc w:val="left"/>
              <w:rPr>
                <w:rFonts w:ascii="宋体" w:hAnsi="宋体" w:cs="宋体"/>
                <w:color w:val="auto"/>
                <w:highlight w:val="none"/>
              </w:rPr>
            </w:pPr>
            <w:r>
              <w:rPr>
                <w:rFonts w:hint="eastAsia" w:ascii="宋体" w:hAnsi="宋体" w:cs="宋体"/>
                <w:color w:val="auto"/>
                <w:sz w:val="24"/>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782" w:type="dxa"/>
            <w:vAlign w:val="center"/>
          </w:tcPr>
          <w:p>
            <w:pPr>
              <w:widowControl/>
              <w:spacing w:line="360" w:lineRule="auto"/>
              <w:rPr>
                <w:rStyle w:val="27"/>
                <w:rFonts w:ascii="宋体" w:hAnsi="宋体" w:cs="宋体"/>
                <w:color w:val="auto"/>
                <w:highlight w:val="none"/>
              </w:rPr>
            </w:pPr>
            <w:r>
              <w:rPr>
                <w:rStyle w:val="27"/>
                <w:rFonts w:hint="eastAsia" w:ascii="宋体" w:hAnsi="宋体" w:cs="宋体"/>
                <w:color w:val="auto"/>
                <w:sz w:val="24"/>
                <w:highlight w:val="none"/>
              </w:rPr>
              <w:t>质疑函原件应采用下列方式提交</w:t>
            </w:r>
          </w:p>
        </w:tc>
        <w:tc>
          <w:tcPr>
            <w:tcW w:w="7636"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招标文件的质疑</w:t>
            </w:r>
          </w:p>
          <w:p>
            <w:pPr>
              <w:widowControl/>
              <w:spacing w:line="360" w:lineRule="auto"/>
              <w:jc w:val="left"/>
              <w:rPr>
                <w:rFonts w:ascii="宋体" w:hAnsi="宋体" w:cs="宋体"/>
                <w:color w:val="auto"/>
                <w:kern w:val="0"/>
                <w:sz w:val="24"/>
                <w:highlight w:val="none"/>
              </w:rPr>
            </w:pPr>
          </w:p>
        </w:tc>
        <w:tc>
          <w:tcPr>
            <w:tcW w:w="7636" w:type="dxa"/>
            <w:vAlign w:val="center"/>
          </w:tcPr>
          <w:p>
            <w:pPr>
              <w:pStyle w:val="19"/>
              <w:widowControl/>
              <w:spacing w:line="360" w:lineRule="auto"/>
              <w:rPr>
                <w:rFonts w:ascii="宋体" w:hAnsi="宋体" w:cs="宋体"/>
                <w:color w:val="auto"/>
                <w:highlight w:val="none"/>
              </w:rPr>
            </w:pPr>
            <w:r>
              <w:rPr>
                <w:rFonts w:hint="eastAsia" w:ascii="宋体" w:hAnsi="宋体" w:cs="宋体"/>
                <w:color w:val="auto"/>
                <w:highlight w:val="none"/>
              </w:rPr>
              <w:t>（1）潜在投标人可在质疑时效期间内对招标文件以书面形式提出质疑。</w:t>
            </w:r>
          </w:p>
          <w:p>
            <w:pPr>
              <w:pStyle w:val="19"/>
              <w:widowControl/>
              <w:spacing w:line="360" w:lineRule="auto"/>
              <w:rPr>
                <w:rFonts w:ascii="宋体" w:hAnsi="宋体" w:cs="宋体"/>
                <w:color w:val="auto"/>
                <w:highlight w:val="none"/>
              </w:rPr>
            </w:pPr>
            <w:r>
              <w:rPr>
                <w:rFonts w:hint="eastAsia" w:ascii="宋体" w:hAnsi="宋体" w:cs="宋体"/>
                <w:color w:val="auto"/>
                <w:highlight w:val="none"/>
              </w:rPr>
              <w:t>（2）质疑时效期间：</w:t>
            </w:r>
          </w:p>
          <w:p>
            <w:pPr>
              <w:pStyle w:val="19"/>
              <w:widowControl/>
              <w:spacing w:line="360" w:lineRule="auto"/>
              <w:rPr>
                <w:rFonts w:ascii="宋体" w:hAnsi="宋体" w:cs="宋体"/>
                <w:color w:val="auto"/>
                <w:kern w:val="0"/>
                <w:highlight w:val="none"/>
              </w:rPr>
            </w:pPr>
            <w:r>
              <w:rPr>
                <w:rFonts w:hint="eastAsia" w:ascii="宋体" w:hAnsi="宋体" w:cs="宋体"/>
                <w:color w:val="auto"/>
                <w:highlight w:val="none"/>
              </w:rPr>
              <w:t>①在招标文件公告期限截止后至招标文件提供期限届满前的期间内：自招标文件公告期限届满之日起7个工作日内向建融建设管理集团有限责任公司 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782" w:type="dxa"/>
            <w:vAlign w:val="center"/>
          </w:tcPr>
          <w:p>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监督管理部门</w:t>
            </w:r>
          </w:p>
        </w:tc>
        <w:tc>
          <w:tcPr>
            <w:tcW w:w="76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782" w:type="dxa"/>
            <w:vAlign w:val="center"/>
          </w:tcPr>
          <w:p>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指定媒体</w:t>
            </w:r>
          </w:p>
        </w:tc>
        <w:tc>
          <w:tcPr>
            <w:tcW w:w="7636"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政府采购信息发布媒体（以下简称：“指定媒体”）：</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（1）中国政府采购网</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（2）中国采购与招标网</w:t>
            </w:r>
          </w:p>
          <w:p>
            <w:pPr>
              <w:widowControl/>
              <w:spacing w:line="360" w:lineRule="auto"/>
              <w:jc w:val="left"/>
              <w:rPr>
                <w:rFonts w:ascii="宋体" w:hAnsi="宋体" w:cs="宋体"/>
                <w:color w:val="auto"/>
                <w:highlight w:val="none"/>
              </w:rPr>
            </w:pPr>
            <w:r>
              <w:rPr>
                <w:rFonts w:hint="eastAsia" w:ascii="宋体" w:hAnsi="宋体" w:cs="宋体"/>
                <w:color w:val="auto"/>
                <w:sz w:val="24"/>
                <w:highlight w:val="none"/>
              </w:rPr>
              <w:t>（3）湄洲湾职业技术学院网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6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782"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投标保证金</w:t>
            </w:r>
          </w:p>
        </w:tc>
        <w:tc>
          <w:tcPr>
            <w:tcW w:w="7636" w:type="dxa"/>
            <w:vAlign w:val="center"/>
          </w:tcPr>
          <w:p>
            <w:pPr>
              <w:pStyle w:val="6"/>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本批招标投标保证金为人民币</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4980 \* CHINESENUM4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叁仟元</w:t>
            </w:r>
            <w:r>
              <w:rPr>
                <w:rFonts w:hint="eastAsia" w:ascii="宋体" w:hAnsi="宋体" w:cs="宋体"/>
                <w:color w:val="auto"/>
                <w:sz w:val="24"/>
                <w:highlight w:val="none"/>
              </w:rPr>
              <w:t>整</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00元)，保证金必须以</w:t>
            </w:r>
            <w:r>
              <w:rPr>
                <w:rFonts w:hint="eastAsia" w:ascii="宋体" w:hAnsi="宋体" w:cs="宋体"/>
                <w:b/>
                <w:color w:val="auto"/>
                <w:sz w:val="24"/>
                <w:highlight w:val="none"/>
              </w:rPr>
              <w:t>投标人银行帐户公对公</w:t>
            </w:r>
            <w:r>
              <w:rPr>
                <w:rFonts w:hint="eastAsia" w:ascii="宋体" w:hAnsi="宋体" w:cs="宋体"/>
                <w:color w:val="auto"/>
                <w:sz w:val="24"/>
                <w:highlight w:val="none"/>
              </w:rPr>
              <w:t>转账至：</w:t>
            </w:r>
          </w:p>
          <w:p>
            <w:pPr>
              <w:pStyle w:val="6"/>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pStyle w:val="6"/>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pStyle w:val="6"/>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帐  号：13400201040007163</w:t>
            </w:r>
          </w:p>
          <w:p>
            <w:pPr>
              <w:pStyle w:val="6"/>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以款到账户为准，不接受汇票。投标人在缴纳保证金时必须以公司的账户缴纳，不得以投标代表个人的名称缴纳。</w:t>
            </w:r>
            <w:r>
              <w:rPr>
                <w:rFonts w:hint="eastAsia" w:ascii="宋体" w:hAnsi="宋体" w:cs="宋体"/>
                <w:b/>
                <w:color w:val="auto"/>
                <w:sz w:val="24"/>
                <w:highlight w:val="none"/>
              </w:rPr>
              <w:t>保证金未按规定时间到账或提交投标保证金的汇款人名称与投标人名称不一致的，其投标将被拒绝。</w:t>
            </w:r>
          </w:p>
          <w:p>
            <w:pPr>
              <w:widowControl/>
              <w:spacing w:line="360" w:lineRule="auto"/>
              <w:jc w:val="left"/>
              <w:rPr>
                <w:rFonts w:ascii="宋体" w:hAnsi="宋体" w:cs="宋体"/>
                <w:b/>
                <w:color w:val="auto"/>
                <w:kern w:val="0"/>
                <w:sz w:val="24"/>
                <w:highlight w:val="none"/>
              </w:rPr>
            </w:pPr>
            <w:r>
              <w:rPr>
                <w:rFonts w:hint="eastAsia" w:ascii="宋体" w:hAnsi="宋体" w:cs="宋体"/>
                <w:b/>
                <w:color w:val="auto"/>
                <w:sz w:val="24"/>
                <w:highlight w:val="none"/>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782" w:type="dxa"/>
            <w:vAlign w:val="center"/>
          </w:tcPr>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招标服务费</w:t>
            </w:r>
          </w:p>
        </w:tc>
        <w:tc>
          <w:tcPr>
            <w:tcW w:w="7636" w:type="dxa"/>
            <w:vAlign w:val="center"/>
          </w:tcPr>
          <w:p>
            <w:pPr>
              <w:spacing w:line="360" w:lineRule="auto"/>
              <w:rPr>
                <w:rFonts w:ascii="宋体" w:hAnsi="宋体" w:cs="宋体"/>
                <w:color w:val="auto"/>
                <w:sz w:val="24"/>
                <w:highlight w:val="none"/>
              </w:rPr>
            </w:pPr>
            <w:r>
              <w:rPr>
                <w:rFonts w:hint="eastAsia" w:ascii="宋体" w:hAnsi="宋体" w:cs="宋体"/>
                <w:bCs/>
                <w:color w:val="auto"/>
                <w:kern w:val="0"/>
                <w:sz w:val="24"/>
                <w:highlight w:val="none"/>
              </w:rPr>
              <w:t>①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②招标服务费缴纳账户：</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spacing w:line="360" w:lineRule="auto"/>
              <w:rPr>
                <w:rFonts w:ascii="宋体" w:hAnsi="宋体" w:cs="宋体"/>
                <w:color w:val="auto"/>
                <w:sz w:val="24"/>
                <w:highlight w:val="none"/>
              </w:rPr>
            </w:pPr>
            <w:r>
              <w:rPr>
                <w:rFonts w:hint="eastAsia" w:ascii="宋体" w:hAnsi="宋体" w:cs="宋体"/>
                <w:color w:val="auto"/>
                <w:sz w:val="24"/>
                <w:highlight w:val="none"/>
              </w:rPr>
              <w:t>帐  号：13400201040007163</w:t>
            </w:r>
          </w:p>
        </w:tc>
      </w:tr>
    </w:tbl>
    <w:p>
      <w:pPr>
        <w:rPr>
          <w:rFonts w:ascii="宋体" w:hAnsi="宋体" w:cs="宋体"/>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widowControl/>
        <w:spacing w:before="75" w:after="75"/>
        <w:rPr>
          <w:rFonts w:ascii="宋体" w:hAnsi="宋体" w:cs="宋体"/>
          <w:b/>
          <w:bCs/>
          <w:color w:val="auto"/>
          <w:kern w:val="0"/>
          <w:sz w:val="32"/>
          <w:highlight w:val="none"/>
        </w:rPr>
      </w:pPr>
    </w:p>
    <w:p>
      <w:pPr>
        <w:rPr>
          <w:rFonts w:ascii="宋体" w:hAnsi="宋体" w:cs="宋体"/>
          <w:b/>
          <w:bCs/>
          <w:color w:val="auto"/>
          <w:kern w:val="0"/>
          <w:sz w:val="32"/>
          <w:highlight w:val="none"/>
        </w:rPr>
      </w:pPr>
      <w:r>
        <w:rPr>
          <w:rFonts w:hint="eastAsia" w:ascii="宋体" w:hAnsi="宋体" w:cs="宋体"/>
          <w:b/>
          <w:bCs/>
          <w:color w:val="auto"/>
          <w:kern w:val="0"/>
          <w:sz w:val="32"/>
          <w:highlight w:val="none"/>
        </w:rPr>
        <w:br w:type="page"/>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32"/>
          <w:highlight w:val="none"/>
        </w:rPr>
        <w:t>第三章   投标人须知</w:t>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一、总则</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1、适用范围</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1.1适用于招标文件载明项目的政府采购活动（以下简称：“本次采购活动”）。</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2、定义</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2.1“采购标的”指招标文件载明的需要采购的货物或服务。</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2.2“潜在投标人”指按照招标文件第一章第6条规定获取招标文件且有意向参加本项目投标的供应商。</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2.3“投标人”指按照招标文件第一章第6条规定获取招标文件并参加本项目投标的供应商。</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2.4“单位负责人”指单位法定代表人或法律、法规规定代表单位行使职权的主要负责人。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2.5“投标人代表”指投标人的单位负责人或“单位负责人授权书”中载明的接受授权方。</w:t>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二、投标人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3、合格投标人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3.1一般规定</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（2）投标人的资格要求：详见招标文件第一章。</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3.2若本项目接受联合体投标且投标人为联合体，则联合体各方应遵守本章第3.1条规定，同时还应遵守下列规定：</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（1）联合体各方应提交联合体协议，联合体协议应符合招标文件规定。</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（2）联合体各方不得再单独参加或与其他供应商另外组成联合体参加同一合同项下的投标。</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（3）联合体各方应共同与采购人签订政府采购合同，就政府采购合同约定的事项对采购人承担连带责任。</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4、投标费用</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4.1除招标文件另有规定外，投标人应自行承担其参加本项目投标所涉及的一切费用。</w:t>
      </w: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三、招标</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5、招标文件</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5.1招标文件由下述部分组成：</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（1）投标邀请</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（2）投标人须知前附表</w:t>
      </w:r>
      <w:r>
        <w:rPr>
          <w:rFonts w:hint="eastAsia" w:ascii="宋体" w:hAnsi="宋体" w:cs="宋体"/>
          <w:color w:val="auto"/>
          <w:kern w:val="0"/>
          <w:highlight w:val="none"/>
        </w:rPr>
        <w:t>（表1、2）</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（3）投标人须知</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（4）资格审查与评标</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（5）招标内容及要求</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（6）采购合同（参考文本）</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（7）投标文件格式</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（8）按照招标文件规定作为招标文件组成部分的其他内容（若有）</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5.2招标文件的澄清或修改</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（1）建融建设管理集团有限责任公司 可对已发出的招标文件进行必要的澄清或修改，但不得对招标文件载明的采购标的和投标人的资格要求进行改变。</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（2）除本章第5.2条第（3）款规定情形外，澄清或修改的内容可能影响投标文件编制的，建融建设管理集团有限责任公司 将在投标截止时间至少15个日历日前，在招标文件载明的指定媒体以更正公告的形式发布澄清或修改的内容。不足15个日历日的，建融建设管理集团有限责任公司 将顺延投标截止时间及开标时间，建融建设管理集团有限责任公司 和投标人受原投标截止时间及开标时间制约的所有权利和义务均延长至新的投标截止时间及开标时间。</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（3）澄清或修改的内容可能改变招标文件载明的采购标的和投标人的资格要求的，本次采购活动结束，建融建设管理集团有限责任公司 将依法组织后续采购活动（包括但不限于：重新招标、采用其他方式采购等）。</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6、现场考察或开标前答疑会</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6.1是否组织现场考察或召开开标前答疑会：详见招标文件第二章。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7、更正公告</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7.1若建融建设管理集团有限责任公司 发布更正公告，则更正公告及其所发布的内容或信息（包括但不限于：招标文件的澄清或修改、现场考察或答疑会的有关事宜等）</w:t>
      </w:r>
      <w:r>
        <w:rPr>
          <w:rStyle w:val="27"/>
          <w:rFonts w:hint="eastAsia" w:ascii="宋体" w:hAnsi="宋体" w:cs="宋体"/>
          <w:color w:val="auto"/>
          <w:highlight w:val="none"/>
        </w:rPr>
        <w:t>作为招标文件组成部分</w:t>
      </w:r>
      <w:r>
        <w:rPr>
          <w:rFonts w:hint="eastAsia" w:ascii="宋体" w:hAnsi="宋体" w:cs="宋体"/>
          <w:color w:val="auto"/>
          <w:highlight w:val="none"/>
        </w:rPr>
        <w:t>，对投标人具有约束力。</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7.2更正公告作为建融建设管理集团有限责任公司 通知所有潜在投标人的书面形式。</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8、终止公告</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8.1若出现因重大变故导致采购任务取消情形，建融建设管理集团有限责任公司 可终止招标并发布终止公告。</w:t>
      </w:r>
    </w:p>
    <w:p>
      <w:pPr>
        <w:pStyle w:val="19"/>
        <w:snapToGrid w:val="0"/>
        <w:spacing w:line="460" w:lineRule="exact"/>
        <w:rPr>
          <w:rFonts w:ascii="宋体" w:hAnsi="宋体" w:cs="宋体"/>
          <w:b/>
          <w:color w:val="auto"/>
          <w:kern w:val="0"/>
          <w:sz w:val="28"/>
          <w:szCs w:val="28"/>
          <w:highlight w:val="none"/>
        </w:rPr>
      </w:pPr>
      <w:r>
        <w:rPr>
          <w:rFonts w:hint="eastAsia" w:ascii="宋体" w:hAnsi="宋体" w:cs="宋体"/>
          <w:color w:val="auto"/>
          <w:highlight w:val="none"/>
        </w:rPr>
        <w:t>8.2终止公告作为建融建设管理集团有限责任公司 通知所有潜在投标人的书面形式。</w:t>
      </w: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四、投标</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9、投标</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9.1投标人可对招标文件载明的全部或部分采购包进行投标。</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9.2投标人应对同一个采购包内的所有内容进行完整投标，否则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9.3投标人代表只能接受一个投标人的授权参加投标，否则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9.4单位负责人为同一人或存在直接控股、管理关系的不同供应商，不得同时参加同一合同项下的投标，否则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9.7有下列情形之一的，视为投标人串通投标，</w:t>
      </w:r>
      <w:r>
        <w:rPr>
          <w:rStyle w:val="27"/>
          <w:rFonts w:hint="eastAsia" w:ascii="宋体" w:hAnsi="宋体" w:cs="宋体"/>
          <w:color w:val="auto"/>
          <w:highlight w:val="none"/>
        </w:rPr>
        <w:t>其投标无效：</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（1）不同投标人的投标文件由同一单位或个人编制；</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（2）不同投标人委托同一单位或个人办理投标事宜；</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（3）不同投标人的投标文件载明的项目管理成员或联系人员为同一人；</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（4）不同投标人的投标文件异常一致或投标报价呈规律性差异；</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（5）不同投标人的投标文件相互混装；</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（6）不同投标人的投标保证金从同一单位或个人的账户转出；</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（7）不同投标人的投标文件制作工具MAC地址一致。</w:t>
      </w:r>
    </w:p>
    <w:p>
      <w:pPr>
        <w:widowControl/>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（8）有关法律、法规和规章及招标文件规定的其他串通投标情形。</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10、投标文件</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10.1投标文件的编制</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（1）投标人应先仔细阅读招标文件的全部内容后，再进行投标文件的编制。</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（2）投标文件应按照本章第10.2条规定编制其组成部分。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10.2投标文件由下述部分组成：</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（1）资格及资信证明部分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①投标函</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②投标人的资格及资信证明文件</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③投标保证金</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（2）报价部分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①开标一览表</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②投标分项报价表</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③招标文件规定的价格扣除证明材料（若有）</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④招标文件规定的加分证明材料（若有）</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（3）技术商务部分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①标的说明一览表</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②技术和服务要求响应表</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③商务条件响应表</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④投标人提交的其他资料（若有）</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⑤招标文件规定作为投标文件组成部分的其他内容（若有）</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10.3投标文件的语言</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（1）除招标文件另有规定外，投标文件应使用中文文本，若有不同文本，以中文文本为准。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10.4投标文件的份数：详见招标文件第二章。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10.5投标文件的格式</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（1）除招标文件另有规定外，投标文件应使用招标文件第七章规定的格式。</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（2）除招标文件另有规定外，投标文件的正本和全部副本均应使用不能擦去的墨料或墨水打印、书写或复印，其中：</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①正本应用A4幅面纸张打印装订，编制封面（封面标明“正本”字样）、索引、页码，并用胶装装订成册。</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②副本应用A4幅面纸张打印装订，编制封面（封面标明“副本”字样）、索引、页码，并用胶装装订成册；副本可用正本的完整复印件，并与正本保持一致（若不一致，以正本为准）。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③允许散装或活页装订的内容或材料：详见招标文件第二章。</w:t>
      </w:r>
    </w:p>
    <w:p>
      <w:pPr>
        <w:pStyle w:val="19"/>
        <w:snapToGrid w:val="0"/>
        <w:spacing w:line="460" w:lineRule="exact"/>
        <w:ind w:firstLine="480"/>
        <w:rPr>
          <w:rFonts w:ascii="宋体" w:hAnsi="宋体" w:cs="宋体"/>
          <w:color w:val="auto"/>
          <w:highlight w:val="none"/>
        </w:rPr>
      </w:pPr>
      <w:r>
        <w:rPr>
          <w:rStyle w:val="27"/>
          <w:rFonts w:hint="eastAsia" w:ascii="宋体" w:hAnsi="宋体" w:cs="宋体"/>
          <w:color w:val="auto"/>
          <w:highlight w:val="none"/>
        </w:rPr>
        <w:t>※除本章第10.5条第（2）款第③点规定情形外，投标文件散装或活页装订将导致投标无效。</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（3）除招标文件另有规定外，投标文件应使用人民币作为计量货币。</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（4）除招标文件另有规定外，签署、盖章应遵守下列规定：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①投标文件应由投标人代表签字并加盖投标人的单位公章。若投标人代表为单位授权的委托代理人，应提供“单位授权书”。</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②投标文件应没有涂改或行间插字，除非这些改动是根据建融建设管理集团有限责任公司 的指示进行的，或是为改正投标人造成的应修改的错误而进行的。若有前述改动，应按照下列规定之一对改动处进行处理：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a.投标人代表签字确认；</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b.加盖投标人的单位公章或校正章。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10.6投标报价</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（1）投标报价超出最高限价将导致</w:t>
      </w:r>
      <w:r>
        <w:rPr>
          <w:rFonts w:hint="eastAsia" w:ascii="宋体" w:hAnsi="宋体" w:cs="宋体"/>
          <w:b/>
          <w:bCs/>
          <w:color w:val="auto"/>
          <w:kern w:val="0"/>
          <w:sz w:val="24"/>
          <w:highlight w:val="none"/>
        </w:rPr>
        <w:t>投标无效。</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（2）最高限价由采购人根据价格测算情况，在预算金额的额度内合理设定。最高限价不得超出预算金额。</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（3）除招标文件另有规定外，投标文件不能出现任何选择性的投标报价，即每一个采购包和品目号的采购标的都只能有一个投标报价。任何选择性的投标报价将导致</w:t>
      </w:r>
      <w:r>
        <w:rPr>
          <w:rFonts w:hint="eastAsia" w:ascii="宋体" w:hAnsi="宋体" w:cs="宋体"/>
          <w:b/>
          <w:bCs/>
          <w:color w:val="auto"/>
          <w:kern w:val="0"/>
          <w:sz w:val="24"/>
          <w:highlight w:val="none"/>
        </w:rPr>
        <w:t>投标无效。</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10.7分包</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（1）是否允许中标人将本项目的非主体、非关键性工作进行分包：详见招标文件第二章。</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（3）招标文件允许中标人将非主体、非关键性工作进行分包的项目，有下列情形之一的，中标人不得分包：</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①投标文件中未载明分包承担主体；</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②投标文件载明的分包承担主体不具备相应资质条件；</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③投标文件载明的分包承担主体拟再次分包。</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④享受中小企业扶持政策获得政府采购合同的，小微企业不得将合同分包给大中型企业，中型企业不得将合同分包给大型企业。</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10.8投标有效期</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（1）招标文件载明的投标有效期：详见招标文件第二章。</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（2）投标文件承诺的投标有效期不得少于招标文件载明的投标有效期，否则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（3）根据本次采购活动的需要，建融建设管理集团有限责任公司 可于投标有效期届满之前书面要求投标人延长投标有效期，投标人应在建融建设管理集团有限责任公司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10.9投标保证金</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（1）投标保证金作为投标人按照招标文件规定履行相应投标责任、义务的约束及担保。</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（2）投标保证金的有效期应与投标文件承诺的投标有效期保持一致，否则</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（3）提交</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①投标人应从其银行账户</w:t>
      </w:r>
      <w:r>
        <w:rPr>
          <w:rStyle w:val="27"/>
          <w:rFonts w:hint="eastAsia" w:ascii="宋体" w:hAnsi="宋体" w:cs="宋体"/>
          <w:color w:val="auto"/>
          <w:highlight w:val="none"/>
        </w:rPr>
        <w:t>（基本存款账户）</w:t>
      </w:r>
      <w:r>
        <w:rPr>
          <w:rFonts w:hint="eastAsia" w:ascii="宋体" w:hAnsi="宋体" w:cs="宋体"/>
          <w:color w:val="auto"/>
          <w:highlight w:val="none"/>
        </w:rPr>
        <w:t>按照下列方式：</w:t>
      </w:r>
      <w:r>
        <w:rPr>
          <w:rStyle w:val="27"/>
          <w:rFonts w:hint="eastAsia" w:ascii="宋体" w:hAnsi="宋体" w:cs="宋体"/>
          <w:color w:val="auto"/>
          <w:highlight w:val="none"/>
        </w:rPr>
        <w:t>公对公转账方式</w:t>
      </w:r>
      <w:r>
        <w:rPr>
          <w:rFonts w:hint="eastAsia" w:ascii="宋体" w:hAnsi="宋体" w:cs="宋体"/>
          <w:color w:val="auto"/>
          <w:highlight w:val="none"/>
        </w:rPr>
        <w:t>向招标文件载明的投标保证金账户提交投标保证金，具体金额详见招标文件</w:t>
      </w:r>
      <w:r>
        <w:rPr>
          <w:rFonts w:hint="eastAsia" w:ascii="宋体" w:hAnsi="宋体" w:cs="宋体"/>
          <w:color w:val="auto"/>
          <w:kern w:val="0"/>
          <w:highlight w:val="none"/>
        </w:rPr>
        <w:t>第一章</w:t>
      </w:r>
      <w:r>
        <w:rPr>
          <w:rFonts w:hint="eastAsia" w:ascii="宋体" w:hAnsi="宋体" w:cs="宋体"/>
          <w:color w:val="auto"/>
          <w:highlight w:val="none"/>
        </w:rPr>
        <w:t>。</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 xml:space="preserve">②投标保证金应于投标截止时间前到达招标文件载明的投标保证金账户，否则视为投标保证金未提交；是否到达按照下列方式认定：以招标文件指定保证金账户到账时间为准。 </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③若本项目接受联合体投标且投标人为联合体，则联合体中的牵头方应按照本章第10.9条第（3）款第①、②点规定提交投标保证金。</w:t>
      </w:r>
    </w:p>
    <w:p>
      <w:pPr>
        <w:pStyle w:val="19"/>
        <w:snapToGrid w:val="0"/>
        <w:spacing w:line="460" w:lineRule="exact"/>
        <w:rPr>
          <w:rFonts w:ascii="宋体" w:hAnsi="宋体" w:cs="宋体"/>
          <w:color w:val="auto"/>
          <w:highlight w:val="none"/>
        </w:rPr>
      </w:pPr>
      <w:r>
        <w:rPr>
          <w:rStyle w:val="27"/>
          <w:rFonts w:hint="eastAsia" w:ascii="宋体" w:hAnsi="宋体" w:cs="宋体"/>
          <w:color w:val="auto"/>
          <w:highlight w:val="none"/>
        </w:rPr>
        <w:t>※除招标文件另有规定外，未按照上述规定提交投标保证金将导致资格审查不合格。</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（4）退还</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①在投标截止时间前撤回已提交的投标文件的投标人，其投标保证金将在建融建设管理集团有限责任公司 收到投标人书面撤回通知之日起5个工作日内退回原账户。</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②未中标人的投标保证金将在中标通知书发出之日起5个工作日内退回原账户。</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③中标人的投标保证金将在政府采购合同签订之日起5个工作日内退回原账户；</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④终止招标的，建融建设管理集团有限责任公司 将在终止公告发布之日起5个工作日内退回已收取的投标保证金及其在银行产生的孳息。</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⑤除招标文件另有规定外，质疑或投诉涉及的投标人，若投标保证金尚未退还，则待质疑或投诉处理完毕后不计利息原额退还。</w:t>
      </w:r>
    </w:p>
    <w:p>
      <w:pPr>
        <w:pStyle w:val="19"/>
        <w:snapToGrid w:val="0"/>
        <w:spacing w:line="460" w:lineRule="exact"/>
        <w:ind w:firstLine="480"/>
        <w:rPr>
          <w:rFonts w:ascii="宋体" w:hAnsi="宋体" w:cs="宋体"/>
          <w:color w:val="auto"/>
          <w:highlight w:val="none"/>
        </w:rPr>
      </w:pPr>
      <w:r>
        <w:rPr>
          <w:rStyle w:val="27"/>
          <w:rFonts w:hint="eastAsia" w:ascii="宋体" w:hAnsi="宋体" w:cs="宋体"/>
          <w:color w:val="auto"/>
          <w:highlight w:val="none"/>
        </w:rPr>
        <w:t>※本章第10.9条第（4）款第①、②、③点规定的投标保证金退还时限不包括因投标人自身原因导致无法及时退还而增加的时间。</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（6）有下列情形之一的，投标保证金将不予退还：</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①投标人串通投标；</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②投标人提供虚假材料；</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③投标人采取不正当手段诋毁、排挤其他投标人；</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④投标截止时间后，投标人在投标有效期内撤销投标文件；</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⑤招标文件规定的其他不予退还情形；</w:t>
      </w:r>
    </w:p>
    <w:p>
      <w:pPr>
        <w:pStyle w:val="19"/>
        <w:snapToGrid w:val="0"/>
        <w:spacing w:line="460" w:lineRule="exact"/>
        <w:ind w:firstLine="480"/>
        <w:rPr>
          <w:rStyle w:val="27"/>
          <w:rFonts w:ascii="宋体" w:hAnsi="宋体" w:cs="宋体"/>
          <w:color w:val="auto"/>
          <w:highlight w:val="none"/>
        </w:rPr>
      </w:pPr>
      <w:r>
        <w:rPr>
          <w:rStyle w:val="27"/>
          <w:rFonts w:hint="eastAsia" w:ascii="宋体" w:hAnsi="宋体" w:cs="宋体"/>
          <w:color w:val="auto"/>
          <w:highlight w:val="none"/>
        </w:rPr>
        <w:t>⑥中标人有下列情形之一的：</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a.除不可抗力外，因中标人自身原因未在中标通知书要求的期限内与采购人签订政府采购合同；</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b.未按照招标文件、投标文件的约定签订政府采购合同或提交履约保证金。</w:t>
      </w:r>
    </w:p>
    <w:p>
      <w:pPr>
        <w:pStyle w:val="19"/>
        <w:snapToGrid w:val="0"/>
        <w:spacing w:line="460" w:lineRule="exact"/>
        <w:ind w:firstLine="480"/>
        <w:rPr>
          <w:rFonts w:ascii="宋体" w:hAnsi="宋体" w:cs="宋体"/>
          <w:color w:val="auto"/>
          <w:highlight w:val="none"/>
        </w:rPr>
      </w:pPr>
      <w:r>
        <w:rPr>
          <w:rStyle w:val="27"/>
          <w:rFonts w:hint="eastAsia" w:ascii="宋体" w:hAnsi="宋体" w:cs="宋体"/>
          <w:color w:val="auto"/>
          <w:highlight w:val="none"/>
        </w:rPr>
        <w:t>※若上述投标保证金不予退还情形给采购人（采购代理机构）造成损失，则投标人还要承担相应的赔偿责任。</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10.10投标文件的提交</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（1）一个投标人只能提交一个投标文件，并按照招标文件第一章规定将其送达。</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（2）密封及其标记的具体形式：详见招标文件第二章。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10.11投标文件的补充、修改或撤回</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（1）投标截止时间前，投标人可对所提交的投标文件进行补充、修改或撤回，并书面通知建融建设管理集团有限责任公司 。</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（2）补充、修改的内容应按照本章第10.5条第（4）款规定进行签署、盖章，并按照本章第10.10条规定提交，</w:t>
      </w:r>
      <w:r>
        <w:rPr>
          <w:rStyle w:val="27"/>
          <w:rFonts w:hint="eastAsia" w:ascii="宋体" w:hAnsi="宋体" w:cs="宋体"/>
          <w:color w:val="auto"/>
          <w:highlight w:val="none"/>
        </w:rPr>
        <w:t>否则将被拒收。</w:t>
      </w:r>
    </w:p>
    <w:p>
      <w:pPr>
        <w:pStyle w:val="19"/>
        <w:snapToGrid w:val="0"/>
        <w:spacing w:line="460" w:lineRule="exact"/>
        <w:ind w:firstLine="480"/>
        <w:rPr>
          <w:rFonts w:ascii="宋体" w:hAnsi="宋体" w:cs="宋体"/>
          <w:color w:val="auto"/>
          <w:highlight w:val="none"/>
        </w:rPr>
      </w:pPr>
      <w:r>
        <w:rPr>
          <w:rStyle w:val="27"/>
          <w:rFonts w:hint="eastAsia" w:ascii="宋体" w:hAnsi="宋体" w:cs="宋体"/>
          <w:color w:val="auto"/>
          <w:highlight w:val="none"/>
        </w:rPr>
        <w:t>※按照上述规定提交的补充、修改内容作为投标文件组成部分。</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10.12除招标文件另有规定外，有下列情形之一的，</w:t>
      </w:r>
      <w:r>
        <w:rPr>
          <w:rStyle w:val="27"/>
          <w:rFonts w:hint="eastAsia" w:ascii="宋体" w:hAnsi="宋体" w:cs="宋体"/>
          <w:color w:val="auto"/>
          <w:highlight w:val="none"/>
        </w:rPr>
        <w:t>投标无效</w:t>
      </w:r>
      <w:r>
        <w:rPr>
          <w:rFonts w:hint="eastAsia" w:ascii="宋体" w:hAnsi="宋体" w:cs="宋体"/>
          <w:color w:val="auto"/>
          <w:highlight w:val="none"/>
        </w:rPr>
        <w:t>：</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（1）投标文件未按照招标文件要求签署、盖章；</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（2）不符合招标文件中规定的资格要求；</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（3）投标报价超过招标文件中规定的预算金额或最高限价；</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（4）投标文件含有采购人不能接受的附加条件；</w:t>
      </w:r>
    </w:p>
    <w:p>
      <w:pPr>
        <w:pStyle w:val="19"/>
        <w:snapToGrid w:val="0"/>
        <w:spacing w:line="460" w:lineRule="exact"/>
        <w:ind w:firstLine="480"/>
        <w:rPr>
          <w:rStyle w:val="27"/>
          <w:rFonts w:ascii="宋体" w:hAnsi="宋体" w:cs="宋体"/>
          <w:color w:val="auto"/>
          <w:highlight w:val="none"/>
        </w:rPr>
      </w:pPr>
      <w:r>
        <w:rPr>
          <w:rFonts w:hint="eastAsia" w:ascii="宋体" w:hAnsi="宋体" w:cs="宋体"/>
          <w:color w:val="auto"/>
          <w:highlight w:val="none"/>
        </w:rPr>
        <w:t>（5）有关法律、法规和规章及招标文件规定的其他无效情形。</w:t>
      </w: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五、开标</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11、开标</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11.1建融建设管理集团有限责任公司 将在招标文件载明的开标时间及地点主持召开开标会，并邀请投标人参加。</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11.2开标会的主持人、唱标人、记录人及其他工作人员（若有）均由</w:t>
      </w:r>
      <w:r>
        <w:rPr>
          <w:rFonts w:hint="eastAsia" w:ascii="宋体" w:hAnsi="宋体" w:cs="宋体"/>
          <w:color w:val="auto"/>
          <w:kern w:val="0"/>
          <w:sz w:val="24"/>
          <w:highlight w:val="none"/>
          <w:u w:val="single"/>
        </w:rPr>
        <w:t xml:space="preserve">建融建设管理集团有限责任公司 </w:t>
      </w:r>
      <w:r>
        <w:rPr>
          <w:rFonts w:hint="eastAsia" w:ascii="宋体" w:hAnsi="宋体" w:cs="宋体"/>
          <w:color w:val="auto"/>
          <w:kern w:val="0"/>
          <w:sz w:val="24"/>
          <w:highlight w:val="none"/>
        </w:rPr>
        <w:t>派出，现场监督人员（若有）可由有关方面派出。</w:t>
      </w:r>
    </w:p>
    <w:p>
      <w:pPr>
        <w:widowControl/>
        <w:snapToGrid w:val="0"/>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11.3参加现场开标会的投标人应签到。</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11.4开标会应遵守下列规定：</w:t>
      </w:r>
    </w:p>
    <w:p>
      <w:pPr>
        <w:pStyle w:val="19"/>
        <w:snapToGrid w:val="0"/>
        <w:spacing w:line="460" w:lineRule="exact"/>
        <w:ind w:firstLine="480" w:firstLineChars="200"/>
        <w:rPr>
          <w:rFonts w:ascii="宋体" w:hAnsi="宋体" w:cs="宋体"/>
          <w:color w:val="auto"/>
          <w:highlight w:val="none"/>
        </w:rPr>
      </w:pPr>
      <w:r>
        <w:rPr>
          <w:rFonts w:hint="eastAsia" w:ascii="宋体" w:hAnsi="宋体" w:cs="宋体"/>
          <w:color w:val="auto"/>
          <w:highlight w:val="none"/>
        </w:rPr>
        <w:t>（1）首先由主持人宣布开标会须知，然后由投标人代表对投标文件的密封情况进行检查，经确认无误后，由工作人员对密封的投标文件当众拆封。</w:t>
      </w:r>
    </w:p>
    <w:p>
      <w:pPr>
        <w:pStyle w:val="19"/>
        <w:snapToGrid w:val="0"/>
        <w:spacing w:line="460" w:lineRule="exact"/>
        <w:ind w:firstLine="480" w:firstLineChars="200"/>
        <w:rPr>
          <w:rFonts w:ascii="宋体" w:hAnsi="宋体" w:cs="宋体"/>
          <w:color w:val="auto"/>
          <w:highlight w:val="none"/>
        </w:rPr>
      </w:pPr>
      <w:r>
        <w:rPr>
          <w:rFonts w:hint="eastAsia" w:ascii="宋体" w:hAnsi="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（3）记录人对唱标人宣布的内容作开标记录。</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（6）若投标人未参加开标会（包括但不限于投标人派出的人员不是投标人代表），视同其对开标过程和开标记录予以认可。</w:t>
      </w:r>
    </w:p>
    <w:p>
      <w:pPr>
        <w:pStyle w:val="19"/>
        <w:snapToGrid w:val="0"/>
        <w:spacing w:line="460" w:lineRule="exact"/>
        <w:ind w:firstLine="480"/>
        <w:rPr>
          <w:rFonts w:ascii="宋体" w:hAnsi="宋体" w:cs="宋体"/>
          <w:color w:val="auto"/>
          <w:highlight w:val="none"/>
        </w:rPr>
      </w:pPr>
      <w:r>
        <w:rPr>
          <w:rStyle w:val="27"/>
          <w:rFonts w:hint="eastAsia" w:ascii="宋体" w:hAnsi="宋体" w:cs="宋体"/>
          <w:color w:val="auto"/>
          <w:highlight w:val="none"/>
        </w:rPr>
        <w:t>※若出现本章第11.4条第（4）、（5）、（6）款规定情形之一</w:t>
      </w:r>
      <w:r>
        <w:rPr>
          <w:rFonts w:hint="eastAsia" w:ascii="宋体" w:hAnsi="宋体" w:cs="宋体"/>
          <w:color w:val="auto"/>
          <w:highlight w:val="none"/>
        </w:rPr>
        <w:t>，</w:t>
      </w:r>
      <w:r>
        <w:rPr>
          <w:rStyle w:val="27"/>
          <w:rFonts w:hint="eastAsia" w:ascii="宋体" w:hAnsi="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highlight w:val="none"/>
        </w:rPr>
        <w:t xml:space="preserve">建融建设管理集团有限责任公司 </w:t>
      </w:r>
      <w:r>
        <w:rPr>
          <w:rStyle w:val="27"/>
          <w:rFonts w:hint="eastAsia" w:ascii="宋体" w:hAnsi="宋体" w:cs="宋体"/>
          <w:color w:val="auto"/>
          <w:highlight w:val="none"/>
        </w:rPr>
        <w:t>提出任何疑义或要求（包括质疑）。</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11.5投标截止时间后，参加投标的投标人不足三家的，不进行开标。同时，本次采购活动结束，建融建设管理集团有限责任公司 将依法组织后续采购活动（包括但不限于：重新招标、采用其他方式采购等）。</w:t>
      </w:r>
    </w:p>
    <w:p>
      <w:pPr>
        <w:pStyle w:val="19"/>
        <w:snapToGrid w:val="0"/>
        <w:spacing w:line="460" w:lineRule="exact"/>
        <w:rPr>
          <w:rFonts w:ascii="宋体" w:hAnsi="宋体" w:cs="宋体"/>
          <w:color w:val="auto"/>
          <w:highlight w:val="none"/>
        </w:rPr>
      </w:pPr>
      <w:r>
        <w:rPr>
          <w:rFonts w:hint="eastAsia" w:ascii="宋体" w:hAnsi="宋体" w:cs="宋体"/>
          <w:color w:val="auto"/>
          <w:kern w:val="0"/>
          <w:highlight w:val="none"/>
        </w:rPr>
        <w:t>11.6投标截止时间后撤销投标的处理</w:t>
      </w:r>
      <w:r>
        <w:rPr>
          <w:rFonts w:hint="eastAsia" w:ascii="宋体" w:hAnsi="宋体" w:cs="宋体"/>
          <w:color w:val="auto"/>
          <w:kern w:val="0"/>
          <w:highlight w:val="none"/>
        </w:rPr>
        <w:br w:type="textWrapping"/>
      </w:r>
      <w:r>
        <w:rPr>
          <w:rFonts w:hint="eastAsia" w:ascii="宋体" w:hAnsi="宋体" w:cs="宋体"/>
          <w:color w:val="auto"/>
          <w:kern w:val="0"/>
          <w:highlight w:val="none"/>
        </w:rPr>
        <w:t>  投标截止时间后，投标人在投标有效期内撤销投标的，其撤销投标的行为无效。   </w:t>
      </w: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六、中标与政府采购合同</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12、中标</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12.1本项目推荐的中标候选人家数：详见招标文件第二章。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12.2本项目中标人的确定：详见招标文件第二章。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12.3中标公告</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（1）中标人确定之日起2个工作日内，</w:t>
      </w:r>
      <w:r>
        <w:rPr>
          <w:rFonts w:hint="eastAsia" w:ascii="宋体" w:hAnsi="宋体" w:cs="宋体"/>
          <w:color w:val="auto"/>
          <w:kern w:val="0"/>
          <w:sz w:val="24"/>
          <w:highlight w:val="none"/>
          <w:u w:val="single"/>
        </w:rPr>
        <w:t xml:space="preserve">建融建设管理集团有限责任公司 </w:t>
      </w:r>
      <w:r>
        <w:rPr>
          <w:rFonts w:hint="eastAsia" w:ascii="宋体" w:hAnsi="宋体" w:cs="宋体"/>
          <w:color w:val="auto"/>
          <w:kern w:val="0"/>
          <w:sz w:val="24"/>
          <w:highlight w:val="none"/>
        </w:rPr>
        <w:t>将在招标文件载明的指定媒体以中标公告的形式发布中标结果。</w:t>
      </w:r>
    </w:p>
    <w:p>
      <w:pPr>
        <w:widowControl/>
        <w:snapToGrid w:val="0"/>
        <w:spacing w:line="46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（2）中标公告的公告期限为1个工作日。</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12.4中标通知书</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（1）中标公告发布的同时，建融建设管理集团有限责任公司 将向中标人发出中标通知书。</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（2）中标通知书发出后，采购人不得违法改变中标结果，中标人无正当理由不得放弃中标。</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13、政府采购合同</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13.2签订时限：</w:t>
      </w:r>
      <w:r>
        <w:rPr>
          <w:rFonts w:hint="eastAsia" w:ascii="宋体" w:hAnsi="宋体" w:cs="宋体"/>
          <w:b/>
          <w:bCs/>
          <w:color w:val="auto"/>
          <w:highlight w:val="none"/>
        </w:rPr>
        <w:t>自中标通知书发出之日起30个工作日内。</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13.3政府采购合同的履行、违约责任和解决争议的方法等适用</w:t>
      </w:r>
      <w:r>
        <w:rPr>
          <w:rFonts w:hint="eastAsia" w:ascii="宋体" w:hAnsi="宋体" w:cs="宋体"/>
          <w:color w:val="auto"/>
          <w:kern w:val="0"/>
          <w:highlight w:val="none"/>
        </w:rPr>
        <w:t>民法典</w:t>
      </w:r>
      <w:r>
        <w:rPr>
          <w:rFonts w:hint="eastAsia" w:ascii="宋体" w:hAnsi="宋体" w:cs="宋体"/>
          <w:color w:val="auto"/>
          <w:highlight w:val="none"/>
        </w:rPr>
        <w:t>。</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13.4采购人与中标人应根据政府采购合同的约定依法履行合同义务。</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13.5政府采购合同履行过程中，采购人若需追加与合同标的相同的货物或服务，则追加采购金额不得超过原合同采购金额的10%。</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13.6中标人在政府采购合同履行过程中应遵守有关法律、法规和规章的强制性规定（即使前述强制性规定有可能在招标文件中未予列明）。</w:t>
      </w:r>
    </w:p>
    <w:p>
      <w:pPr>
        <w:pStyle w:val="19"/>
        <w:snapToGrid w:val="0"/>
        <w:spacing w:line="460" w:lineRule="exact"/>
        <w:rPr>
          <w:rFonts w:ascii="宋体" w:hAnsi="宋体" w:cs="宋体"/>
          <w:color w:val="auto"/>
          <w:highlight w:val="none"/>
        </w:rPr>
      </w:pP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七、询问、质疑与投诉</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14、询问</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14.1潜在投标人或投标人对本次采购活动的有关事项若有疑问，可向建融建设管理集团有限责任公司 提出询问，建融建设管理集团有限责任公司 将按照政府采购法及实施条例的有关规定进行答复。</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15、质疑</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15.1</w:t>
      </w:r>
      <w:r>
        <w:rPr>
          <w:rFonts w:hint="eastAsia" w:ascii="宋体" w:hAnsi="宋体" w:cs="宋体"/>
          <w:color w:val="auto"/>
          <w:kern w:val="0"/>
          <w:highlight w:val="none"/>
        </w:rPr>
        <w:t>针对同一采购程序环节的质疑应在政府采购法及实施条例的时限内一次性提出，对一个项目的不同采购包提出质疑的，应当将各采购包质疑事项集中在一份质疑函中提出，并同时符合下列条件：</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（1）对招标文件提出质疑的，质疑人应为潜在投标人，且两者的身份、名称等均应保持一致。对采购过程、结果提出质疑的，质疑人应为投标人，且两者的身份、名称等均应保持一致。</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（2）质疑人应按照招标文件第二章规定方式提交质疑函。</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（3）质疑函应包括下列主要内容：</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①质疑人的基本信息，至少包括：全称、地址、邮政编码等；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②所质疑项目的基本信息，至少包括：项目编号、项目名称等；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③所质疑的具体事项（以下简称：“质疑事项”）；</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④针对质疑事项提出的明确请求，前述明确请求指质疑人提出质疑的目的以及希望建融建设管理集团有限责任公司 对其质疑作出的处理结果，如：暂停招标投标活动、修改招标文件、停止或纠正违法违规行为、中标结果无效、废标、重新招标等；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⑤针对质疑事项导致质疑人自身权益受到损害的必要证明材料，至少包括：</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a.质疑人代表的身份证明材料：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a2若本项目接受自然人投标且质疑人为自然人的，提供本人的身份证复印件。</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b.其他证明材料（即事实依据和必要的法律依据）包括但不限于下列材料：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b1所质疑的具体事项是与自已有利害关系的证明材料；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b2质疑函所述事实存在的证明材料，如：采购文件、采购过程或中标结果违法违规或不符合采购文件要求等证明材料；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b3依法应终止采购程序的证明材料；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b4应重新采购的证明材料；</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b5采购文件、采购过程或中标、成交结果损害自已合法权益的证明材料等；</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cs="宋体"/>
          <w:b/>
          <w:bCs/>
          <w:color w:val="auto"/>
          <w:kern w:val="0"/>
          <w:sz w:val="24"/>
          <w:highlight w:val="none"/>
        </w:rPr>
        <w:t>视为无效</w:t>
      </w:r>
      <w:r>
        <w:rPr>
          <w:rFonts w:hint="eastAsia" w:ascii="宋体" w:hAnsi="宋体" w:cs="宋体"/>
          <w:color w:val="auto"/>
          <w:kern w:val="0"/>
          <w:sz w:val="24"/>
          <w:highlight w:val="none"/>
        </w:rPr>
        <w:t>）。</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⑥质疑人代表及其联系方法的信息，至少包括：姓名、手机、电子信箱、邮寄地址等。</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⑦提出质疑的日期。</w:t>
      </w:r>
    </w:p>
    <w:p>
      <w:pPr>
        <w:widowControl/>
        <w:snapToGrid w:val="0"/>
        <w:spacing w:line="460" w:lineRule="exact"/>
        <w:ind w:firstLine="369"/>
        <w:jc w:val="left"/>
        <w:rPr>
          <w:rFonts w:ascii="宋体" w:hAnsi="宋体" w:cs="宋体"/>
          <w:color w:val="auto"/>
          <w:kern w:val="0"/>
          <w:sz w:val="24"/>
          <w:highlight w:val="none"/>
        </w:rPr>
      </w:pPr>
      <w:r>
        <w:rPr>
          <w:rFonts w:hint="eastAsia" w:ascii="宋体" w:hAnsi="宋体" w:cs="宋体"/>
          <w:b/>
          <w:bCs/>
          <w:color w:val="auto"/>
          <w:kern w:val="0"/>
          <w:sz w:val="24"/>
          <w:highlight w:val="none"/>
        </w:rPr>
        <w:t>※质疑人为法人或其他组织的，质疑函应由单位负责人或委托代理人签字或盖章，并加盖投标人的单位公章。质疑人为自然人的，质疑函应由本人签字。</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15.2对不符合本章第15.1条规定的质疑，将按照下列规定进行处理：</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（1）不符合其中第（1）、（2）条规定的，书面告知质疑人不予受理及其理由。</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（2）不符合其中第（3）条规定的，书面告知质疑人修改、补充后在规定时限内重新提交质疑函。</w:t>
      </w:r>
    </w:p>
    <w:p>
      <w:pPr>
        <w:widowControl/>
        <w:snapToGrid w:val="0"/>
        <w:spacing w:line="460" w:lineRule="exact"/>
        <w:jc w:val="left"/>
        <w:rPr>
          <w:rFonts w:ascii="宋体" w:hAnsi="宋体" w:cs="宋体"/>
          <w:color w:val="auto"/>
          <w:highlight w:val="none"/>
        </w:rPr>
      </w:pPr>
      <w:r>
        <w:rPr>
          <w:rFonts w:hint="eastAsia" w:ascii="宋体" w:hAnsi="宋体" w:cs="宋体"/>
          <w:color w:val="auto"/>
          <w:kern w:val="0"/>
          <w:sz w:val="24"/>
          <w:highlight w:val="none"/>
        </w:rPr>
        <w:t>15.3对符合本章第15.1条规定的质疑，将按照政府采购法及实施条例、政府采购质疑和投诉办法的有关规定进行答复。</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15.4招标文件的质疑：详见招标文件第二章。</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16、投诉</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16.2投诉应有明确的请求和必要的证明材料，投诉的事项不得超出已质疑事项的范围。</w:t>
      </w:r>
    </w:p>
    <w:p>
      <w:pPr>
        <w:pStyle w:val="19"/>
        <w:snapToGrid w:val="0"/>
        <w:spacing w:line="460" w:lineRule="exact"/>
        <w:rPr>
          <w:rFonts w:ascii="宋体" w:hAnsi="宋体" w:cs="宋体"/>
          <w:color w:val="auto"/>
          <w:highlight w:val="none"/>
        </w:rPr>
      </w:pP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八、政府采购政策</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17、政府采购政策由财政部根据国家的经济和社会发展政策并会同国家有关部委制定，包括但不限于下列具体政策要求：</w:t>
      </w:r>
    </w:p>
    <w:p>
      <w:pPr>
        <w:pStyle w:val="19"/>
        <w:snapToGrid w:val="0"/>
        <w:spacing w:line="460" w:lineRule="exact"/>
        <w:rPr>
          <w:rFonts w:ascii="宋体" w:hAnsi="宋体" w:cs="宋体"/>
          <w:color w:val="auto"/>
          <w:highlight w:val="none"/>
        </w:rPr>
      </w:pPr>
      <w:r>
        <w:rPr>
          <w:rFonts w:hint="eastAsia" w:ascii="宋体" w:hAnsi="宋体" w:cs="宋体"/>
          <w:color w:val="auto"/>
          <w:highlight w:val="none"/>
        </w:rPr>
        <w:t>17.1进口产品指通过中国海关报关验放进入中国境内且产自关境外的产品，其中：</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（2）凡在海关特殊监管区域内企业生产或加工（包括从境外进口料件）销往境内其他地区的产品，不作为政府采购项下进口产品。</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（3）对从境外进入海关特殊监管区域，再经办理报关手续后从海关特殊监管区进入境内其他地区的产品，认定为进口产品。</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（4）招标文件列明不允许或未列明允许进口产品参加投标的，均视为拒绝进口产品参加投标。</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（1）中小企业指符合下列条件的中型、小型、微型企业：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②符合中小企业划分标准的个体工商户，在政府采购活动中视同中小企业。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（2）在政府采购活动中，供应商提供的货物、工程或者服务符合下列情形的，享受本办法规定的中小企业扶持政策：</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①在货物采购项目中，货物由中小企业制造，即货物由中小企业生产且使用该中小企业商号或者注册商标；</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②在工程采购项目中，工程由中小企业承建，即工程施工单位为中小企业；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③在服务采购项目中，服务由中小企业承接，即提供服务的人员为中小企业依照《中华人民共和国劳动合同法》 订立劳动合同的从业人员。</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 xml:space="preserve">在货物采购项目中，供应商提供的货物既有中小企业制造货物，也有大型企业制造货物的，不享受本办法规定的中小企业扶持政策。 </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①监狱企业参加采购活动时，应提供由省级以上监狱管理局、戒毒管理局（含新疆生产建设兵团）出具的属于监狱企业的证明文件。</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②监狱企业视同小型、微型企业。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（4）残疾人福利性单位指同时符合下列条件的单位：</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①安置的残疾人占本单位在职职工人数的比例不低于25%（含25%），并且安置的残疾人人数不少于10人（含10人）；</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②依法与安置的每位残疾人签订了一年以上（含一年）的劳动合同或服务协议；</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③为安置的每位残疾人按月足额缴纳了基本养老保险、基本医疗保险、失业保险、工伤保险和生育保险等社会保险费；</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④通过银行等金融机构向安置的每位残疾人，按月支付了不低于单位所在区县适用的经省级人民政府批准的月最低工资标准的工资；</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⑤提供本单位制造的货物、承担的工程或服务，或提供其他残疾人福利性单位制造的货物（不包括使用非残疾人福利性单位注册商标的货物）。</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17.5信用记录指由财政部确定的有关网站提供的相关主体信用信息。信用记录的查询及使用应符合财政部文件（财库[2016]125号）规定。</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17.6为落实政府采购政策需满足的要求：详见招标文件第一章。</w:t>
      </w:r>
    </w:p>
    <w:p>
      <w:pPr>
        <w:widowControl/>
        <w:snapToGrid w:val="0"/>
        <w:spacing w:line="460" w:lineRule="exact"/>
        <w:jc w:val="left"/>
        <w:rPr>
          <w:rFonts w:ascii="宋体" w:hAnsi="宋体" w:cs="宋体"/>
          <w:b/>
          <w:color w:val="auto"/>
          <w:sz w:val="24"/>
          <w:highlight w:val="none"/>
        </w:rPr>
      </w:pPr>
      <w:r>
        <w:rPr>
          <w:rFonts w:hint="eastAsia" w:ascii="宋体" w:hAnsi="宋体" w:cs="宋体"/>
          <w:color w:val="auto"/>
          <w:kern w:val="0"/>
          <w:sz w:val="24"/>
          <w:highlight w:val="none"/>
        </w:rPr>
        <w:t> </w:t>
      </w:r>
    </w:p>
    <w:p>
      <w:pPr>
        <w:pStyle w:val="19"/>
        <w:snapToGrid w:val="0"/>
        <w:spacing w:line="460" w:lineRule="exact"/>
        <w:jc w:val="center"/>
        <w:rPr>
          <w:rFonts w:ascii="宋体" w:hAnsi="宋体" w:cs="宋体"/>
          <w:color w:val="auto"/>
          <w:highlight w:val="none"/>
        </w:rPr>
      </w:pPr>
      <w:r>
        <w:rPr>
          <w:rStyle w:val="27"/>
          <w:rFonts w:hint="eastAsia" w:ascii="宋体" w:hAnsi="宋体" w:cs="宋体"/>
          <w:color w:val="auto"/>
          <w:highlight w:val="none"/>
        </w:rPr>
        <w:t>九、本项目的有关信息</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18.1指定媒体：详见招标文件第二章。</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18.2本项目的潜在投标人或投标人应随时关注指定媒体，否则产生不利后果由其自行承担。</w:t>
      </w:r>
    </w:p>
    <w:p>
      <w:pPr>
        <w:widowControl/>
        <w:snapToGrid w:val="0"/>
        <w:spacing w:line="46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十、其他事项</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19、其他事项：详见招标文件第二章。</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9"/>
        <w:snapToGrid w:val="0"/>
        <w:spacing w:line="460" w:lineRule="exact"/>
        <w:ind w:firstLine="480"/>
        <w:rPr>
          <w:rFonts w:ascii="宋体" w:hAnsi="宋体" w:cs="宋体"/>
          <w:color w:val="auto"/>
          <w:highlight w:val="none"/>
        </w:rPr>
      </w:pPr>
      <w:r>
        <w:rPr>
          <w:rFonts w:hint="eastAsia" w:ascii="宋体" w:hAnsi="宋体" w:cs="宋体"/>
          <w:color w:val="auto"/>
          <w:kern w:val="0"/>
          <w:highlight w:val="none"/>
        </w:rPr>
        <w:t> 19.2其他：详见招标文件第二章。</w:t>
      </w:r>
    </w:p>
    <w:p>
      <w:pPr>
        <w:pStyle w:val="19"/>
        <w:spacing w:before="75" w:after="75" w:line="360" w:lineRule="auto"/>
        <w:jc w:val="center"/>
        <w:rPr>
          <w:rFonts w:ascii="宋体" w:hAnsi="宋体" w:cs="宋体"/>
          <w:color w:val="auto"/>
          <w:highlight w:val="none"/>
        </w:rPr>
      </w:pPr>
      <w:r>
        <w:rPr>
          <w:rStyle w:val="27"/>
          <w:rFonts w:hint="eastAsia" w:ascii="宋体" w:hAnsi="宋体" w:cs="宋体"/>
          <w:color w:val="auto"/>
          <w:sz w:val="32"/>
          <w:szCs w:val="32"/>
          <w:highlight w:val="none"/>
        </w:rPr>
        <w:t>第四章   资格审查与评标</w:t>
      </w:r>
    </w:p>
    <w:p>
      <w:pPr>
        <w:pStyle w:val="19"/>
        <w:spacing w:before="75" w:after="75" w:line="360" w:lineRule="auto"/>
        <w:jc w:val="center"/>
        <w:rPr>
          <w:rFonts w:ascii="宋体" w:hAnsi="宋体" w:cs="宋体"/>
          <w:color w:val="auto"/>
          <w:highlight w:val="none"/>
        </w:rPr>
      </w:pPr>
      <w:r>
        <w:rPr>
          <w:rStyle w:val="27"/>
          <w:rFonts w:hint="eastAsia" w:ascii="宋体" w:hAnsi="宋体" w:cs="宋体"/>
          <w:color w:val="auto"/>
          <w:highlight w:val="none"/>
        </w:rPr>
        <w:t>一、资格审查</w:t>
      </w:r>
    </w:p>
    <w:p>
      <w:pPr>
        <w:pStyle w:val="19"/>
        <w:widowControl/>
        <w:spacing w:before="75" w:after="75"/>
        <w:rPr>
          <w:color w:val="auto"/>
          <w:highlight w:val="none"/>
        </w:rPr>
      </w:pPr>
      <w:r>
        <w:rPr>
          <w:rFonts w:hint="eastAsia" w:ascii="宋体" w:hAnsi="宋体" w:cs="宋体"/>
          <w:color w:val="auto"/>
          <w:highlight w:val="none"/>
        </w:rPr>
        <w:t>1、开标结束后，由</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负责资格审查小组的组建及资格审查工作的组织。</w:t>
      </w:r>
    </w:p>
    <w:p>
      <w:pPr>
        <w:pStyle w:val="19"/>
        <w:widowControl/>
        <w:spacing w:before="75" w:after="75"/>
        <w:rPr>
          <w:rFonts w:ascii="宋体" w:hAnsi="宋体" w:cs="宋体"/>
          <w:color w:val="auto"/>
          <w:highlight w:val="none"/>
        </w:rPr>
      </w:pPr>
      <w:r>
        <w:rPr>
          <w:rFonts w:hint="eastAsia" w:ascii="宋体" w:hAnsi="宋体" w:cs="宋体"/>
          <w:color w:val="auto"/>
          <w:highlight w:val="none"/>
        </w:rPr>
        <w:t>1.1资格审查小组由</w:t>
      </w:r>
      <w:r>
        <w:rPr>
          <w:rFonts w:ascii="Calibri" w:hAnsi="Calibri" w:cs="Calibri"/>
          <w:color w:val="auto"/>
          <w:highlight w:val="none"/>
        </w:rPr>
        <w:t>3</w:t>
      </w:r>
      <w:r>
        <w:rPr>
          <w:rFonts w:hint="eastAsia" w:ascii="宋体" w:hAnsi="宋体" w:cs="宋体"/>
          <w:color w:val="auto"/>
          <w:highlight w:val="none"/>
        </w:rPr>
        <w:t>人组成，并负责具体审查事务，其中：由采购人派出的采购人代表至少</w:t>
      </w:r>
      <w:r>
        <w:rPr>
          <w:rFonts w:hint="eastAsia" w:ascii="宋体" w:hAnsi="宋体" w:cs="宋体"/>
          <w:color w:val="auto"/>
          <w:highlight w:val="none"/>
          <w:u w:val="single"/>
        </w:rPr>
        <w:t>1</w:t>
      </w:r>
      <w:r>
        <w:rPr>
          <w:rFonts w:hint="eastAsia" w:ascii="宋体" w:hAnsi="宋体" w:cs="宋体"/>
          <w:color w:val="auto"/>
          <w:highlight w:val="none"/>
        </w:rPr>
        <w:t>人，由</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派出的工作人员至少</w:t>
      </w:r>
      <w:r>
        <w:rPr>
          <w:rFonts w:hint="eastAsia" w:ascii="宋体" w:hAnsi="宋体" w:cs="宋体"/>
          <w:color w:val="auto"/>
          <w:highlight w:val="none"/>
          <w:u w:val="single"/>
        </w:rPr>
        <w:t>1</w:t>
      </w:r>
      <w:r>
        <w:rPr>
          <w:rFonts w:hint="eastAsia" w:ascii="宋体" w:hAnsi="宋体" w:cs="宋体"/>
          <w:color w:val="auto"/>
          <w:highlight w:val="none"/>
        </w:rPr>
        <w:t>人，其余</w:t>
      </w:r>
      <w:r>
        <w:rPr>
          <w:rFonts w:hint="eastAsia" w:ascii="宋体" w:hAnsi="宋体" w:cs="宋体"/>
          <w:color w:val="auto"/>
          <w:highlight w:val="none"/>
          <w:u w:val="single"/>
        </w:rPr>
        <w:t>1</w:t>
      </w:r>
      <w:r>
        <w:rPr>
          <w:rFonts w:hint="eastAsia" w:ascii="宋体" w:hAnsi="宋体" w:cs="宋体"/>
          <w:color w:val="auto"/>
          <w:highlight w:val="none"/>
        </w:rPr>
        <w:t>人可为采购人代表或</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的工作人员。</w:t>
      </w:r>
    </w:p>
    <w:p>
      <w:pPr>
        <w:pStyle w:val="19"/>
        <w:spacing w:line="360" w:lineRule="auto"/>
        <w:rPr>
          <w:rFonts w:ascii="宋体" w:hAnsi="宋体" w:cs="宋体"/>
          <w:color w:val="auto"/>
          <w:highlight w:val="none"/>
        </w:rPr>
      </w:pPr>
      <w:r>
        <w:rPr>
          <w:rFonts w:hint="eastAsia" w:ascii="宋体" w:hAnsi="宋体" w:cs="宋体"/>
          <w:color w:val="auto"/>
          <w:highlight w:val="none"/>
        </w:rPr>
        <w:t>1.2资格审查的依据是招标文件和投标文件。</w:t>
      </w:r>
    </w:p>
    <w:p>
      <w:pPr>
        <w:pStyle w:val="19"/>
        <w:spacing w:line="360" w:lineRule="auto"/>
        <w:rPr>
          <w:rFonts w:ascii="宋体" w:hAnsi="宋体" w:cs="宋体"/>
          <w:color w:val="auto"/>
          <w:highlight w:val="none"/>
        </w:rPr>
      </w:pPr>
      <w:r>
        <w:rPr>
          <w:rFonts w:hint="eastAsia" w:ascii="宋体" w:hAnsi="宋体" w:cs="宋体"/>
          <w:color w:val="auto"/>
          <w:highlight w:val="none"/>
        </w:rPr>
        <w:t>1.3资格审查的范围及内容：投标文件（资格及资信证明部分），具体如下：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numPr>
          <w:ilvl w:val="0"/>
          <w:numId w:val="2"/>
        </w:numPr>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一般资格证明文件：</w:t>
      </w:r>
    </w:p>
    <w:tbl>
      <w:tblPr>
        <w:tblStyle w:val="23"/>
        <w:tblW w:w="96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28"/>
        <w:gridCol w:w="7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b/>
                <w:bCs/>
                <w:color w:val="auto"/>
                <w:highlight w:val="none"/>
              </w:rPr>
            </w:pPr>
            <w:r>
              <w:rPr>
                <w:rFonts w:ascii="宋体" w:hAnsi="宋体" w:cs="宋体"/>
                <w:b/>
                <w:bCs/>
                <w:color w:val="auto"/>
                <w:kern w:val="0"/>
                <w:sz w:val="24"/>
                <w:highlight w:val="none"/>
                <w:lang w:bidi="ar"/>
              </w:rPr>
              <w:t>明细</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b/>
                <w:bCs/>
                <w:color w:val="auto"/>
                <w:highlight w:val="none"/>
              </w:rPr>
            </w:pPr>
            <w:r>
              <w:rPr>
                <w:rFonts w:ascii="宋体" w:hAnsi="宋体" w:cs="宋体"/>
                <w:b/>
                <w:bCs/>
                <w:color w:val="auto"/>
                <w:kern w:val="0"/>
                <w:sz w:val="24"/>
                <w:highlight w:val="none"/>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（1）单位授权书</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（2）营业执照等证明文件</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（3）提供财务状况报告(财务报告、或资信证明）</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（4）依法缴纳税收证明材料</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（5）依法缴纳社会保障资金证明材料</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（6）具备履行合同所必需设备和专业技术能力的声明函(若有)</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（7）参加采购活动前三年内在经营活动中没有重大违法记录的声明</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（8）信用记录查询结果</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（9）中小企业声明函（以资格条件落实中小企业扶持政策时适用 ）</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12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（10）联合体协议（若有）</w:t>
            </w:r>
          </w:p>
        </w:tc>
        <w:tc>
          <w:tcPr>
            <w:tcW w:w="752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lang w:bidi="ar"/>
              </w:rPr>
              <w:t>①招标文件接受联合体投标且投标人为联合体的，投标人应提供本协议；否则无须提供。②本协议由委托代理人签字或盖章的，应按照招标文件第七章载明的格式提供“单位授权书”。</w:t>
            </w:r>
          </w:p>
        </w:tc>
      </w:tr>
    </w:tbl>
    <w:p>
      <w:pPr>
        <w:widowControl/>
        <w:spacing w:after="156" w:afterLines="5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②其他资格证明文件：</w:t>
      </w:r>
    </w:p>
    <w:tbl>
      <w:tblPr>
        <w:tblStyle w:val="23"/>
        <w:tblW w:w="966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44"/>
        <w:gridCol w:w="6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3344" w:type="dxa"/>
            <w:shd w:val="clear" w:color="auto" w:fill="auto"/>
            <w:vAlign w:val="center"/>
          </w:tcPr>
          <w:p>
            <w:pPr>
              <w:widowControl/>
              <w:snapToGrid w:val="0"/>
              <w:spacing w:line="460" w:lineRule="exact"/>
              <w:jc w:val="center"/>
              <w:rPr>
                <w:b/>
                <w:bCs/>
                <w:color w:val="auto"/>
                <w:highlight w:val="none"/>
              </w:rPr>
            </w:pPr>
            <w:r>
              <w:rPr>
                <w:rFonts w:ascii="宋体" w:hAnsi="宋体" w:cs="宋体"/>
                <w:b/>
                <w:bCs/>
                <w:color w:val="auto"/>
                <w:kern w:val="0"/>
                <w:sz w:val="24"/>
                <w:highlight w:val="none"/>
              </w:rPr>
              <w:t>明细</w:t>
            </w:r>
          </w:p>
        </w:tc>
        <w:tc>
          <w:tcPr>
            <w:tcW w:w="6317" w:type="dxa"/>
            <w:shd w:val="clear" w:color="auto" w:fill="auto"/>
            <w:vAlign w:val="center"/>
          </w:tcPr>
          <w:p>
            <w:pPr>
              <w:widowControl/>
              <w:snapToGrid w:val="0"/>
              <w:spacing w:line="460" w:lineRule="exact"/>
              <w:jc w:val="center"/>
              <w:rPr>
                <w:b/>
                <w:bCs/>
                <w:color w:val="auto"/>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5" w:hRule="atLeast"/>
          <w:tblCellSpacing w:w="0" w:type="dxa"/>
        </w:trPr>
        <w:tc>
          <w:tcPr>
            <w:tcW w:w="3344"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具备履行合同所必需设备和专业技术能力专项证明材料</w:t>
            </w:r>
          </w:p>
        </w:tc>
        <w:tc>
          <w:tcPr>
            <w:tcW w:w="6317"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投标人须提供具备履行合同所必需设备和专业技术能力的声明函。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344"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落实政府采购政策的证明材料（专门面向中小企业采购）</w:t>
            </w:r>
          </w:p>
        </w:tc>
        <w:tc>
          <w:tcPr>
            <w:tcW w:w="6317" w:type="dxa"/>
            <w:shd w:val="clear" w:color="auto" w:fill="auto"/>
            <w:vAlign w:val="center"/>
          </w:tcPr>
          <w:p>
            <w:pPr>
              <w:widowControl/>
              <w:snapToGrid w:val="0"/>
              <w:spacing w:line="460" w:lineRule="exact"/>
              <w:jc w:val="left"/>
              <w:rPr>
                <w:color w:val="auto"/>
                <w:highlight w:val="none"/>
              </w:rPr>
            </w:pPr>
            <w:r>
              <w:rPr>
                <w:rFonts w:ascii="宋体" w:hAnsi="宋体" w:cs="宋体"/>
                <w:color w:val="auto"/>
                <w:kern w:val="0"/>
                <w:sz w:val="24"/>
                <w:highlight w:val="none"/>
              </w:rPr>
              <w:t>1、供应商提供的服务应符合《政府采购促进中小企业发展管理办法》(财库〔2020〕46号) 第四条规定的情形，且应当提供《政府采购促进中小企业发展管理办法》(财库〔2020〕46号)规定的《中小企业声明函》，格式见第五章《响应文件格式》附件。 2、供 应商为监狱企业的视同小型和微型企业，可不提供以上第1材料，但应当提供由省级以上监狱管理局、戒毒管理局(含新疆生产建设兵团)出具的属于监狱企业的证明文件。 3、供 应商为残疾人福利性单位的视同小型和微型企业，可不提供以上第1点材料，但应当提供《残疾人福利性单位声明函》，格式见第五章《响应文件格式》附件。4、本采购项目</w:t>
            </w:r>
            <w:r>
              <w:rPr>
                <w:rFonts w:hint="eastAsia" w:ascii="宋体" w:hAnsi="宋体" w:cs="宋体"/>
                <w:color w:val="auto"/>
                <w:kern w:val="0"/>
                <w:sz w:val="24"/>
                <w:highlight w:val="none"/>
              </w:rPr>
              <w:t>属于服务类招标，</w:t>
            </w:r>
            <w:r>
              <w:rPr>
                <w:rFonts w:ascii="宋体" w:hAnsi="宋体" w:cs="宋体"/>
                <w:color w:val="auto"/>
                <w:kern w:val="0"/>
                <w:sz w:val="24"/>
                <w:highlight w:val="none"/>
              </w:rPr>
              <w:t>所属行业为</w:t>
            </w:r>
            <w:r>
              <w:rPr>
                <w:rFonts w:hint="eastAsia" w:ascii="宋体" w:hAnsi="宋体" w:cs="宋体"/>
                <w:b/>
                <w:color w:val="auto"/>
                <w:kern w:val="0"/>
                <w:sz w:val="24"/>
                <w:highlight w:val="yellow"/>
                <w:lang w:eastAsia="zh-CN" w:bidi="ar"/>
              </w:rPr>
              <w:t>软件和信息技术服务业</w:t>
            </w:r>
            <w:r>
              <w:rPr>
                <w:rFonts w:ascii="宋体" w:hAnsi="宋体" w:cs="宋体"/>
                <w:color w:val="auto"/>
                <w:kern w:val="0"/>
                <w:sz w:val="24"/>
                <w:highlight w:val="none"/>
              </w:rPr>
              <w:t>。</w:t>
            </w:r>
          </w:p>
        </w:tc>
      </w:tr>
    </w:tbl>
    <w:p>
      <w:pPr>
        <w:widowControl/>
        <w:spacing w:before="156" w:beforeLines="50" w:line="360" w:lineRule="auto"/>
        <w:ind w:firstLine="482"/>
        <w:jc w:val="left"/>
        <w:rPr>
          <w:rFonts w:ascii="宋体" w:hAnsi="宋体" w:cs="宋体"/>
          <w:color w:val="auto"/>
          <w:kern w:val="0"/>
          <w:sz w:val="24"/>
          <w:highlight w:val="none"/>
        </w:rPr>
      </w:pPr>
      <w:r>
        <w:rPr>
          <w:rFonts w:hint="eastAsia" w:ascii="宋体" w:hAnsi="宋体" w:cs="宋体"/>
          <w:color w:val="auto"/>
          <w:kern w:val="0"/>
          <w:sz w:val="24"/>
          <w:highlight w:val="none"/>
        </w:rPr>
        <w:t>③投标保证金。</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1.4有下列情形之一的，</w:t>
      </w:r>
      <w:r>
        <w:rPr>
          <w:rFonts w:hint="eastAsia" w:ascii="宋体" w:hAnsi="宋体" w:cs="宋体"/>
          <w:b/>
          <w:bCs/>
          <w:color w:val="auto"/>
          <w:kern w:val="0"/>
          <w:sz w:val="24"/>
          <w:highlight w:val="none"/>
        </w:rPr>
        <w:t>资格审查不合格：</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①一般情形：</w:t>
      </w:r>
    </w:p>
    <w:tbl>
      <w:tblPr>
        <w:tblStyle w:val="23"/>
        <w:tblW w:w="9679" w:type="dxa"/>
        <w:tblCellSpacing w:w="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9"/>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5"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8355"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8"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a1</w:t>
            </w:r>
          </w:p>
        </w:tc>
        <w:tc>
          <w:tcPr>
            <w:tcW w:w="8355"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2"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a2</w:t>
            </w:r>
          </w:p>
        </w:tc>
        <w:tc>
          <w:tcPr>
            <w:tcW w:w="8355"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2" w:hRule="atLeast"/>
          <w:tblCellSpacing w:w="15" w:type="dxa"/>
        </w:trPr>
        <w:tc>
          <w:tcPr>
            <w:tcW w:w="123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a3</w:t>
            </w:r>
          </w:p>
        </w:tc>
        <w:tc>
          <w:tcPr>
            <w:tcW w:w="8355"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未按照招标文件规定提交投标保证金。</w:t>
            </w:r>
          </w:p>
        </w:tc>
      </w:tr>
    </w:tbl>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2、资格审查情况不得私自外泄，有关信息由建融建设管理集团有限责任公司 统一对外发布。</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3、资格审查合格的投标人不足三家的，不进行评标。同时，本次采购活动结束，建融建设管理集团有限责任公司 将依法组织后续采购活动（包括但不限于：重新招标、采用其他方式采购等）。</w:t>
      </w:r>
    </w:p>
    <w:p>
      <w:pPr>
        <w:widowControl/>
        <w:spacing w:before="75" w:after="75" w:line="360" w:lineRule="auto"/>
        <w:jc w:val="center"/>
        <w:rPr>
          <w:rFonts w:ascii="宋体" w:hAnsi="宋体" w:cs="宋体"/>
          <w:b/>
          <w:bCs/>
          <w:color w:val="auto"/>
          <w:kern w:val="0"/>
          <w:sz w:val="24"/>
          <w:highlight w:val="none"/>
        </w:rPr>
      </w:pPr>
      <w:r>
        <w:rPr>
          <w:rFonts w:hint="eastAsia" w:ascii="宋体" w:hAnsi="宋体" w:cs="宋体"/>
          <w:color w:val="auto"/>
          <w:kern w:val="0"/>
          <w:sz w:val="24"/>
          <w:highlight w:val="none"/>
        </w:rPr>
        <w:t> </w:t>
      </w:r>
      <w:r>
        <w:rPr>
          <w:rFonts w:hint="eastAsia" w:ascii="宋体" w:hAnsi="宋体" w:cs="宋体"/>
          <w:b/>
          <w:bCs/>
          <w:color w:val="auto"/>
          <w:kern w:val="0"/>
          <w:sz w:val="24"/>
          <w:highlight w:val="none"/>
        </w:rPr>
        <w:t>二、评标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4、建融建设管理集团有限责任公司 负责评标委员会的组建及评标工作的组织。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5、评标委员会</w:t>
      </w:r>
    </w:p>
    <w:p>
      <w:pPr>
        <w:pStyle w:val="19"/>
        <w:widowControl/>
        <w:spacing w:before="75" w:after="75" w:line="360" w:lineRule="auto"/>
        <w:rPr>
          <w:rFonts w:ascii="宋体" w:hAnsi="宋体" w:cs="宋体"/>
          <w:color w:val="auto"/>
          <w:kern w:val="0"/>
          <w:highlight w:val="none"/>
        </w:rPr>
      </w:pPr>
      <w:r>
        <w:rPr>
          <w:rFonts w:hint="eastAsia" w:ascii="宋体" w:hAnsi="宋体" w:cs="宋体"/>
          <w:color w:val="auto"/>
          <w:highlight w:val="none"/>
        </w:rPr>
        <w:t>5.1评标委员会由采购人代表和评标专家两部分共5人（以下简称“评委”）组成，其中：由采购人派出的采购人代表1人，由福建省政府采购评审专家库产生的评标专家4人。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5.2评标委员会负责具体评标事务，并按照下列原则依法独立履行有关职责：</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（1）评标应保护国家利益、社会公共利益和各方当事人合法权益，提高采购效益，保证项目质量。</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（2）评标应遵循公平、公正、科学、严谨和择优原则。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（3）评标的依据是招标文件和投标文件。</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（4）应按照招标文件规定推荐中标候选人或确定中标人。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（5）评标应遵守下列评标纪律：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①评标情况不得私自外泄，有关信息由建融建设管理集团有限责任公司 统一对外发布。</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②对建融建设管理集团有限责任公司 或投标人提供的要求保密的资料，不得摘记翻印和外传。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④全体评委应按照招标文件规定进行评标，一切认定事项应查有实据且不得弄虚作假。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⑤评标中应充分发扬民主，推荐中标候选人或确定中标人后要服从评标报告。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※对违反评标纪律的评委，将取消其评委资格，对评标工作造成严重损失者将予以通报批评乃至追究法律责任。</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6、评标程序</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6.1评标前的准备工作</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（1）全体评委应认真审阅招标文件，了解评委应履行或遵守的职责、义务和评标纪律。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6.2符合性审查</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（2）满足招标文件的实质性要求指投标文件对招标文件实质性要求的响应不存在重大偏差或保留。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（5）评标委员会对所有投标人都执行相同的程序和标准。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（6）有下列情形之一的，</w:t>
      </w:r>
      <w:r>
        <w:rPr>
          <w:rFonts w:hint="eastAsia" w:ascii="宋体" w:hAnsi="宋体" w:cs="宋体"/>
          <w:b/>
          <w:bCs/>
          <w:color w:val="auto"/>
          <w:kern w:val="0"/>
          <w:sz w:val="24"/>
          <w:highlight w:val="none"/>
        </w:rPr>
        <w:t>符合性审查不合格：</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①一般情形：</w:t>
      </w:r>
    </w:p>
    <w:tbl>
      <w:tblPr>
        <w:tblStyle w:val="23"/>
        <w:tblW w:w="968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8777"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a1</w:t>
            </w:r>
          </w:p>
        </w:tc>
        <w:tc>
          <w:tcPr>
            <w:tcW w:w="8777"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违反招标文件中载明“</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4"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a2</w:t>
            </w:r>
          </w:p>
        </w:tc>
        <w:tc>
          <w:tcPr>
            <w:tcW w:w="8777"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属于招标文件第三章第10.12条规定的</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a3</w:t>
            </w:r>
          </w:p>
        </w:tc>
        <w:tc>
          <w:tcPr>
            <w:tcW w:w="8777"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投标文件对招标文件实质性要求的响应存在重大偏离或保留。</w:t>
            </w:r>
          </w:p>
        </w:tc>
      </w:tr>
    </w:tbl>
    <w:p>
      <w:pPr>
        <w:pStyle w:val="19"/>
        <w:widowControl/>
        <w:spacing w:before="75" w:after="75" w:line="360" w:lineRule="auto"/>
        <w:ind w:firstLine="480"/>
        <w:rPr>
          <w:rFonts w:ascii="宋体" w:hAnsi="宋体" w:cs="宋体"/>
          <w:color w:val="auto"/>
          <w:highlight w:val="none"/>
        </w:rPr>
      </w:pPr>
      <w:r>
        <w:rPr>
          <w:rFonts w:hint="eastAsia" w:ascii="宋体" w:hAnsi="宋体" w:cs="宋体"/>
          <w:color w:val="auto"/>
          <w:highlight w:val="none"/>
        </w:rPr>
        <w:t>②本项目规定的其他情形：</w:t>
      </w:r>
      <w:r>
        <w:rPr>
          <w:rFonts w:hint="eastAsia" w:ascii="宋体" w:hAnsi="宋体" w:cs="宋体"/>
          <w:color w:val="auto"/>
          <w:highlight w:val="none"/>
        </w:rPr>
        <w:br w:type="textWrapping"/>
      </w:r>
      <w:r>
        <w:rPr>
          <w:rFonts w:hint="eastAsia" w:ascii="宋体" w:hAnsi="宋体" w:cs="宋体"/>
          <w:color w:val="auto"/>
          <w:highlight w:val="none"/>
        </w:rPr>
        <w:t xml:space="preserve">包：1 </w:t>
      </w:r>
      <w:r>
        <w:rPr>
          <w:rFonts w:hint="eastAsia" w:ascii="宋体" w:hAnsi="宋体" w:cs="宋体"/>
          <w:color w:val="auto"/>
          <w:highlight w:val="none"/>
        </w:rPr>
        <w:br w:type="textWrapping"/>
      </w:r>
      <w:r>
        <w:rPr>
          <w:rFonts w:hint="eastAsia" w:ascii="宋体" w:hAnsi="宋体" w:cs="宋体"/>
          <w:color w:val="auto"/>
          <w:highlight w:val="none"/>
        </w:rPr>
        <w:t xml:space="preserve">一般情形 </w:t>
      </w:r>
      <w:r>
        <w:rPr>
          <w:rFonts w:hint="eastAsia" w:ascii="宋体" w:hAnsi="宋体" w:cs="宋体"/>
          <w:color w:val="auto"/>
          <w:highlight w:val="none"/>
        </w:rPr>
        <w:br w:type="textWrapping"/>
      </w:r>
      <w:r>
        <w:rPr>
          <w:rStyle w:val="27"/>
          <w:rFonts w:hint="eastAsia" w:ascii="宋体" w:hAnsi="宋体" w:cs="宋体"/>
          <w:color w:val="auto"/>
          <w:highlight w:val="none"/>
        </w:rPr>
        <w:t>         无</w:t>
      </w:r>
    </w:p>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 xml:space="preserve">技术符合性 </w:t>
      </w:r>
    </w:p>
    <w:tbl>
      <w:tblPr>
        <w:tblStyle w:val="23"/>
        <w:tblW w:w="962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9" w:hRule="atLeast"/>
          <w:tblHeader/>
          <w:tblCellSpacing w:w="0" w:type="dxa"/>
        </w:trPr>
        <w:tc>
          <w:tcPr>
            <w:tcW w:w="9627" w:type="dxa"/>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9627" w:type="dxa"/>
            <w:vAlign w:val="center"/>
          </w:tcPr>
          <w:p>
            <w:pPr>
              <w:widowControl/>
              <w:numPr>
                <w:ilvl w:val="0"/>
                <w:numId w:val="3"/>
              </w:numPr>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 xml:space="preserve">投标人投标文件技术商务部分中出现报价部分的全部或部分的投标报价信息（或组成资料）的，按无效投标处理。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9627" w:type="dxa"/>
            <w:vAlign w:val="center"/>
          </w:tcPr>
          <w:p>
            <w:pPr>
              <w:widowControl/>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2）技术和服务要求中对招标文件第五章以“★”标示的内容出现负偏离的，按无效投标处理。</w:t>
            </w:r>
          </w:p>
        </w:tc>
      </w:tr>
    </w:tbl>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商务符合性 </w:t>
      </w:r>
    </w:p>
    <w:tbl>
      <w:tblPr>
        <w:tblStyle w:val="23"/>
        <w:tblW w:w="966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3" w:hRule="atLeast"/>
          <w:tblHeader/>
          <w:tblCellSpacing w:w="0" w:type="dxa"/>
        </w:trPr>
        <w:tc>
          <w:tcPr>
            <w:tcW w:w="9660" w:type="dxa"/>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9660" w:type="dxa"/>
            <w:vAlign w:val="center"/>
          </w:tcPr>
          <w:p>
            <w:pPr>
              <w:widowControl/>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 xml:space="preserve">1）投标人投标文件商务部分中出现报价部分的全部或部分的投标报价信息（或组成资料）的，按无效投标处理。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660" w:type="dxa"/>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2）投标人的商务条件响应表中对招标文件规定的商务条件出现负偏离的，按无效投标处理。</w:t>
            </w:r>
          </w:p>
        </w:tc>
      </w:tr>
    </w:tbl>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附加符合性</w:t>
      </w:r>
      <w:r>
        <w:rPr>
          <w:rFonts w:hint="eastAsia" w:ascii="宋体" w:hAnsi="宋体" w:cs="宋体"/>
          <w:color w:val="auto"/>
          <w:kern w:val="0"/>
          <w:sz w:val="24"/>
          <w:highlight w:val="none"/>
        </w:rPr>
        <w:br w:type="textWrapping"/>
      </w:r>
      <w:r>
        <w:rPr>
          <w:rStyle w:val="27"/>
          <w:rFonts w:hint="eastAsia" w:ascii="宋体" w:hAnsi="宋体" w:cs="宋体"/>
          <w:color w:val="auto"/>
          <w:kern w:val="0"/>
          <w:sz w:val="24"/>
          <w:highlight w:val="none"/>
        </w:rPr>
        <w:t>         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价格符合性 </w:t>
      </w:r>
    </w:p>
    <w:p>
      <w:pPr>
        <w:widowControl/>
        <w:spacing w:before="75" w:after="75" w:line="360" w:lineRule="auto"/>
        <w:ind w:firstLine="480"/>
        <w:jc w:val="left"/>
        <w:rPr>
          <w:rStyle w:val="27"/>
          <w:rFonts w:ascii="宋体" w:hAnsi="宋体" w:cs="宋体"/>
          <w:color w:val="auto"/>
          <w:kern w:val="0"/>
          <w:sz w:val="24"/>
          <w:highlight w:val="none"/>
        </w:rPr>
      </w:pPr>
      <w:r>
        <w:rPr>
          <w:rStyle w:val="27"/>
          <w:rFonts w:hint="eastAsia" w:ascii="宋体" w:hAnsi="宋体" w:cs="宋体"/>
          <w:color w:val="auto"/>
          <w:kern w:val="0"/>
          <w:sz w:val="24"/>
          <w:highlight w:val="none"/>
        </w:rPr>
        <w:t>       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6.3澄清有关问题</w:t>
      </w:r>
    </w:p>
    <w:p>
      <w:pPr>
        <w:widowControl/>
        <w:spacing w:before="75" w:after="75"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（3）投标文件报价出现前后不一致的，除招标文件另有规定外，按照下列规定修正：</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①开标一览表内容与投标文件中相应内容不一致的，以开标一览表为准；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②大写金额和小写金额不一致的，以大写金额为准；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③单价金额小数点或百分比有明显错位的，以开标一览表的总价为准，并修改单价；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④总价金额与按照单价汇总金额不一致的，以单价金额计算结果为准。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（4）关于细微偏差</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（5）关于投标描述（即投标文件中描述的内容）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①投标描述前后不一致且不涉及证明材料的：按照本章第6.3条第（1）、（2）款规定执行。</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②投标描述与证明材料不一致或多份证明材料之间不一致的：</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a.评标委员会将要求投标人进行书面澄清，并按照不利于投标人的内容进行评标。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6.4比较与评价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（1）按照本章第7条载明的评标方法和标准，对符合性审查合格的投标文件进行比较与评价。</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u w:val="single"/>
        </w:rPr>
        <w:t>（2）关于相同品牌产品</w:t>
      </w:r>
      <w:r>
        <w:rPr>
          <w:rFonts w:hint="eastAsia" w:ascii="宋体" w:hAnsi="宋体" w:cs="宋体"/>
          <w:b/>
          <w:bCs/>
          <w:color w:val="auto"/>
          <w:kern w:val="0"/>
          <w:sz w:val="24"/>
          <w:highlight w:val="none"/>
        </w:rPr>
        <w:t>（政府采购服务类项目不适用本条款规定）</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a.招标文件规定的方式：</w:t>
      </w:r>
      <w:r>
        <w:rPr>
          <w:rFonts w:hint="eastAsia" w:ascii="宋体" w:hAnsi="宋体" w:cs="宋体"/>
          <w:color w:val="auto"/>
          <w:kern w:val="0"/>
          <w:sz w:val="24"/>
          <w:highlight w:val="none"/>
          <w:u w:val="single"/>
        </w:rPr>
        <w:t>无</w:t>
      </w:r>
      <w:r>
        <w:rPr>
          <w:rFonts w:hint="eastAsia" w:ascii="宋体" w:hAnsi="宋体" w:cs="宋体"/>
          <w:color w:val="auto"/>
          <w:kern w:val="0"/>
          <w:sz w:val="24"/>
          <w:highlight w:val="none"/>
        </w:rPr>
        <w:t>。</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b.招标文件未规定的，采取随机抽取方式确定，其他</w:t>
      </w:r>
      <w:r>
        <w:rPr>
          <w:rFonts w:hint="eastAsia" w:ascii="宋体" w:hAnsi="宋体" w:cs="宋体"/>
          <w:b/>
          <w:bCs/>
          <w:color w:val="auto"/>
          <w:kern w:val="0"/>
          <w:sz w:val="24"/>
          <w:highlight w:val="none"/>
        </w:rPr>
        <w:t>投标无效。</w:t>
      </w:r>
    </w:p>
    <w:p>
      <w:pPr>
        <w:widowControl/>
        <w:spacing w:line="36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a.招标文件规定的方式：</w:t>
      </w:r>
      <w:r>
        <w:rPr>
          <w:rFonts w:hint="eastAsia" w:ascii="宋体" w:hAnsi="宋体" w:cs="宋体"/>
          <w:color w:val="auto"/>
          <w:kern w:val="0"/>
          <w:sz w:val="24"/>
          <w:highlight w:val="none"/>
          <w:u w:val="single"/>
        </w:rPr>
        <w:t>无</w:t>
      </w:r>
      <w:r>
        <w:rPr>
          <w:rFonts w:hint="eastAsia" w:ascii="宋体" w:hAnsi="宋体" w:cs="宋体"/>
          <w:color w:val="auto"/>
          <w:kern w:val="0"/>
          <w:sz w:val="24"/>
          <w:highlight w:val="none"/>
        </w:rPr>
        <w:t>。</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b.招标文件未规定的，采取随机抽取方式确定，其他同品牌投标人不作为中标候选人。</w:t>
      </w:r>
    </w:p>
    <w:p>
      <w:pPr>
        <w:widowControl/>
        <w:spacing w:line="360" w:lineRule="auto"/>
        <w:ind w:firstLine="48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rPr>
        <w:t>③</w:t>
      </w:r>
      <w:r>
        <w:rPr>
          <w:rFonts w:hint="eastAsia" w:ascii="宋体" w:hAnsi="宋体" w:cs="宋体"/>
          <w:b/>
          <w:bCs/>
          <w:color w:val="auto"/>
          <w:kern w:val="0"/>
          <w:sz w:val="24"/>
          <w:highlight w:val="none"/>
          <w:u w:val="single"/>
        </w:rPr>
        <w:t>非单一产品采购项目，多家投标人提供的核心产品品牌相同的，按照本章第6.4条第（2）款第①、②规定处理。</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（3）漏（缺）项</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①招标文件中要求列入报价的费用（含配置、功能），漏（缺）项的报价视为已经包括在投标总价中。</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②对多报项及赠送项的价格评标时不予核减，全部进入评标价评议。</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6.5推荐中标候选人：详见本章第7.2条规定。</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6.6编写评标报告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（1）评标报告由评标委员会负责编写。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（2）评标报告应包括下列内容：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①招标公告刊登的网站名称、开标日期和地点；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②投标人名单和评标委员会成员名单；</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③评标方法和标准；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④开标记录和评标情况及说明，包括无效投标人名单及原因；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⑤评标结果，包括中标候选人名单或确定的中标人；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⑥其他需要说明的情况，包括但不限于：评标过程中投标人的澄清、说明或补正，评委更换等。</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处理。</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6.8评委对需要共同认定的事项存在争议的，应按照少数服从多数的原则进行认定。</w:t>
      </w:r>
      <w:r>
        <w:rPr>
          <w:rFonts w:hint="eastAsia" w:ascii="宋体" w:hAnsi="宋体" w:cs="宋体"/>
          <w:b/>
          <w:bCs/>
          <w:color w:val="auto"/>
          <w:kern w:val="0"/>
          <w:sz w:val="24"/>
          <w:highlight w:val="none"/>
        </w:rPr>
        <w:t>持不同意见的评委应在评标报告上签署不同意见及理由，否则视为同意评标报告。</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6.9在评标过程中发现投标人有下列情形之一的，评标委员会应认定其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，并书面报告本项目监督管理部门：</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（1）恶意串通（包括但不限于招标文件第三章第9.7条规定情形）；</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（2）妨碍其他投标人的竞争行为；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（3）损害采购人或其他投标人的合法权益。</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6.10评标过程中，有下列情形之一的，应予废标：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（1）符合性审查合格的投标人不足三家的；</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（2）有关法律、法规和规章规定废标的情形。</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※若废标，则本次采购活动结束，</w:t>
      </w:r>
      <w:r>
        <w:rPr>
          <w:rFonts w:hint="eastAsia" w:ascii="宋体" w:hAnsi="宋体" w:cs="宋体"/>
          <w:color w:val="auto"/>
          <w:kern w:val="0"/>
          <w:sz w:val="24"/>
          <w:highlight w:val="none"/>
        </w:rPr>
        <w:t xml:space="preserve">建融建设管理集团有限责任公司 </w:t>
      </w:r>
      <w:r>
        <w:rPr>
          <w:rFonts w:hint="eastAsia" w:ascii="宋体" w:hAnsi="宋体" w:cs="宋体"/>
          <w:b/>
          <w:bCs/>
          <w:color w:val="auto"/>
          <w:kern w:val="0"/>
          <w:sz w:val="24"/>
          <w:highlight w:val="none"/>
        </w:rPr>
        <w:t>将依法组织后续采购活动（包括但不限于：重新招标、采用其他方式采购等）。</w:t>
      </w:r>
    </w:p>
    <w:p>
      <w:pPr>
        <w:keepNext w:val="0"/>
        <w:keepLines w:val="0"/>
        <w:pageBreakBefore w:val="0"/>
        <w:widowControl/>
        <w:kinsoku/>
        <w:wordWrap/>
        <w:overflowPunct/>
        <w:topLinePunct w:val="0"/>
        <w:bidi w:val="0"/>
        <w:spacing w:line="400" w:lineRule="exact"/>
        <w:ind w:left="0" w:right="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7、评标方法和标准</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7.1评标方法：</w:t>
      </w:r>
      <w:r>
        <w:rPr>
          <w:color w:val="auto"/>
          <w:highlight w:val="none"/>
        </w:rPr>
        <w:t xml:space="preserve"> 项目包1采用综合评分法。</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7.2评标标准 </w:t>
      </w:r>
    </w:p>
    <w:p>
      <w:pPr>
        <w:pStyle w:val="19"/>
        <w:keepNext w:val="0"/>
        <w:keepLines w:val="0"/>
        <w:pageBreakBefore w:val="0"/>
        <w:widowControl/>
        <w:shd w:val="clear" w:color="auto" w:fill="FFFFFF"/>
        <w:kinsoku/>
        <w:wordWrap/>
        <w:overflowPunct/>
        <w:topLinePunct w:val="0"/>
        <w:bidi w:val="0"/>
        <w:spacing w:line="400" w:lineRule="exact"/>
        <w:ind w:left="0" w:right="0"/>
        <w:textAlignment w:val="auto"/>
        <w:rPr>
          <w:rFonts w:ascii="微软雅黑" w:hAnsi="微软雅黑" w:eastAsia="微软雅黑" w:cs="微软雅黑"/>
          <w:color w:val="auto"/>
          <w:sz w:val="19"/>
          <w:szCs w:val="19"/>
          <w:highlight w:val="none"/>
        </w:rPr>
      </w:pPr>
      <w:r>
        <w:rPr>
          <w:rStyle w:val="27"/>
          <w:rFonts w:hint="eastAsia" w:ascii="宋体" w:hAnsi="宋体" w:cs="宋体"/>
          <w:color w:val="auto"/>
          <w:highlight w:val="none"/>
          <w:shd w:val="clear" w:color="auto" w:fill="FFFFFF"/>
        </w:rPr>
        <w:t>采购包1采用综合评分法</w:t>
      </w:r>
      <w:r>
        <w:rPr>
          <w:rFonts w:hint="eastAsia" w:ascii="宋体" w:hAnsi="宋体" w:cs="宋体"/>
          <w:color w:val="auto"/>
          <w:highlight w:val="none"/>
          <w:shd w:val="clear" w:color="auto" w:fill="FFFFFF"/>
        </w:rPr>
        <w:t>：</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（1）投标文件满足招标文件全部实质性要求，且按照评审因素的量化指标评审得分（即评标总得分）最高的投标人为中标候选人。</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（2）每个投标人的评标总得分</w:t>
      </w:r>
      <w:r>
        <w:rPr>
          <w:rFonts w:ascii="Calibri" w:hAnsi="Calibri" w:cs="Calibri"/>
          <w:color w:val="auto"/>
          <w:highlight w:val="none"/>
        </w:rPr>
        <w:t>FA</w:t>
      </w:r>
      <w:r>
        <w:rPr>
          <w:rFonts w:hint="eastAsia" w:ascii="宋体" w:hAnsi="宋体" w:cs="宋体"/>
          <w:color w:val="auto"/>
          <w:highlight w:val="none"/>
        </w:rPr>
        <w:t>＝</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w:t>
      </w:r>
      <w:r>
        <w:rPr>
          <w:rFonts w:ascii="Calibri" w:hAnsi="Calibri" w:cs="Calibri"/>
          <w:color w:val="auto"/>
          <w:highlight w:val="none"/>
        </w:rPr>
        <w:t>F3</w:t>
      </w:r>
      <w:r>
        <w:rPr>
          <w:rFonts w:hint="eastAsia" w:ascii="宋体" w:hAnsi="宋体" w:cs="宋体"/>
          <w:color w:val="auto"/>
          <w:highlight w:val="none"/>
        </w:rPr>
        <w:t>×</w:t>
      </w:r>
      <w:r>
        <w:rPr>
          <w:rFonts w:ascii="Calibri" w:hAnsi="Calibri" w:cs="Calibri"/>
          <w:color w:val="auto"/>
          <w:highlight w:val="none"/>
        </w:rPr>
        <w:t>A3</w:t>
      </w:r>
      <w:r>
        <w:rPr>
          <w:rFonts w:hint="eastAsia" w:ascii="宋体" w:hAnsi="宋体" w:cs="宋体"/>
          <w:color w:val="auto"/>
          <w:highlight w:val="none"/>
        </w:rPr>
        <w:t>＋</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（若有），其中：</w:t>
      </w:r>
      <w:r>
        <w:rPr>
          <w:rFonts w:ascii="Calibri" w:hAnsi="Calibri" w:cs="Calibri"/>
          <w:color w:val="auto"/>
          <w:highlight w:val="none"/>
        </w:rPr>
        <w:t>F1</w:t>
      </w:r>
      <w:r>
        <w:rPr>
          <w:rFonts w:hint="eastAsia" w:ascii="宋体" w:hAnsi="宋体" w:cs="宋体"/>
          <w:color w:val="auto"/>
          <w:highlight w:val="none"/>
        </w:rPr>
        <w:t>指价格项评审因素得分、</w:t>
      </w:r>
      <w:r>
        <w:rPr>
          <w:rFonts w:ascii="Calibri" w:hAnsi="Calibri" w:cs="Calibri"/>
          <w:color w:val="auto"/>
          <w:highlight w:val="none"/>
        </w:rPr>
        <w:t>F2</w:t>
      </w:r>
      <w:r>
        <w:rPr>
          <w:rFonts w:hint="eastAsia" w:ascii="宋体" w:hAnsi="宋体" w:cs="宋体"/>
          <w:color w:val="auto"/>
          <w:highlight w:val="none"/>
        </w:rPr>
        <w:t>指技术项评审因素得分、</w:t>
      </w:r>
      <w:r>
        <w:rPr>
          <w:rFonts w:ascii="Calibri" w:hAnsi="Calibri" w:cs="Calibri"/>
          <w:color w:val="auto"/>
          <w:highlight w:val="none"/>
        </w:rPr>
        <w:t>F3</w:t>
      </w:r>
      <w:r>
        <w:rPr>
          <w:rFonts w:hint="eastAsia" w:ascii="宋体" w:hAnsi="宋体" w:cs="宋体"/>
          <w:color w:val="auto"/>
          <w:highlight w:val="none"/>
        </w:rPr>
        <w:t>指商务项评审因素得分，</w:t>
      </w:r>
      <w:r>
        <w:rPr>
          <w:rFonts w:ascii="Calibri" w:hAnsi="Calibri" w:cs="Calibri"/>
          <w:color w:val="auto"/>
          <w:highlight w:val="none"/>
        </w:rPr>
        <w:t>A1</w:t>
      </w:r>
      <w:r>
        <w:rPr>
          <w:rFonts w:hint="eastAsia" w:ascii="宋体" w:hAnsi="宋体" w:cs="宋体"/>
          <w:color w:val="auto"/>
          <w:highlight w:val="none"/>
        </w:rPr>
        <w:t>指价格项评审因素所占的权重、</w:t>
      </w:r>
      <w:r>
        <w:rPr>
          <w:rFonts w:ascii="Calibri" w:hAnsi="Calibri" w:cs="Calibri"/>
          <w:color w:val="auto"/>
          <w:highlight w:val="none"/>
        </w:rPr>
        <w:t>A2</w:t>
      </w:r>
      <w:r>
        <w:rPr>
          <w:rFonts w:hint="eastAsia" w:ascii="宋体" w:hAnsi="宋体" w:cs="宋体"/>
          <w:color w:val="auto"/>
          <w:highlight w:val="none"/>
        </w:rPr>
        <w:t>指技术项评审因素所占的权重、</w:t>
      </w:r>
      <w:r>
        <w:rPr>
          <w:rFonts w:ascii="Calibri" w:hAnsi="Calibri" w:cs="Calibri"/>
          <w:color w:val="auto"/>
          <w:highlight w:val="none"/>
        </w:rPr>
        <w:t>A3</w:t>
      </w:r>
      <w:r>
        <w:rPr>
          <w:rFonts w:hint="eastAsia" w:ascii="宋体" w:hAnsi="宋体" w:cs="宋体"/>
          <w:color w:val="auto"/>
          <w:highlight w:val="none"/>
        </w:rPr>
        <w:t>指商务项评审因素所占的权重，</w:t>
      </w:r>
      <w:r>
        <w:rPr>
          <w:rFonts w:ascii="Calibri" w:hAnsi="Calibri" w:cs="Calibri"/>
          <w:color w:val="auto"/>
          <w:highlight w:val="none"/>
        </w:rPr>
        <w:t>A1+A2+A3=1</w:t>
      </w:r>
      <w:r>
        <w:rPr>
          <w:rFonts w:hint="eastAsia" w:ascii="宋体" w:hAnsi="宋体" w:cs="宋体"/>
          <w:color w:val="auto"/>
          <w:highlight w:val="none"/>
        </w:rPr>
        <w:t>、</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w:t>
      </w:r>
      <w:r>
        <w:rPr>
          <w:rFonts w:ascii="Calibri" w:hAnsi="Calibri" w:cs="Calibri"/>
          <w:color w:val="auto"/>
          <w:highlight w:val="none"/>
        </w:rPr>
        <w:t>F3</w:t>
      </w:r>
      <w:r>
        <w:rPr>
          <w:rFonts w:hint="eastAsia" w:ascii="宋体" w:hAnsi="宋体" w:cs="宋体"/>
          <w:color w:val="auto"/>
          <w:highlight w:val="none"/>
        </w:rPr>
        <w:t>×</w:t>
      </w:r>
      <w:r>
        <w:rPr>
          <w:rFonts w:ascii="Calibri" w:hAnsi="Calibri" w:cs="Calibri"/>
          <w:color w:val="auto"/>
          <w:highlight w:val="none"/>
        </w:rPr>
        <w:t>A3=100</w:t>
      </w:r>
      <w:r>
        <w:rPr>
          <w:rFonts w:hint="eastAsia" w:ascii="宋体" w:hAnsi="宋体" w:cs="宋体"/>
          <w:color w:val="auto"/>
          <w:highlight w:val="none"/>
        </w:rPr>
        <w:t>分（满分时），</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为加分项（即优先类节能产品、环境标志产品在采购活动中可享有的加分优惠）。</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（3）各项评审因素的设置如下：</w:t>
      </w:r>
    </w:p>
    <w:p>
      <w:pPr>
        <w:pStyle w:val="19"/>
        <w:keepNext w:val="0"/>
        <w:keepLines w:val="0"/>
        <w:pageBreakBefore w:val="0"/>
        <w:widowControl/>
        <w:kinsoku/>
        <w:wordWrap/>
        <w:overflowPunct/>
        <w:topLinePunct w:val="0"/>
        <w:bidi w:val="0"/>
        <w:spacing w:line="400" w:lineRule="exact"/>
        <w:ind w:left="0" w:right="0" w:firstLine="480"/>
        <w:textAlignment w:val="auto"/>
        <w:rPr>
          <w:rFonts w:hint="eastAsia" w:ascii="宋体" w:hAnsi="宋体" w:cs="宋体"/>
          <w:color w:val="auto"/>
          <w:highlight w:val="none"/>
        </w:rPr>
      </w:pPr>
      <w:r>
        <w:rPr>
          <w:rFonts w:hint="eastAsia" w:ascii="宋体" w:hAnsi="宋体" w:cs="宋体"/>
          <w:color w:val="auto"/>
          <w:highlight w:val="none"/>
        </w:rPr>
        <w:t>①价格项（F1×A1）满分为10分。</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p>
    <w:p>
      <w:pPr>
        <w:pStyle w:val="19"/>
        <w:keepNext w:val="0"/>
        <w:keepLines w:val="0"/>
        <w:pageBreakBefore w:val="0"/>
        <w:widowControl/>
        <w:kinsoku/>
        <w:wordWrap/>
        <w:overflowPunct/>
        <w:topLinePunct w:val="0"/>
        <w:bidi w:val="0"/>
        <w:spacing w:line="400" w:lineRule="exact"/>
        <w:ind w:left="0" w:right="0" w:firstLine="480"/>
        <w:textAlignment w:val="auto"/>
        <w:rPr>
          <w:rFonts w:ascii="宋体" w:hAnsi="宋体" w:cs="宋体"/>
          <w:color w:val="auto"/>
          <w:highlight w:val="none"/>
        </w:rPr>
      </w:pPr>
      <w:r>
        <w:rPr>
          <w:rFonts w:ascii="Calibri" w:hAnsi="Calibri" w:cs="Calibri"/>
          <w:color w:val="auto"/>
          <w:highlight w:val="none"/>
        </w:rPr>
        <w:t>b.</w:t>
      </w:r>
      <w:r>
        <w:rPr>
          <w:rFonts w:hint="eastAsia" w:ascii="宋体" w:hAnsi="宋体" w:cs="宋体"/>
          <w:color w:val="auto"/>
          <w:highlight w:val="none"/>
        </w:rPr>
        <w:t>价格扣除的规则如下：</w:t>
      </w:r>
    </w:p>
    <w:tbl>
      <w:tblPr>
        <w:tblStyle w:val="23"/>
        <w:tblW w:w="944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31"/>
        <w:gridCol w:w="8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jc w:val="center"/>
        </w:trPr>
        <w:tc>
          <w:tcPr>
            <w:tcW w:w="1131" w:type="dxa"/>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color w:val="auto"/>
                <w:highlight w:val="none"/>
              </w:rPr>
            </w:pPr>
            <w:r>
              <w:rPr>
                <w:rFonts w:ascii="宋体" w:hAnsi="宋体" w:cs="宋体"/>
                <w:color w:val="auto"/>
                <w:kern w:val="0"/>
                <w:sz w:val="24"/>
                <w:highlight w:val="none"/>
                <w:lang w:bidi="ar"/>
              </w:rPr>
              <w:t>评标项目</w:t>
            </w:r>
          </w:p>
        </w:tc>
        <w:tc>
          <w:tcPr>
            <w:tcW w:w="8314" w:type="dxa"/>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color w:val="auto"/>
                <w:highlight w:val="none"/>
              </w:rPr>
            </w:pPr>
            <w:r>
              <w:rPr>
                <w:rFonts w:ascii="宋体" w:hAnsi="宋体" w:cs="宋体"/>
                <w:color w:val="auto"/>
                <w:kern w:val="0"/>
                <w:sz w:val="24"/>
                <w:highlight w:val="none"/>
                <w:lang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131" w:type="dxa"/>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color w:val="auto"/>
                <w:highlight w:val="none"/>
              </w:rPr>
            </w:pPr>
            <w:r>
              <w:rPr>
                <w:rFonts w:ascii="宋体" w:hAnsi="宋体" w:cs="宋体"/>
                <w:color w:val="auto"/>
                <w:kern w:val="0"/>
                <w:sz w:val="24"/>
                <w:highlight w:val="none"/>
                <w:lang w:bidi="ar"/>
              </w:rPr>
              <w:t>小型、微型企业，监狱企业，残疾人</w:t>
            </w:r>
          </w:p>
        </w:tc>
        <w:tc>
          <w:tcPr>
            <w:tcW w:w="8314" w:type="dxa"/>
            <w:tcBorders>
              <w:top w:val="outset" w:color="auto" w:sz="6" w:space="0"/>
              <w:left w:val="outset" w:color="auto" w:sz="6" w:space="0"/>
              <w:bottom w:val="outset" w:color="auto" w:sz="6" w:space="0"/>
              <w:right w:val="outset" w:color="auto" w:sz="6" w:space="0"/>
            </w:tcBorders>
            <w:vAlign w:val="center"/>
          </w:tcPr>
          <w:p>
            <w:pPr>
              <w:widowControl/>
              <w:spacing w:line="440" w:lineRule="exact"/>
              <w:jc w:val="left"/>
              <w:rPr>
                <w:color w:val="auto"/>
                <w:highlight w:val="none"/>
              </w:rPr>
            </w:pPr>
            <w:r>
              <w:rPr>
                <w:rFonts w:hint="eastAsia" w:ascii="宋体" w:hAnsi="宋体" w:cs="宋体"/>
                <w:b/>
                <w:color w:val="auto"/>
                <w:kern w:val="0"/>
                <w:sz w:val="24"/>
                <w:highlight w:val="none"/>
                <w:lang w:bidi="ar"/>
              </w:rPr>
              <w:t>本项目为专门</w:t>
            </w:r>
            <w:bookmarkStart w:id="35" w:name="_GoBack"/>
            <w:bookmarkEnd w:id="35"/>
            <w:r>
              <w:rPr>
                <w:rFonts w:hint="eastAsia" w:ascii="宋体" w:hAnsi="宋体" w:cs="宋体"/>
                <w:b/>
                <w:color w:val="auto"/>
                <w:kern w:val="0"/>
                <w:sz w:val="24"/>
                <w:highlight w:val="none"/>
                <w:lang w:bidi="ar"/>
              </w:rPr>
              <w:t>面向中小企业采购项目。1、评审时，对符合《政府采购促进中小企业发展管理办法》（财库﹝2020﹞46号）规定的小微企业报价给予价格扣除（货物和服务项目为</w:t>
            </w:r>
            <w:r>
              <w:rPr>
                <w:rFonts w:hint="eastAsia" w:ascii="宋体" w:hAnsi="宋体" w:cs="宋体"/>
                <w:b/>
                <w:color w:val="auto"/>
                <w:kern w:val="0"/>
                <w:sz w:val="24"/>
                <w:highlight w:val="none"/>
                <w:lang w:val="en-US" w:eastAsia="zh-CN" w:bidi="ar"/>
              </w:rPr>
              <w:t>15</w:t>
            </w:r>
            <w:r>
              <w:rPr>
                <w:rFonts w:hint="eastAsia" w:ascii="宋体" w:hAnsi="宋体" w:cs="宋体"/>
                <w:b/>
                <w:color w:val="auto"/>
                <w:kern w:val="0"/>
                <w:sz w:val="24"/>
                <w:highlight w:val="none"/>
                <w:lang w:bidi="ar"/>
              </w:rPr>
              <w:t>%；工程项目为3%），用扣除后的价格参加评审。投标人须提供合格的《中小企业声明函》（格式详见招标文件第七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b/>
                <w:color w:val="auto"/>
                <w:kern w:val="0"/>
                <w:sz w:val="24"/>
                <w:highlight w:val="none"/>
                <w:lang w:val="en-US" w:eastAsia="zh-CN" w:bidi="ar"/>
              </w:rPr>
              <w:t>15</w:t>
            </w:r>
            <w:r>
              <w:rPr>
                <w:rFonts w:hint="eastAsia" w:ascii="宋体" w:hAnsi="宋体" w:cs="宋体"/>
                <w:b/>
                <w:color w:val="auto"/>
                <w:kern w:val="0"/>
                <w:sz w:val="24"/>
                <w:highlight w:val="none"/>
                <w:lang w:bidi="ar"/>
              </w:rPr>
              <w:t>%（工程项目为3%）的价格扣除，但必须提供由省级以上监狱管理局、戒毒管理局（含新疆生产建设兵团）出具的属于监狱企业的证明文件，否则评审时不予价格扣除优惠。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10%（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w:t>
            </w:r>
            <w:r>
              <w:rPr>
                <w:rFonts w:hint="eastAsia" w:ascii="宋体" w:hAnsi="宋体" w:cs="宋体"/>
                <w:b/>
                <w:bCs/>
                <w:color w:val="auto"/>
                <w:kern w:val="0"/>
                <w:sz w:val="24"/>
                <w:highlight w:val="none"/>
                <w:lang w:bidi="ar"/>
              </w:rPr>
              <w:t>5、本项</w:t>
            </w:r>
            <w:r>
              <w:rPr>
                <w:rFonts w:hint="eastAsia" w:ascii="宋体" w:hAnsi="宋体" w:cs="宋体"/>
                <w:b/>
                <w:bCs/>
                <w:color w:val="auto"/>
                <w:kern w:val="0"/>
                <w:sz w:val="24"/>
                <w:highlight w:val="yellow"/>
                <w:lang w:bidi="ar"/>
              </w:rPr>
              <w:t>目为</w:t>
            </w:r>
            <w:r>
              <w:rPr>
                <w:rFonts w:hint="eastAsia" w:ascii="宋体" w:hAnsi="宋体" w:cs="宋体"/>
                <w:b/>
                <w:bCs/>
                <w:color w:val="auto"/>
                <w:kern w:val="0"/>
                <w:sz w:val="24"/>
                <w:highlight w:val="yellow"/>
                <w:lang w:val="en-US" w:eastAsia="zh-CN" w:bidi="ar"/>
              </w:rPr>
              <w:t>服务</w:t>
            </w:r>
            <w:r>
              <w:rPr>
                <w:rFonts w:hint="eastAsia" w:ascii="宋体" w:hAnsi="宋体" w:cs="宋体"/>
                <w:b/>
                <w:bCs/>
                <w:color w:val="auto"/>
                <w:kern w:val="0"/>
                <w:sz w:val="24"/>
                <w:highlight w:val="yellow"/>
                <w:lang w:bidi="ar"/>
              </w:rPr>
              <w:t>类采购项目，行业</w:t>
            </w:r>
            <w:r>
              <w:rPr>
                <w:rFonts w:hint="eastAsia" w:ascii="宋体" w:hAnsi="宋体" w:cs="宋体"/>
                <w:b/>
                <w:color w:val="auto"/>
                <w:kern w:val="0"/>
                <w:sz w:val="24"/>
                <w:highlight w:val="yellow"/>
                <w:lang w:bidi="ar"/>
              </w:rPr>
              <w:t>属于</w:t>
            </w:r>
            <w:r>
              <w:rPr>
                <w:rFonts w:hint="eastAsia" w:ascii="宋体" w:hAnsi="宋体" w:cs="宋体"/>
                <w:b/>
                <w:color w:val="auto"/>
                <w:kern w:val="0"/>
                <w:sz w:val="24"/>
                <w:highlight w:val="yellow"/>
                <w:lang w:eastAsia="zh-CN" w:bidi="ar"/>
              </w:rPr>
              <w:t>“软件和信息技术服务业”</w:t>
            </w:r>
            <w:r>
              <w:rPr>
                <w:rFonts w:hint="eastAsia" w:ascii="宋体" w:hAnsi="宋体" w:cs="宋体"/>
                <w:b/>
                <w:color w:val="auto"/>
                <w:kern w:val="0"/>
                <w:sz w:val="24"/>
                <w:highlight w:val="yellow"/>
                <w:lang w:bidi="ar"/>
              </w:rPr>
              <w:t>。</w:t>
            </w:r>
          </w:p>
        </w:tc>
      </w:tr>
    </w:tbl>
    <w:p>
      <w:pPr>
        <w:keepNext w:val="0"/>
        <w:keepLines w:val="0"/>
        <w:pageBreakBefore w:val="0"/>
        <w:kinsoku/>
        <w:wordWrap/>
        <w:overflowPunct/>
        <w:topLinePunct w:val="0"/>
        <w:bidi w:val="0"/>
        <w:spacing w:line="400" w:lineRule="exact"/>
        <w:ind w:left="0" w:right="0"/>
        <w:textAlignment w:val="auto"/>
        <w:rPr>
          <w:rFonts w:ascii="宋体" w:hAnsi="宋体" w:cs="宋体"/>
          <w:color w:val="auto"/>
          <w:sz w:val="24"/>
          <w:highlight w:val="none"/>
        </w:rPr>
      </w:pPr>
    </w:p>
    <w:p>
      <w:pPr>
        <w:pStyle w:val="6"/>
        <w:keepNext w:val="0"/>
        <w:keepLines w:val="0"/>
        <w:pageBreakBefore w:val="0"/>
        <w:kinsoku/>
        <w:wordWrap/>
        <w:overflowPunct/>
        <w:topLinePunct w:val="0"/>
        <w:bidi w:val="0"/>
        <w:spacing w:line="400" w:lineRule="exact"/>
        <w:ind w:left="0" w:right="0"/>
        <w:textAlignment w:val="auto"/>
        <w:rPr>
          <w:color w:val="auto"/>
          <w:highlight w:val="none"/>
        </w:rPr>
      </w:pPr>
      <w:r>
        <w:rPr>
          <w:rStyle w:val="27"/>
          <w:rFonts w:ascii="宋体" w:hAnsi="宋体" w:cs="宋体"/>
          <w:color w:val="auto"/>
          <w:sz w:val="24"/>
          <w:highlight w:val="none"/>
        </w:rPr>
        <w:t>   </w:t>
      </w:r>
    </w:p>
    <w:p>
      <w:pPr>
        <w:pStyle w:val="19"/>
        <w:keepNext w:val="0"/>
        <w:keepLines w:val="0"/>
        <w:pageBreakBefore w:val="0"/>
        <w:widowControl/>
        <w:kinsoku/>
        <w:wordWrap/>
        <w:overflowPunct/>
        <w:topLinePunct w:val="0"/>
        <w:bidi w:val="0"/>
        <w:spacing w:line="400" w:lineRule="exact"/>
        <w:ind w:left="0" w:right="0" w:firstLine="480"/>
        <w:textAlignment w:val="auto"/>
        <w:rPr>
          <w:rFonts w:hint="eastAsia" w:ascii="宋体" w:hAnsi="宋体" w:cs="宋体"/>
          <w:color w:val="auto"/>
          <w:highlight w:val="none"/>
        </w:rPr>
      </w:pPr>
      <w:r>
        <w:rPr>
          <w:rFonts w:hint="eastAsia" w:ascii="宋体" w:hAnsi="宋体" w:cs="宋体"/>
          <w:color w:val="auto"/>
          <w:highlight w:val="none"/>
        </w:rPr>
        <w:t>②技术项（F2×A2）满分为</w:t>
      </w:r>
      <w:r>
        <w:rPr>
          <w:rFonts w:hint="eastAsia" w:ascii="宋体" w:hAnsi="宋体" w:cs="宋体"/>
          <w:color w:val="auto"/>
          <w:highlight w:val="none"/>
          <w:lang w:val="en-US" w:eastAsia="zh-CN"/>
        </w:rPr>
        <w:t>75</w:t>
      </w:r>
      <w:r>
        <w:rPr>
          <w:rFonts w:hint="eastAsia" w:ascii="宋体" w:hAnsi="宋体" w:cs="宋体"/>
          <w:color w:val="auto"/>
          <w:highlight w:val="none"/>
        </w:rPr>
        <w:t>分。</w:t>
      </w:r>
    </w:p>
    <w:tbl>
      <w:tblPr>
        <w:tblStyle w:val="23"/>
        <w:tblW w:w="9828" w:type="dxa"/>
        <w:jc w:val="center"/>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637"/>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jc w:val="center"/>
        </w:trPr>
        <w:tc>
          <w:tcPr>
            <w:tcW w:w="974" w:type="dxa"/>
            <w:noWrap w:val="0"/>
            <w:vAlign w:val="center"/>
          </w:tcPr>
          <w:p>
            <w:pPr>
              <w:widowControl/>
              <w:spacing w:line="360" w:lineRule="auto"/>
              <w:jc w:val="left"/>
              <w:rPr>
                <w:rFonts w:hint="eastAsia" w:ascii="宋体" w:hAnsi="宋体" w:cs="宋体"/>
                <w:sz w:val="24"/>
                <w:szCs w:val="24"/>
              </w:rPr>
            </w:pPr>
            <w:r>
              <w:rPr>
                <w:rFonts w:hint="eastAsia" w:ascii="宋体" w:hAnsi="宋体" w:cs="宋体"/>
                <w:kern w:val="0"/>
                <w:sz w:val="24"/>
                <w:szCs w:val="24"/>
                <w:lang w:bidi="ar"/>
              </w:rPr>
              <w:t>评标项目</w:t>
            </w:r>
          </w:p>
        </w:tc>
        <w:tc>
          <w:tcPr>
            <w:tcW w:w="637" w:type="dxa"/>
            <w:noWrap w:val="0"/>
            <w:vAlign w:val="center"/>
          </w:tcPr>
          <w:p>
            <w:pPr>
              <w:widowControl/>
              <w:spacing w:line="360" w:lineRule="auto"/>
              <w:jc w:val="left"/>
              <w:rPr>
                <w:rFonts w:hint="eastAsia" w:ascii="宋体" w:hAnsi="宋体" w:cs="宋体"/>
                <w:sz w:val="24"/>
                <w:szCs w:val="24"/>
              </w:rPr>
            </w:pPr>
            <w:r>
              <w:rPr>
                <w:rFonts w:hint="eastAsia" w:ascii="宋体" w:hAnsi="宋体" w:cs="宋体"/>
                <w:kern w:val="0"/>
                <w:sz w:val="24"/>
                <w:szCs w:val="24"/>
                <w:lang w:bidi="ar"/>
              </w:rPr>
              <w:t>评标分值</w:t>
            </w:r>
          </w:p>
        </w:tc>
        <w:tc>
          <w:tcPr>
            <w:tcW w:w="8217" w:type="dxa"/>
            <w:noWrap w:val="0"/>
            <w:vAlign w:val="center"/>
          </w:tcPr>
          <w:p>
            <w:pPr>
              <w:widowControl/>
              <w:spacing w:line="360" w:lineRule="auto"/>
              <w:jc w:val="left"/>
              <w:rPr>
                <w:rFonts w:hint="eastAsia" w:ascii="宋体" w:hAnsi="宋体" w:cs="宋体"/>
                <w:sz w:val="24"/>
                <w:szCs w:val="24"/>
              </w:rPr>
            </w:pPr>
            <w:r>
              <w:rPr>
                <w:rFonts w:hint="eastAsia" w:ascii="宋体" w:hAnsi="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974"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技术和服务响应情况</w:t>
            </w:r>
          </w:p>
        </w:tc>
        <w:tc>
          <w:tcPr>
            <w:tcW w:w="637" w:type="dxa"/>
            <w:noWrap w:val="0"/>
            <w:vAlign w:val="center"/>
          </w:tcPr>
          <w:p>
            <w:pPr>
              <w:widowControl/>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57</w:t>
            </w:r>
          </w:p>
        </w:tc>
        <w:tc>
          <w:tcPr>
            <w:tcW w:w="8217" w:type="dxa"/>
            <w:noWrap w:val="0"/>
            <w:vAlign w:val="center"/>
          </w:tcPr>
          <w:p>
            <w:pPr>
              <w:widowControl/>
              <w:spacing w:line="360" w:lineRule="auto"/>
              <w:jc w:val="left"/>
              <w:rPr>
                <w:rFonts w:hint="eastAsia" w:ascii="宋体" w:hAnsi="宋体" w:cs="宋体"/>
                <w:sz w:val="24"/>
                <w:szCs w:val="24"/>
              </w:rPr>
            </w:pPr>
            <w:r>
              <w:rPr>
                <w:rFonts w:hint="eastAsia" w:ascii="宋体" w:hAnsi="宋体" w:cs="宋体"/>
                <w:kern w:val="0"/>
                <w:sz w:val="24"/>
                <w:szCs w:val="24"/>
                <w:lang w:bidi="ar"/>
              </w:rPr>
              <w:t>根据各投标人对“技术和服务要求”中的各项技术参数、服务要求的响应承诺情况，由评委进行评议并评分：其它要求各项指标完全满足招标文件技术参数要求（无偏离或正偏离）的得</w:t>
            </w:r>
            <w:r>
              <w:rPr>
                <w:rFonts w:hint="eastAsia" w:ascii="宋体" w:hAnsi="宋体" w:eastAsia="宋体" w:cs="宋体"/>
                <w:color w:val="auto"/>
                <w:kern w:val="0"/>
                <w:sz w:val="24"/>
                <w:szCs w:val="24"/>
                <w:lang w:val="en-US" w:eastAsia="zh-CN" w:bidi="ar-SA"/>
              </w:rPr>
              <w:t>57</w:t>
            </w:r>
            <w:r>
              <w:rPr>
                <w:rFonts w:hint="eastAsia" w:ascii="宋体" w:hAnsi="宋体" w:cs="宋体"/>
                <w:kern w:val="0"/>
                <w:sz w:val="24"/>
                <w:szCs w:val="24"/>
                <w:lang w:bidi="ar"/>
              </w:rPr>
              <w:t>分，每负偏离一项扣1分,扣完为止。（招标文件若有要求提供相关佐证材料的，应提供相关佐证材料，否则不得分。）（满分</w:t>
            </w:r>
            <w:r>
              <w:rPr>
                <w:rFonts w:hint="eastAsia" w:ascii="宋体" w:hAnsi="宋体" w:eastAsia="宋体" w:cs="宋体"/>
                <w:color w:val="auto"/>
                <w:kern w:val="0"/>
                <w:sz w:val="24"/>
                <w:szCs w:val="24"/>
                <w:lang w:val="en-US" w:eastAsia="zh-CN" w:bidi="ar-SA"/>
              </w:rPr>
              <w:t>57</w:t>
            </w:r>
            <w:r>
              <w:rPr>
                <w:rFonts w:hint="eastAsia" w:ascii="宋体" w:hAnsi="宋体" w:cs="宋体"/>
                <w:kern w:val="0"/>
                <w:sz w:val="24"/>
                <w:szCs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974" w:type="dxa"/>
            <w:noWrap w:val="0"/>
            <w:vAlign w:val="center"/>
          </w:tcPr>
          <w:p>
            <w:pPr>
              <w:widowControl/>
              <w:spacing w:line="360" w:lineRule="auto"/>
              <w:jc w:val="left"/>
              <w:rPr>
                <w:rFonts w:hint="eastAsia" w:ascii="宋体" w:hAnsi="宋体" w:cs="宋体"/>
                <w:sz w:val="24"/>
                <w:szCs w:val="24"/>
              </w:rPr>
            </w:pPr>
            <w:r>
              <w:rPr>
                <w:rFonts w:hint="eastAsia" w:ascii="宋体" w:hAnsi="宋体" w:cs="宋体"/>
                <w:kern w:val="0"/>
                <w:sz w:val="24"/>
                <w:szCs w:val="24"/>
                <w:lang w:bidi="ar"/>
              </w:rPr>
              <w:t>演示</w:t>
            </w:r>
          </w:p>
        </w:tc>
        <w:tc>
          <w:tcPr>
            <w:tcW w:w="637" w:type="dxa"/>
            <w:noWrap w:val="0"/>
            <w:vAlign w:val="center"/>
          </w:tcPr>
          <w:p>
            <w:pPr>
              <w:widowControl/>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12</w:t>
            </w:r>
          </w:p>
        </w:tc>
        <w:tc>
          <w:tcPr>
            <w:tcW w:w="8217" w:type="dxa"/>
            <w:noWrap w:val="0"/>
            <w:vAlign w:val="center"/>
          </w:tcPr>
          <w:p>
            <w:pPr>
              <w:widowControl/>
              <w:spacing w:line="360" w:lineRule="auto"/>
              <w:jc w:val="left"/>
              <w:rPr>
                <w:rFonts w:hint="eastAsia" w:ascii="宋体" w:hAnsi="宋体" w:cs="宋体"/>
                <w:sz w:val="24"/>
                <w:szCs w:val="24"/>
              </w:rPr>
            </w:pPr>
            <w:r>
              <w:rPr>
                <w:rFonts w:hint="eastAsia" w:ascii="宋体" w:hAnsi="宋体" w:cs="宋体"/>
                <w:sz w:val="24"/>
                <w:szCs w:val="24"/>
              </w:rPr>
              <w:t>以下条款需提供现场演示，提前录制的操作视频或PPT演示的不得分。（演示设备自备，现场只提供投影仪，接口自备。演示时间不超过15分钟）</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rPr>
            </w:pPr>
            <w:r>
              <w:rPr>
                <w:rFonts w:hint="eastAsia" w:ascii="宋体" w:hAnsi="宋体" w:cs="宋体"/>
              </w:rPr>
              <w:t>1</w:t>
            </w:r>
            <w:r>
              <w:rPr>
                <w:rFonts w:hint="eastAsia" w:ascii="宋体" w:hAnsi="宋体" w:cs="宋体"/>
                <w:lang w:eastAsia="zh-CN"/>
              </w:rPr>
              <w:t>.</w:t>
            </w:r>
            <w:r>
              <w:rPr>
                <w:rFonts w:hint="eastAsia" w:ascii="宋体" w:hAnsi="宋体" w:cs="宋体"/>
                <w:lang w:val="en-US" w:eastAsia="zh-CN"/>
              </w:rPr>
              <w:t>以柱状图的形式对在建的所有课程完成情况进行展示；当鼠标移至柱状图上，显示对应课程的完成进度；当鼠标点击柱状图时，以柱状图显示对应课程下的视频、动画、课件、题库、文本材料等资源的完成进度。</w:t>
            </w:r>
            <w:r>
              <w:rPr>
                <w:rFonts w:hint="eastAsia" w:ascii="宋体" w:hAnsi="宋体" w:cs="宋体"/>
              </w:rPr>
              <w:t>（完整演示此项内容的得</w:t>
            </w:r>
            <w:r>
              <w:rPr>
                <w:rFonts w:hint="eastAsia" w:ascii="宋体" w:hAnsi="宋体" w:cs="宋体"/>
                <w:lang w:val="en-US" w:eastAsia="zh-CN"/>
              </w:rPr>
              <w:t>3</w:t>
            </w:r>
            <w:r>
              <w:rPr>
                <w:rFonts w:hint="eastAsia" w:ascii="宋体" w:hAnsi="宋体" w:cs="宋体"/>
              </w:rPr>
              <w:t xml:space="preserve">分,否则不得分。）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rPr>
            </w:pPr>
            <w:r>
              <w:rPr>
                <w:rFonts w:hint="eastAsia" w:ascii="宋体" w:hAnsi="宋体" w:cs="宋体"/>
              </w:rPr>
              <w:t>2.</w:t>
            </w:r>
            <w:r>
              <w:rPr>
                <w:rFonts w:hint="eastAsia" w:ascii="宋体" w:hAnsi="宋体" w:cs="宋体"/>
                <w:lang w:val="en-US" w:eastAsia="zh-CN"/>
              </w:rPr>
              <w:t>可对课程的目录进行手动添加、删除、修改操作。并可以通过平台提供的模板自动导入。</w:t>
            </w:r>
            <w:r>
              <w:rPr>
                <w:rFonts w:hint="eastAsia" w:ascii="宋体" w:hAnsi="宋体" w:cs="宋体"/>
              </w:rPr>
              <w:t>（完整演示此项内容的得</w:t>
            </w:r>
            <w:r>
              <w:rPr>
                <w:rFonts w:hint="eastAsia" w:ascii="宋体" w:hAnsi="宋体" w:cs="宋体"/>
                <w:lang w:val="en-US" w:eastAsia="zh-CN"/>
              </w:rPr>
              <w:t>3</w:t>
            </w:r>
            <w:r>
              <w:rPr>
                <w:rFonts w:hint="eastAsia" w:ascii="宋体" w:hAnsi="宋体" w:cs="宋体"/>
              </w:rPr>
              <w:t xml:space="preserve">分,否则不得分。） </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宋体"/>
                <w:lang w:val="en-US" w:eastAsia="zh-CN"/>
              </w:rPr>
            </w:pPr>
            <w:r>
              <w:rPr>
                <w:rFonts w:hint="eastAsia"/>
                <w:lang w:val="en-US" w:eastAsia="zh-CN"/>
              </w:rPr>
              <w:t>3.</w:t>
            </w:r>
            <w:r>
              <w:rPr>
                <w:rFonts w:hint="eastAsia" w:ascii="宋体" w:hAnsi="宋体" w:cs="宋体"/>
                <w:lang w:val="en-US" w:eastAsia="zh-CN"/>
              </w:rPr>
              <w:t>视频拍摄剪辑后，企业人员将视频初稿上传至平台，教师对企业制作好并上传的视频初稿进行查看，平台支持在线播放视频，并可在播放过程中对视频画面进行批注和文字标识，每修改一处，自动形成标注记录同时在原文件中进行标识，企业人员登录平台后，通过标注记录和播放视频可看到教师修改的批注标识，以此来指导企业员工对视频的某些修改细节。</w:t>
            </w:r>
            <w:r>
              <w:rPr>
                <w:rFonts w:hint="eastAsia" w:ascii="宋体" w:hAnsi="宋体" w:cs="宋体"/>
              </w:rPr>
              <w:t>（完整演示此项内容的得</w:t>
            </w:r>
            <w:r>
              <w:rPr>
                <w:rFonts w:hint="eastAsia" w:ascii="宋体" w:hAnsi="宋体" w:cs="宋体"/>
                <w:lang w:val="en-US" w:eastAsia="zh-CN"/>
              </w:rPr>
              <w:t>3</w:t>
            </w:r>
            <w:r>
              <w:rPr>
                <w:rFonts w:hint="eastAsia" w:ascii="宋体" w:hAnsi="宋体" w:cs="宋体"/>
              </w:rPr>
              <w:t>分,否则不得分。）</w:t>
            </w:r>
          </w:p>
          <w:p>
            <w:pPr>
              <w:pStyle w:val="93"/>
              <w:widowControl/>
              <w:spacing w:line="360" w:lineRule="auto"/>
              <w:jc w:val="left"/>
              <w:rPr>
                <w:rFonts w:hint="eastAsia" w:ascii="宋体" w:hAnsi="宋体" w:cs="宋体"/>
                <w:sz w:val="24"/>
                <w:szCs w:val="24"/>
              </w:rPr>
            </w:pPr>
            <w:r>
              <w:rPr>
                <w:rFonts w:hint="eastAsia" w:ascii="宋体" w:hAnsi="宋体" w:eastAsia="宋体" w:cs="宋体"/>
                <w:kern w:val="0"/>
                <w:sz w:val="24"/>
                <w:szCs w:val="24"/>
                <w:lang w:val="en-US" w:eastAsia="zh-CN" w:bidi="ar-SA"/>
              </w:rPr>
              <w:t>4.对比播放：在视频（动画）制作页面可以选择两个视频同屏播放，老师以此来观察两个视频的修改变化。（完整演示此项内容的得3分,否则不得分。）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974" w:type="dxa"/>
            <w:noWrap w:val="0"/>
            <w:vAlign w:val="center"/>
          </w:tcPr>
          <w:p>
            <w:pPr>
              <w:widowControl/>
              <w:spacing w:line="360" w:lineRule="auto"/>
              <w:jc w:val="center"/>
              <w:rPr>
                <w:rFonts w:hint="eastAsia" w:ascii="宋体" w:hAnsi="宋体" w:cs="宋体"/>
                <w:kern w:val="0"/>
                <w:sz w:val="24"/>
                <w:szCs w:val="24"/>
                <w:lang w:bidi="ar"/>
              </w:rPr>
            </w:pPr>
            <w:r>
              <w:rPr>
                <w:rFonts w:hint="eastAsia" w:ascii="宋体" w:hAnsi="宋体" w:cs="宋体"/>
                <w:kern w:val="0"/>
                <w:sz w:val="24"/>
                <w:szCs w:val="24"/>
                <w:lang w:bidi="ar"/>
              </w:rPr>
              <w:t>实施方案</w:t>
            </w:r>
          </w:p>
        </w:tc>
        <w:tc>
          <w:tcPr>
            <w:tcW w:w="637" w:type="dxa"/>
            <w:noWrap w:val="0"/>
            <w:vAlign w:val="center"/>
          </w:tcPr>
          <w:p>
            <w:pPr>
              <w:widowControl/>
              <w:spacing w:line="360" w:lineRule="auto"/>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3</w:t>
            </w:r>
          </w:p>
        </w:tc>
        <w:tc>
          <w:tcPr>
            <w:tcW w:w="8217" w:type="dxa"/>
            <w:noWrap w:val="0"/>
            <w:vAlign w:val="center"/>
          </w:tcPr>
          <w:p>
            <w:pPr>
              <w:widowControl/>
              <w:spacing w:line="360" w:lineRule="auto"/>
              <w:jc w:val="left"/>
              <w:rPr>
                <w:rFonts w:hint="eastAsia" w:ascii="宋体" w:hAnsi="宋体" w:cs="宋体"/>
                <w:kern w:val="0"/>
                <w:sz w:val="24"/>
                <w:szCs w:val="24"/>
                <w:lang w:bidi="ar"/>
              </w:rPr>
            </w:pPr>
            <w:r>
              <w:rPr>
                <w:rFonts w:hint="eastAsia" w:ascii="宋体" w:hAnsi="宋体" w:cs="宋体"/>
                <w:kern w:val="0"/>
                <w:sz w:val="24"/>
                <w:szCs w:val="24"/>
                <w:lang w:bidi="ar"/>
              </w:rPr>
              <w:t>投标人能根据招标文件技术和服务要求结合技术规范提出具体可行的实施方案（如：实施流程、人员配置与分工、具体操作方案等方面），由评委进行评分：方案周全、实用性高、可操作性强的得3分；方案较完整、实用性较好、可操作的得2分；方案有欠缺、实用性一般、尚可操作的得1分；未提供或有重大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2" w:hRule="atLeast"/>
          <w:tblCellSpacing w:w="0" w:type="dxa"/>
          <w:jc w:val="center"/>
        </w:trPr>
        <w:tc>
          <w:tcPr>
            <w:tcW w:w="974" w:type="dxa"/>
            <w:noWrap w:val="0"/>
            <w:vAlign w:val="center"/>
          </w:tcPr>
          <w:p>
            <w:pPr>
              <w:widowControl/>
              <w:spacing w:line="360" w:lineRule="auto"/>
              <w:jc w:val="center"/>
              <w:rPr>
                <w:rFonts w:hint="eastAsia" w:ascii="宋体" w:hAnsi="宋体" w:cs="宋体"/>
                <w:kern w:val="0"/>
                <w:sz w:val="24"/>
                <w:szCs w:val="24"/>
                <w:lang w:bidi="ar"/>
              </w:rPr>
            </w:pPr>
            <w:r>
              <w:rPr>
                <w:rFonts w:hint="eastAsia" w:ascii="宋体" w:hAnsi="宋体" w:cs="宋体"/>
                <w:kern w:val="0"/>
                <w:sz w:val="24"/>
                <w:szCs w:val="24"/>
                <w:lang w:bidi="ar"/>
              </w:rPr>
              <w:t>技术培训</w:t>
            </w:r>
          </w:p>
        </w:tc>
        <w:tc>
          <w:tcPr>
            <w:tcW w:w="637" w:type="dxa"/>
            <w:noWrap w:val="0"/>
            <w:vAlign w:val="center"/>
          </w:tcPr>
          <w:p>
            <w:pPr>
              <w:widowControl/>
              <w:spacing w:line="360" w:lineRule="auto"/>
              <w:jc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val="en-US" w:eastAsia="zh-CN" w:bidi="ar"/>
              </w:rPr>
              <w:t>3</w:t>
            </w:r>
          </w:p>
        </w:tc>
        <w:tc>
          <w:tcPr>
            <w:tcW w:w="8217" w:type="dxa"/>
            <w:noWrap w:val="0"/>
            <w:vAlign w:val="center"/>
          </w:tcPr>
          <w:p>
            <w:pPr>
              <w:widowControl/>
              <w:spacing w:line="360" w:lineRule="auto"/>
              <w:jc w:val="left"/>
              <w:rPr>
                <w:rFonts w:hint="eastAsia" w:ascii="宋体" w:hAnsi="宋体" w:cs="宋体"/>
                <w:kern w:val="0"/>
                <w:sz w:val="24"/>
                <w:szCs w:val="24"/>
                <w:lang w:bidi="ar"/>
              </w:rPr>
            </w:pPr>
            <w:r>
              <w:rPr>
                <w:rFonts w:hint="eastAsia" w:ascii="宋体" w:hAnsi="宋体" w:cs="宋体"/>
                <w:kern w:val="0"/>
                <w:sz w:val="24"/>
                <w:szCs w:val="24"/>
                <w:lang w:bidi="ar"/>
              </w:rPr>
              <w:t>根据投标人提供的技术培训方案就培训形式、培训时间、培训内容、实用性等方面情况，由评委进行评分：培训形式多样、培训时间长、培训内容丰富且实用、便于师生灵活运用本次采购内容的得</w:t>
            </w:r>
            <w:r>
              <w:rPr>
                <w:rFonts w:hint="eastAsia" w:ascii="宋体" w:hAnsi="宋体" w:cs="宋体"/>
                <w:kern w:val="0"/>
                <w:sz w:val="24"/>
                <w:szCs w:val="24"/>
                <w:lang w:val="en-US" w:eastAsia="zh-CN" w:bidi="ar"/>
              </w:rPr>
              <w:t>3</w:t>
            </w:r>
            <w:r>
              <w:rPr>
                <w:rFonts w:hint="eastAsia" w:ascii="宋体" w:hAnsi="宋体" w:cs="宋体"/>
                <w:kern w:val="0"/>
                <w:sz w:val="24"/>
                <w:szCs w:val="24"/>
                <w:lang w:bidi="ar"/>
              </w:rPr>
              <w:t>分；培训形式多样、培训时间短、培训内容较丰富实用，基本满足师生运用本次采购内容的得</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分；培训形式单一、培训时间短、培训内容较少的得</w:t>
            </w:r>
            <w:r>
              <w:rPr>
                <w:rFonts w:hint="eastAsia" w:ascii="宋体" w:hAnsi="宋体" w:cs="宋体"/>
                <w:kern w:val="0"/>
                <w:sz w:val="24"/>
                <w:szCs w:val="24"/>
                <w:lang w:val="en-US" w:eastAsia="zh-CN" w:bidi="ar"/>
              </w:rPr>
              <w:t>1</w:t>
            </w:r>
            <w:r>
              <w:rPr>
                <w:rFonts w:hint="eastAsia" w:ascii="宋体" w:hAnsi="宋体" w:cs="宋体"/>
                <w:kern w:val="0"/>
                <w:sz w:val="24"/>
                <w:szCs w:val="24"/>
                <w:lang w:bidi="ar"/>
              </w:rPr>
              <w:t>分；未提供本项得0分。</w:t>
            </w:r>
          </w:p>
        </w:tc>
      </w:tr>
    </w:tbl>
    <w:p>
      <w:pPr>
        <w:keepNext w:val="0"/>
        <w:keepLines w:val="0"/>
        <w:pageBreakBefore w:val="0"/>
        <w:kinsoku/>
        <w:wordWrap/>
        <w:overflowPunct/>
        <w:topLinePunct w:val="0"/>
        <w:bidi w:val="0"/>
        <w:spacing w:line="400" w:lineRule="exact"/>
        <w:ind w:left="0" w:right="0"/>
        <w:textAlignment w:val="auto"/>
        <w:rPr>
          <w:rFonts w:asciiTheme="minorEastAsia" w:hAnsiTheme="minorEastAsia" w:cstheme="minorEastAsia"/>
          <w:color w:val="auto"/>
          <w:szCs w:val="21"/>
          <w:highlight w:val="none"/>
        </w:rPr>
      </w:pPr>
    </w:p>
    <w:p>
      <w:pPr>
        <w:pStyle w:val="19"/>
        <w:keepNext w:val="0"/>
        <w:keepLines w:val="0"/>
        <w:pageBreakBefore w:val="0"/>
        <w:widowControl/>
        <w:numPr>
          <w:ilvl w:val="0"/>
          <w:numId w:val="1"/>
        </w:numPr>
        <w:kinsoku/>
        <w:wordWrap/>
        <w:overflowPunct/>
        <w:topLinePunct w:val="0"/>
        <w:bidi w:val="0"/>
        <w:spacing w:line="400" w:lineRule="exact"/>
        <w:ind w:left="0" w:right="0"/>
        <w:textAlignment w:val="auto"/>
        <w:rPr>
          <w:rFonts w:asciiTheme="minorEastAsia" w:hAnsiTheme="minorEastAsia" w:cstheme="minorEastAsia"/>
          <w:color w:val="auto"/>
          <w:highlight w:val="none"/>
        </w:rPr>
      </w:pPr>
      <w:r>
        <w:rPr>
          <w:rFonts w:hint="eastAsia" w:asciiTheme="minorEastAsia" w:hAnsiTheme="minorEastAsia" w:cstheme="minorEastAsia"/>
          <w:color w:val="auto"/>
          <w:highlight w:val="none"/>
        </w:rPr>
        <w:t>商务项（F3×A3）满分为</w:t>
      </w:r>
      <w:r>
        <w:rPr>
          <w:rFonts w:hint="eastAsia" w:asciiTheme="minorEastAsia" w:hAnsiTheme="minorEastAsia" w:cstheme="minorEastAsia"/>
          <w:color w:val="auto"/>
          <w:highlight w:val="none"/>
          <w:u w:val="single"/>
        </w:rPr>
        <w:t>15</w:t>
      </w:r>
      <w:r>
        <w:rPr>
          <w:rFonts w:hint="eastAsia" w:asciiTheme="minorEastAsia" w:hAnsiTheme="minorEastAsia" w:cstheme="minorEastAsia"/>
          <w:color w:val="auto"/>
          <w:highlight w:val="none"/>
        </w:rPr>
        <w:t>分。</w:t>
      </w:r>
    </w:p>
    <w:tbl>
      <w:tblPr>
        <w:tblStyle w:val="23"/>
        <w:tblW w:w="9728" w:type="dxa"/>
        <w:jc w:val="center"/>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628"/>
        <w:gridCol w:w="8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评标项目</w:t>
            </w:r>
          </w:p>
        </w:tc>
        <w:tc>
          <w:tcPr>
            <w:tcW w:w="628"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评标分值</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综合实力1</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bidi="ar"/>
              </w:rPr>
            </w:pPr>
            <w:r>
              <w:rPr>
                <w:rFonts w:hint="eastAsia" w:ascii="宋体" w:hAnsi="宋体" w:cs="宋体"/>
                <w:color w:val="auto"/>
                <w:kern w:val="0"/>
                <w:sz w:val="24"/>
                <w:highlight w:val="none"/>
                <w:lang w:bidi="ar"/>
              </w:rPr>
              <w:t>3</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投标人具有认证范围在教育课件开发技术服务的ISO9001:2015标准质量管理体系认证证书、ISO14001:2015标准环境管理体系认证证书、ISO45001:2018标准职业健康安全管理体系认证证书。每提供1份得1分，须提供有效的认证证书复印件，还须提供该证书在平台（http://cx.cnca.cn）上证书状态为“有效”的查询结果网页或截图打印件，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综合实力2</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bidi="ar"/>
              </w:rPr>
            </w:pPr>
            <w:r>
              <w:rPr>
                <w:rFonts w:hint="eastAsia" w:ascii="宋体" w:hAnsi="宋体" w:cs="宋体"/>
                <w:color w:val="auto"/>
                <w:kern w:val="0"/>
                <w:sz w:val="24"/>
                <w:highlight w:val="none"/>
                <w:lang w:bidi="ar"/>
              </w:rPr>
              <w:t>1</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投标人具有网络课程系统相关计算机软件著作权登记证书的得1分。须提供有效的证书复印件及“中国版权保护中心”登记公告查询网站地址或微平台查询和截图，否则不得分。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综合实力3</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bidi="ar"/>
              </w:rPr>
            </w:pPr>
            <w:r>
              <w:rPr>
                <w:rFonts w:hint="eastAsia" w:ascii="宋体" w:hAnsi="宋体" w:cs="宋体"/>
                <w:color w:val="auto"/>
                <w:kern w:val="0"/>
                <w:sz w:val="24"/>
                <w:highlight w:val="none"/>
                <w:lang w:bidi="ar"/>
              </w:rPr>
              <w:t>1</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投标人具有数字化课程资源系统相关计算机软件著作权登记证书的得1分。须提供有效的证书复印件及“中国版权保护中心”登记公告查询网站地址或微平台查询和截图，否则不得分。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综合实力4</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bidi="ar"/>
              </w:rPr>
            </w:pPr>
            <w:r>
              <w:rPr>
                <w:rFonts w:hint="eastAsia" w:ascii="宋体" w:hAnsi="宋体" w:cs="宋体"/>
                <w:color w:val="auto"/>
                <w:kern w:val="0"/>
                <w:sz w:val="24"/>
                <w:highlight w:val="none"/>
                <w:lang w:bidi="ar"/>
              </w:rPr>
              <w:t>1</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投标人具有教学资源库平台相关的计算机软件著作权登记证书的得1分。须提供有效的证书复印件及“中国版权保护中心”登记公告查询网站地址或微平台查询和截图，否则不得分。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eastAsia="zh-CN" w:bidi="ar"/>
              </w:rPr>
            </w:pPr>
            <w:r>
              <w:rPr>
                <w:rFonts w:hint="eastAsia" w:ascii="宋体" w:hAnsi="宋体" w:cs="宋体"/>
                <w:color w:val="auto"/>
                <w:kern w:val="0"/>
                <w:sz w:val="24"/>
                <w:highlight w:val="none"/>
                <w:lang w:bidi="ar"/>
              </w:rPr>
              <w:t>综合实力</w:t>
            </w:r>
            <w:r>
              <w:rPr>
                <w:rFonts w:hint="eastAsia" w:ascii="宋体" w:hAnsi="宋体" w:cs="宋体"/>
                <w:color w:val="auto"/>
                <w:kern w:val="0"/>
                <w:sz w:val="24"/>
                <w:highlight w:val="none"/>
                <w:lang w:val="en-US" w:eastAsia="zh-CN" w:bidi="ar"/>
              </w:rPr>
              <w:t>5</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highlight w:val="none"/>
                <w:lang w:val="en-US" w:eastAsia="zh-CN" w:bidi="ar"/>
              </w:rPr>
              <w:t>3</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根据</w:t>
            </w:r>
            <w:r>
              <w:rPr>
                <w:rFonts w:hint="eastAsia" w:ascii="宋体" w:hAnsi="宋体" w:cs="宋体"/>
                <w:color w:val="auto"/>
                <w:kern w:val="0"/>
                <w:sz w:val="24"/>
                <w:highlight w:val="none"/>
              </w:rPr>
              <w:t>投标人</w:t>
            </w:r>
            <w:r>
              <w:rPr>
                <w:rFonts w:hint="eastAsia" w:ascii="宋体" w:hAnsi="宋体" w:cs="宋体"/>
                <w:color w:val="auto"/>
                <w:kern w:val="0"/>
                <w:sz w:val="24"/>
                <w:highlight w:val="none"/>
                <w:lang w:bidi="ar"/>
              </w:rPr>
              <w:t>提供精品课程、教学资源库开发产品彩页，彩页内容包含了课程申报、课程内容、课程设计与制作、资源建设过程及资源库案例等方面，由评委进行评议，彩页内容丰富、详细、说明合理的得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分，彩页内容一般，说明合理性一般的得</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分，其他情况或未提供相关材料的本项不得分。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业绩1</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highlight w:val="none"/>
                <w:lang w:val="en-US" w:eastAsia="zh-CN" w:bidi="ar"/>
              </w:rPr>
              <w:t>3</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投标人提供具有同类专业资源库建设项目案例，每提供一份得</w:t>
            </w:r>
            <w:r>
              <w:rPr>
                <w:rFonts w:hint="eastAsia" w:ascii="宋体" w:hAnsi="宋体" w:cs="宋体"/>
                <w:color w:val="auto"/>
                <w:kern w:val="0"/>
                <w:sz w:val="24"/>
                <w:highlight w:val="none"/>
                <w:lang w:val="en-US" w:eastAsia="zh-CN" w:bidi="ar"/>
              </w:rPr>
              <w:t>1.0</w:t>
            </w:r>
            <w:r>
              <w:rPr>
                <w:rFonts w:hint="eastAsia" w:ascii="宋体" w:hAnsi="宋体" w:cs="宋体"/>
                <w:color w:val="auto"/>
                <w:kern w:val="0"/>
                <w:sz w:val="24"/>
                <w:highlight w:val="none"/>
                <w:lang w:bidi="ar"/>
              </w:rPr>
              <w:t>分，满分得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.0分。需同时提供业绩的中标（成交）公告（相关网站中标（成交）公告的下载网页及其网址）、中标（成交）通知书复印件、采购合同文本复印件、验收报告复印件，原件备查。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blCellSpacing w:w="0" w:type="dxa"/>
          <w:jc w:val="center"/>
        </w:trPr>
        <w:tc>
          <w:tcPr>
            <w:tcW w:w="695" w:type="dxa"/>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售后服务</w:t>
            </w:r>
          </w:p>
        </w:tc>
        <w:tc>
          <w:tcPr>
            <w:tcW w:w="628" w:type="dxa"/>
            <w:noWrap w:val="0"/>
            <w:vAlign w:val="center"/>
          </w:tcPr>
          <w:p>
            <w:pPr>
              <w:widowControl/>
              <w:spacing w:line="360" w:lineRule="auto"/>
              <w:jc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highlight w:val="none"/>
                <w:lang w:val="en-US" w:eastAsia="zh-CN" w:bidi="ar"/>
              </w:rPr>
              <w:t>3</w:t>
            </w:r>
          </w:p>
        </w:tc>
        <w:tc>
          <w:tcPr>
            <w:tcW w:w="8405" w:type="dxa"/>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cs="宋体"/>
                <w:color w:val="auto"/>
                <w:kern w:val="0"/>
                <w:sz w:val="24"/>
                <w:highlight w:val="none"/>
                <w:lang w:bidi="ar"/>
              </w:rPr>
              <w:t>根据各投标人提供的售后技术维护服务体系、专业技术和服务人员配备、故障响应时间、响应方式等方面，由评委进行评议，售后服务体系完善、专业技术和服务人员配备齐全的得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分，售后服务体系不够完善、专业技术和服务人员配备较少的得</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分，其他情况或未提供相关材料的本项不得分。</w:t>
            </w:r>
          </w:p>
        </w:tc>
      </w:tr>
    </w:tbl>
    <w:p>
      <w:pPr>
        <w:keepNext w:val="0"/>
        <w:keepLines w:val="0"/>
        <w:pageBreakBefore w:val="0"/>
        <w:widowControl/>
        <w:kinsoku/>
        <w:wordWrap/>
        <w:overflowPunct/>
        <w:topLinePunct w:val="0"/>
        <w:bidi w:val="0"/>
        <w:spacing w:line="400" w:lineRule="exact"/>
        <w:ind w:left="0" w:right="0"/>
        <w:jc w:val="left"/>
        <w:textAlignment w:val="auto"/>
        <w:rPr>
          <w:rFonts w:ascii="宋体" w:hAnsi="宋体" w:cs="宋体"/>
          <w:color w:val="auto"/>
          <w:kern w:val="0"/>
          <w:sz w:val="24"/>
          <w:highlight w:val="none"/>
        </w:rPr>
      </w:pP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④加分项（</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a.优先类节能产品、环境标志产品：</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a1若同一采购包内节能、环境标志产品报价总金额低于该采购包报价总金额</w:t>
      </w:r>
      <w:r>
        <w:rPr>
          <w:rFonts w:ascii="Calibri" w:hAnsi="Calibri" w:cs="Calibri"/>
          <w:color w:val="auto"/>
          <w:highlight w:val="none"/>
        </w:rPr>
        <w:t>20%</w:t>
      </w:r>
      <w:r>
        <w:rPr>
          <w:rFonts w:hint="eastAsia" w:ascii="宋体" w:hAnsi="宋体" w:cs="宋体"/>
          <w:color w:val="auto"/>
          <w:highlight w:val="none"/>
        </w:rPr>
        <w:t>（含</w:t>
      </w:r>
      <w:r>
        <w:rPr>
          <w:rFonts w:ascii="Calibri" w:hAnsi="Calibri" w:cs="Calibri"/>
          <w:color w:val="auto"/>
          <w:highlight w:val="none"/>
        </w:rPr>
        <w:t>20%</w:t>
      </w:r>
      <w:r>
        <w:rPr>
          <w:rFonts w:hint="eastAsia" w:ascii="宋体" w:hAnsi="宋体" w:cs="宋体"/>
          <w:color w:val="auto"/>
          <w:highlight w:val="none"/>
        </w:rPr>
        <w:t>）以下，将分别给予节能、环境标志产品价格项（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4%</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20%-50%</w:t>
      </w:r>
      <w:r>
        <w:rPr>
          <w:rFonts w:hint="eastAsia" w:ascii="宋体" w:hAnsi="宋体" w:cs="宋体"/>
          <w:color w:val="auto"/>
          <w:highlight w:val="none"/>
        </w:rPr>
        <w:t>（含</w:t>
      </w:r>
      <w:r>
        <w:rPr>
          <w:rFonts w:ascii="Calibri" w:hAnsi="Calibri" w:cs="Calibri"/>
          <w:color w:val="auto"/>
          <w:highlight w:val="none"/>
        </w:rPr>
        <w:t>50%</w:t>
      </w:r>
      <w:r>
        <w:rPr>
          <w:rFonts w:hint="eastAsia" w:ascii="宋体" w:hAnsi="宋体" w:cs="宋体"/>
          <w:color w:val="auto"/>
          <w:highlight w:val="none"/>
        </w:rPr>
        <w:t>），将分别给予节能、环境标志产品价格项（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6%</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50%</w:t>
      </w:r>
      <w:r>
        <w:rPr>
          <w:rFonts w:hint="eastAsia" w:ascii="宋体" w:hAnsi="宋体" w:cs="宋体"/>
          <w:color w:val="auto"/>
          <w:highlight w:val="none"/>
        </w:rPr>
        <w:t>以上的，将分别给予节能、环境标志产品价格项（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8%</w:t>
      </w:r>
      <w:r>
        <w:rPr>
          <w:rFonts w:hint="eastAsia" w:ascii="宋体" w:hAnsi="宋体" w:cs="宋体"/>
          <w:color w:val="auto"/>
          <w:highlight w:val="none"/>
        </w:rPr>
        <w:t>的加分。</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a2若节能、环境标志产品仅是构成投标产品的部件、组件或零件，则该投标产品不享受鼓励优惠政策。同一品目中各认证证书不重复计算加分。强制类节能产品不享受加分。</w:t>
      </w:r>
    </w:p>
    <w:tbl>
      <w:tblPr>
        <w:tblStyle w:val="23"/>
        <w:tblW w:w="944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795"/>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评标项目</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color w:val="auto"/>
                <w:highlight w:val="none"/>
              </w:rPr>
            </w:pPr>
            <w:r>
              <w:rPr>
                <w:rFonts w:ascii="宋体" w:hAnsi="宋体" w:cs="宋体"/>
                <w:color w:val="auto"/>
                <w:kern w:val="0"/>
                <w:sz w:val="24"/>
                <w:highlight w:val="none"/>
              </w:rPr>
              <w:t>评标分值</w:t>
            </w:r>
          </w:p>
        </w:tc>
        <w:tc>
          <w:tcPr>
            <w:tcW w:w="6863"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21" w:hRule="atLeast"/>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节能、减排、环境标志产品加分明细项</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color w:val="auto"/>
                <w:highlight w:val="none"/>
              </w:rPr>
            </w:pPr>
            <w:r>
              <w:rPr>
                <w:rFonts w:hint="eastAsia"/>
                <w:color w:val="auto"/>
                <w:highlight w:val="none"/>
              </w:rPr>
              <w:t>6.8</w:t>
            </w:r>
          </w:p>
        </w:tc>
        <w:tc>
          <w:tcPr>
            <w:tcW w:w="6863"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同一合同包内的节能、减排、环境标志产品报价总金额占合同包报价总金额20%(含20%)以下的，将分别给予价格评标项和技术评标项标准总分值4%的加分；同一合同包内的节能、减排、环境标志产品报价总金额占合同包报价总金额20%-50%(含50%)的， 将分别给予价格评标项和技术评标项标准总分值6%的加分； 同一合同包内的节能、减排、环境标志产品报价总金额占合同包报价总金额50%以上的， 将分别给予价格评标项和技术评标项标准总分值8%的加分。</w:t>
            </w:r>
          </w:p>
        </w:tc>
      </w:tr>
    </w:tbl>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（4）中标候选人排列规则顺序如下：</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a.按照评标总得分（</w:t>
      </w:r>
      <w:r>
        <w:rPr>
          <w:rFonts w:ascii="Calibri" w:hAnsi="Calibri" w:cs="Calibri"/>
          <w:color w:val="auto"/>
          <w:highlight w:val="none"/>
        </w:rPr>
        <w:t>FA</w:t>
      </w:r>
      <w:r>
        <w:rPr>
          <w:rFonts w:hint="eastAsia" w:ascii="宋体" w:hAnsi="宋体" w:cs="宋体"/>
          <w:color w:val="auto"/>
          <w:highlight w:val="none"/>
        </w:rPr>
        <w:t>）由高到低顺序排列。</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b.评标总得分（</w:t>
      </w:r>
      <w:r>
        <w:rPr>
          <w:rFonts w:ascii="Calibri" w:hAnsi="Calibri" w:cs="Calibri"/>
          <w:color w:val="auto"/>
          <w:highlight w:val="none"/>
        </w:rPr>
        <w:t>FA</w:t>
      </w:r>
      <w:r>
        <w:rPr>
          <w:rFonts w:hint="eastAsia" w:ascii="宋体" w:hAnsi="宋体" w:cs="宋体"/>
          <w:color w:val="auto"/>
          <w:highlight w:val="none"/>
        </w:rPr>
        <w:t>）相同的，按照评标价（即价格扣除后的投标报价）由低到高顺序排列。</w:t>
      </w:r>
    </w:p>
    <w:p>
      <w:pPr>
        <w:pStyle w:val="19"/>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c.评标总得分（</w:t>
      </w:r>
      <w:r>
        <w:rPr>
          <w:rFonts w:ascii="Calibri" w:hAnsi="Calibri" w:cs="Calibri"/>
          <w:color w:val="auto"/>
          <w:highlight w:val="none"/>
        </w:rPr>
        <w:t>FA</w:t>
      </w:r>
      <w:r>
        <w:rPr>
          <w:rFonts w:hint="eastAsia" w:ascii="宋体" w:hAnsi="宋体" w:cs="宋体"/>
          <w:color w:val="auto"/>
          <w:highlight w:val="none"/>
        </w:rPr>
        <w:t>）且评标价（即价格扣除后的投标报价）相同的并列。</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8、其他规定</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8.1评标应全程保密且不得透露给任一投标人或与评标工作无关的人员。</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8.2评标将进行全程实时录音录像，录音录像资料随采购文件一并存档。</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8.3若投标人有任何试图干扰具体评标事务，影响评标委员会独立履行职责的行为，其投标无效且不予退还投标保证金。情节严重的，由财政部门列入不良行为记录。</w:t>
      </w:r>
    </w:p>
    <w:p>
      <w:pPr>
        <w:pStyle w:val="19"/>
        <w:keepNext w:val="0"/>
        <w:keepLines w:val="0"/>
        <w:pageBreakBefore w:val="0"/>
        <w:widowControl/>
        <w:kinsoku/>
        <w:wordWrap/>
        <w:overflowPunct/>
        <w:topLinePunct w:val="0"/>
        <w:bidi w:val="0"/>
        <w:spacing w:line="400" w:lineRule="exact"/>
        <w:ind w:left="0" w:right="0"/>
        <w:textAlignment w:val="auto"/>
        <w:rPr>
          <w:color w:val="auto"/>
          <w:highlight w:val="none"/>
        </w:rPr>
      </w:pPr>
      <w:r>
        <w:rPr>
          <w:rFonts w:hint="eastAsia" w:ascii="宋体" w:hAnsi="宋体" w:cs="宋体"/>
          <w:color w:val="auto"/>
          <w:highlight w:val="none"/>
        </w:rPr>
        <w:t>8.4其他：</w:t>
      </w:r>
      <w:r>
        <w:rPr>
          <w:color w:val="auto"/>
          <w:highlight w:val="none"/>
        </w:rPr>
        <w:t>无。</w:t>
      </w:r>
    </w:p>
    <w:p>
      <w:pPr>
        <w:widowControl/>
        <w:spacing w:before="75" w:after="75" w:line="360" w:lineRule="auto"/>
        <w:jc w:val="left"/>
        <w:rPr>
          <w:rFonts w:ascii="宋体" w:hAnsi="宋体" w:cs="宋体"/>
          <w:color w:val="auto"/>
          <w:kern w:val="0"/>
          <w:sz w:val="24"/>
          <w:highlight w:val="none"/>
        </w:rPr>
      </w:pPr>
    </w:p>
    <w:p>
      <w:pPr>
        <w:widowControl/>
        <w:spacing w:before="75" w:after="75" w:line="360" w:lineRule="auto"/>
        <w:jc w:val="left"/>
        <w:rPr>
          <w:rFonts w:ascii="宋体" w:hAnsi="宋体" w:cs="宋体"/>
          <w:color w:val="auto"/>
          <w:kern w:val="0"/>
          <w:sz w:val="24"/>
          <w:highlight w:val="none"/>
        </w:rPr>
      </w:pPr>
    </w:p>
    <w:p>
      <w:pPr>
        <w:rPr>
          <w:rFonts w:ascii="宋体" w:hAnsi="宋体" w:cs="宋体"/>
          <w:color w:val="auto"/>
          <w:kern w:val="0"/>
          <w:sz w:val="24"/>
          <w:highlight w:val="none"/>
        </w:rPr>
      </w:pPr>
      <w:r>
        <w:rPr>
          <w:rFonts w:ascii="宋体" w:hAnsi="宋体" w:cs="宋体"/>
          <w:color w:val="auto"/>
          <w:kern w:val="0"/>
          <w:sz w:val="24"/>
          <w:highlight w:val="none"/>
        </w:rPr>
        <w:br w:type="page"/>
      </w:r>
    </w:p>
    <w:p>
      <w:pPr>
        <w:pStyle w:val="6"/>
        <w:rPr>
          <w:color w:val="auto"/>
          <w:highlight w:val="none"/>
        </w:rPr>
      </w:pPr>
    </w:p>
    <w:p>
      <w:pPr>
        <w:tabs>
          <w:tab w:val="left" w:pos="3240"/>
          <w:tab w:val="left" w:pos="3600"/>
          <w:tab w:val="left" w:pos="4057"/>
          <w:tab w:val="right" w:pos="9070"/>
        </w:tabs>
        <w:spacing w:after="156" w:afterLines="50" w:line="264"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第五章  招标内容及要求</w:t>
      </w:r>
    </w:p>
    <w:bookmarkEnd w:id="0"/>
    <w:p>
      <w:pPr>
        <w:pStyle w:val="19"/>
        <w:widowControl/>
        <w:spacing w:before="75" w:after="75" w:line="360" w:lineRule="auto"/>
        <w:rPr>
          <w:rFonts w:ascii="宋体" w:hAnsi="宋体" w:cs="宋体"/>
          <w:b/>
          <w:bCs/>
          <w:color w:val="auto"/>
          <w:highlight w:val="none"/>
        </w:rPr>
      </w:pPr>
      <w:r>
        <w:rPr>
          <w:rFonts w:hint="eastAsia" w:ascii="宋体" w:hAnsi="宋体" w:cs="宋体"/>
          <w:b/>
          <w:bCs/>
          <w:color w:val="auto"/>
          <w:highlight w:val="none"/>
        </w:rPr>
        <w:t>一、项目概况（采购标的）</w:t>
      </w:r>
    </w:p>
    <w:tbl>
      <w:tblPr>
        <w:tblStyle w:val="23"/>
        <w:tblW w:w="10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0"/>
        <w:gridCol w:w="1314"/>
        <w:gridCol w:w="7451"/>
        <w:gridCol w:w="48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570"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314"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设备名称/支出项目</w:t>
            </w:r>
          </w:p>
        </w:tc>
        <w:tc>
          <w:tcPr>
            <w:tcW w:w="7451"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型号规格/支出用途概述</w:t>
            </w:r>
          </w:p>
        </w:tc>
        <w:tc>
          <w:tcPr>
            <w:tcW w:w="481"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w:t>
            </w:r>
          </w:p>
        </w:tc>
        <w:tc>
          <w:tcPr>
            <w:tcW w:w="518"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570"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314"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操作系统和办公软件授权服务</w:t>
            </w:r>
          </w:p>
        </w:tc>
        <w:tc>
          <w:tcPr>
            <w:tcW w:w="7451" w:type="dxa"/>
            <w:vAlign w:val="center"/>
          </w:tcPr>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包括windows11专业版、Windows10专业版、windows8专业版及服务期内发行的新版本；office 2019专业增强版/office2016专业增强版/office2013专业增强版/office2010专业增强版，office for mac 2019/2016/2011及服务期内的升级版本使用），覆盖全校师生使用。（具体详见技术和服务要求）</w:t>
            </w:r>
          </w:p>
        </w:tc>
        <w:tc>
          <w:tcPr>
            <w:tcW w:w="481"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p>
        </w:tc>
        <w:tc>
          <w:tcPr>
            <w:tcW w:w="518"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570"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314" w:type="dxa"/>
            <w:vAlign w:val="center"/>
          </w:tcPr>
          <w:p>
            <w:pPr>
              <w:pStyle w:val="94"/>
              <w:ind w:firstLine="0" w:firstLineChars="0"/>
              <w:rPr>
                <w:rFonts w:asciiTheme="minorEastAsia" w:hAnsiTheme="minorEastAsia" w:eastAsiaTheme="minorEastAsia"/>
                <w:color w:val="auto"/>
                <w:sz w:val="24"/>
                <w:highlight w:val="none"/>
              </w:rPr>
            </w:pPr>
            <w:r>
              <w:rPr>
                <w:rFonts w:hint="eastAsia" w:ascii="宋体" w:hAnsi="宋体" w:cs="宋体"/>
                <w:color w:val="auto"/>
                <w:kern w:val="0"/>
                <w:sz w:val="24"/>
                <w:highlight w:val="none"/>
              </w:rPr>
              <w:t>软件正版化管理平台和售后服务</w:t>
            </w:r>
          </w:p>
        </w:tc>
        <w:tc>
          <w:tcPr>
            <w:tcW w:w="7451" w:type="dxa"/>
            <w:vAlign w:val="center"/>
          </w:tcPr>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1、提供软件资源管理平台需实现对校园软件正版化协议的软件在本校范围内的软件下载、批量分发、软件升级、批量激活、数量统计等全面管理；</w:t>
            </w:r>
          </w:p>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2、软件更新：包括平台产品更新、补丁更新和平台数据更新</w:t>
            </w:r>
          </w:p>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3、提供本地客户服务支持，24小时响应，提供定期巡检、平台升级、数据导入、更新服务、技术支持等服务</w:t>
            </w:r>
          </w:p>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4、培训3名以上网络管理人员，对系统进行操作培训</w:t>
            </w:r>
          </w:p>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5、提供在线技术支持服务及服务电话、服务邮箱和400电话热线和网络咨询服务(5×8小时/周)</w:t>
            </w:r>
          </w:p>
          <w:p>
            <w:pPr>
              <w:pStyle w:val="94"/>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6、软件在升级范围时间内出现新版本应免费升级（具体详见技术和服务要求）</w:t>
            </w:r>
          </w:p>
        </w:tc>
        <w:tc>
          <w:tcPr>
            <w:tcW w:w="481"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p>
        </w:tc>
        <w:tc>
          <w:tcPr>
            <w:tcW w:w="518"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570" w:type="dxa"/>
            <w:vAlign w:val="center"/>
          </w:tcPr>
          <w:p>
            <w:pPr>
              <w:pStyle w:val="94"/>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314" w:type="dxa"/>
            <w:vAlign w:val="center"/>
          </w:tcPr>
          <w:p>
            <w:pPr>
              <w:pStyle w:val="94"/>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360杀毒软件</w:t>
            </w:r>
          </w:p>
        </w:tc>
        <w:tc>
          <w:tcPr>
            <w:tcW w:w="7451" w:type="dxa"/>
            <w:vAlign w:val="center"/>
          </w:tcPr>
          <w:p>
            <w:pPr>
              <w:pStyle w:val="94"/>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年授权（具体详见技术和服务要求）</w:t>
            </w:r>
          </w:p>
        </w:tc>
        <w:tc>
          <w:tcPr>
            <w:tcW w:w="481"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套</w:t>
            </w:r>
          </w:p>
        </w:tc>
        <w:tc>
          <w:tcPr>
            <w:tcW w:w="518" w:type="dxa"/>
            <w:vAlign w:val="center"/>
          </w:tcPr>
          <w:p>
            <w:pPr>
              <w:pStyle w:val="94"/>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p>
        </w:tc>
      </w:tr>
    </w:tbl>
    <w:p>
      <w:pPr>
        <w:numPr>
          <w:ilvl w:val="0"/>
          <w:numId w:val="4"/>
        </w:numPr>
        <w:autoSpaceDE w:val="0"/>
        <w:autoSpaceDN w:val="0"/>
        <w:adjustRightInd w:val="0"/>
        <w:snapToGrid w:val="0"/>
        <w:spacing w:before="468" w:beforeLines="150" w:after="312" w:afterLines="100" w:line="400" w:lineRule="exact"/>
        <w:jc w:val="left"/>
        <w:rPr>
          <w:rFonts w:ascii="宋体" w:hAnsi="宋体" w:cs="宋体"/>
          <w:color w:val="auto"/>
          <w:szCs w:val="21"/>
          <w:highlight w:val="none"/>
        </w:rPr>
      </w:pPr>
      <w:r>
        <w:rPr>
          <w:rFonts w:hint="eastAsia" w:ascii="宋体" w:hAnsi="宋体" w:cs="宋体"/>
          <w:b/>
          <w:bCs/>
          <w:color w:val="auto"/>
          <w:sz w:val="24"/>
          <w:szCs w:val="32"/>
          <w:highlight w:val="none"/>
        </w:rPr>
        <w:t>技术和服务要求</w:t>
      </w:r>
      <w:r>
        <w:rPr>
          <w:rStyle w:val="27"/>
          <w:rFonts w:hint="eastAsia" w:ascii="宋体" w:hAnsi="宋体" w:cs="宋体"/>
          <w:bCs/>
          <w:color w:val="auto"/>
          <w:sz w:val="24"/>
          <w:highlight w:val="none"/>
          <w:u w:val="single"/>
        </w:rPr>
        <w:t>（</w:t>
      </w:r>
      <w:r>
        <w:rPr>
          <w:rStyle w:val="27"/>
          <w:rFonts w:hint="eastAsia" w:ascii="宋体" w:hAnsi="宋体" w:cs="宋体"/>
          <w:color w:val="auto"/>
          <w:sz w:val="24"/>
          <w:highlight w:val="none"/>
          <w:u w:val="single"/>
        </w:rPr>
        <w:t>以“★”标示的内容为不允许负偏离的实质性要求）</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jc w:val="left"/>
        <w:textAlignment w:val="auto"/>
        <w:rPr>
          <w:rFonts w:cs="宋体"/>
          <w:sz w:val="24"/>
          <w:szCs w:val="24"/>
        </w:rPr>
      </w:pPr>
      <w:r>
        <w:rPr>
          <w:rFonts w:cs="宋体"/>
          <w:sz w:val="24"/>
          <w:szCs w:val="24"/>
        </w:rPr>
        <w:t>（一）总体要求</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1.本项目建设</w:t>
      </w:r>
      <w:r>
        <w:rPr>
          <w:rFonts w:hint="eastAsia" w:ascii="宋体" w:hAnsi="宋体" w:cs="宋体"/>
          <w:b w:val="0"/>
          <w:bCs w:val="0"/>
          <w:sz w:val="24"/>
          <w:szCs w:val="24"/>
          <w:lang w:val="en-US" w:eastAsia="zh-CN"/>
        </w:rPr>
        <w:t>2</w:t>
      </w:r>
      <w:r>
        <w:rPr>
          <w:rFonts w:hint="eastAsia" w:ascii="宋体" w:hAnsi="宋体" w:cs="宋体"/>
          <w:b w:val="0"/>
          <w:bCs w:val="0"/>
          <w:sz w:val="24"/>
          <w:szCs w:val="24"/>
        </w:rPr>
        <w:t>门精品在线开放课程资源，资源制作技术规范应严格按照并满足《福建省职业教育精品在线开放课程建设指南（试行）》规定的技术要求以及采购人《湄洲湾职业技术学院精品在线开放课程建设指南（试行）》规定技术要求。</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2.对于精品课程资源建设质量邀请专家做好把关并协助学校做好课程申报省级精品在线开放课程工作、验收工作和材料整理，后续如申报国家级精品课程成功费用可另议。</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3.指导、督促课程团队完成资源建设过程中的各类文本、题目准备及课程平台教学应用部署，实现平台效益最大化。</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4.视频和动画的拍摄制作，供应商应提供专业人员进行沟通与技术研讨辅助教师进行整体设计，协助教师做好素材的收集以及角本的完善。</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5.供应商应配备有完整的服务团队，包含项目经理（1名）：负责项目的整体制作进度及制作质量，销售代表（1名）：负责商务协调，摄影工程师（不少于3名）：负责微课、视频拍摄及过程性指导，动画工程师（不少于1名）：负责课程动画脚本指导、沟通及动画制作。</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6.设备要求：拍摄采用专业高清摄像机拍摄，所用摄像机分辨率不低于1920×1080，最高也可支持4k分辨率，录制视频宽高比16:9，视频帧率为25帧/秒。配套录音设备专业无线麦话筒，必要时可提供双灯或三灯布光照明设备，在拍摄时应针对实际情况采用单机位或多机位拍摄。</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cs="宋体"/>
          <w:b w:val="0"/>
          <w:bCs w:val="0"/>
          <w:sz w:val="24"/>
          <w:szCs w:val="24"/>
        </w:rPr>
      </w:pPr>
      <w:r>
        <w:rPr>
          <w:rFonts w:hint="eastAsia" w:ascii="宋体" w:hAnsi="宋体" w:cs="宋体"/>
          <w:b w:val="0"/>
          <w:bCs w:val="0"/>
          <w:sz w:val="24"/>
          <w:szCs w:val="24"/>
        </w:rPr>
        <w:t>7.录制场地或制作形式由课程教师根据所讲知识点选定。可以是课堂、演播室、智慧教室、实训室或企业现场拍摄等场地。</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rPr>
      </w:pPr>
      <w:r>
        <w:rPr>
          <w:rFonts w:hint="eastAsia" w:ascii="宋体" w:hAnsi="宋体" w:cs="宋体"/>
          <w:b w:val="0"/>
          <w:bCs w:val="0"/>
          <w:sz w:val="24"/>
          <w:szCs w:val="24"/>
        </w:rPr>
        <w:t>8.拍摄方式:按教学知识点或技能点录制，录制环境光线充足、安静，教师衣着得体，讲话清晰，板书清楚。</w:t>
      </w:r>
    </w:p>
    <w:p>
      <w:pPr>
        <w:pStyle w:val="19"/>
        <w:keepNext w:val="0"/>
        <w:keepLines w:val="0"/>
        <w:pageBreakBefore w:val="0"/>
        <w:shd w:val="clear" w:color="auto" w:fill="FFFFFF"/>
        <w:kinsoku/>
        <w:wordWrap/>
        <w:overflowPunct/>
        <w:topLinePunct w:val="0"/>
        <w:bidi w:val="0"/>
        <w:snapToGrid w:val="0"/>
        <w:spacing w:beforeAutospacing="0" w:afterAutospacing="0" w:line="400" w:lineRule="exact"/>
        <w:jc w:val="left"/>
        <w:rPr>
          <w:rStyle w:val="27"/>
          <w:rFonts w:hint="eastAsia"/>
          <w:color w:val="000000"/>
          <w:shd w:val="clear" w:color="auto" w:fill="FFFFFF"/>
        </w:rPr>
      </w:pPr>
      <w:r>
        <w:rPr>
          <w:rStyle w:val="27"/>
          <w:rFonts w:hint="eastAsia"/>
          <w:color w:val="000000"/>
          <w:shd w:val="clear" w:color="auto" w:fill="FFFFFF"/>
        </w:rPr>
        <w:t>（二）建设内容</w:t>
      </w:r>
    </w:p>
    <w:p>
      <w:pPr>
        <w:keepNext w:val="0"/>
        <w:keepLines w:val="0"/>
        <w:pageBreakBefore w:val="0"/>
        <w:kinsoku/>
        <w:wordWrap/>
        <w:overflowPunct/>
        <w:topLinePunct w:val="0"/>
        <w:bidi w:val="0"/>
        <w:adjustRightInd w:val="0"/>
        <w:snapToGrid w:val="0"/>
        <w:spacing w:line="400" w:lineRule="exact"/>
        <w:ind w:firstLine="480" w:firstLineChars="200"/>
        <w:jc w:val="left"/>
        <w:rPr>
          <w:rStyle w:val="27"/>
          <w:rFonts w:hint="eastAsia" w:eastAsia="宋体"/>
          <w:color w:val="000000"/>
          <w:shd w:val="clear" w:color="auto" w:fill="FFFFFF"/>
          <w:lang w:val="en-US" w:eastAsia="zh-CN"/>
        </w:rPr>
      </w:pPr>
      <w:r>
        <w:rPr>
          <w:rFonts w:hint="eastAsia" w:ascii="宋体" w:hAnsi="宋体" w:cs="宋体"/>
          <w:color w:val="auto"/>
          <w:sz w:val="24"/>
          <w:szCs w:val="24"/>
          <w:lang w:val="en-US" w:eastAsia="zh-CN"/>
        </w:rPr>
        <w:t>精品</w:t>
      </w:r>
      <w:r>
        <w:rPr>
          <w:rFonts w:hint="eastAsia" w:ascii="宋体" w:hAnsi="宋体" w:cs="宋体"/>
          <w:color w:val="auto"/>
          <w:sz w:val="24"/>
          <w:szCs w:val="24"/>
        </w:rPr>
        <w:t>课程资源</w:t>
      </w:r>
      <w:r>
        <w:rPr>
          <w:rFonts w:hint="eastAsia" w:ascii="宋体" w:hAnsi="宋体" w:cs="宋体"/>
          <w:sz w:val="24"/>
          <w:szCs w:val="24"/>
        </w:rPr>
        <w:t>定位于“能学、辅教”。“能学”指凡有学习意愿并具备基本学习条件的职业院校学生、教师和社会学习者，均能够通过自主使用</w:t>
      </w:r>
      <w:r>
        <w:rPr>
          <w:rFonts w:hint="eastAsia" w:ascii="宋体" w:hAnsi="宋体" w:cs="宋体"/>
          <w:color w:val="auto"/>
          <w:sz w:val="24"/>
          <w:szCs w:val="24"/>
          <w:lang w:val="en-US" w:eastAsia="zh-CN"/>
        </w:rPr>
        <w:t>精品</w:t>
      </w:r>
      <w:r>
        <w:rPr>
          <w:rFonts w:hint="eastAsia" w:ascii="宋体" w:hAnsi="宋体" w:cs="宋体"/>
          <w:color w:val="auto"/>
          <w:sz w:val="24"/>
          <w:szCs w:val="24"/>
        </w:rPr>
        <w:t>课程</w:t>
      </w:r>
      <w:r>
        <w:rPr>
          <w:rFonts w:hint="eastAsia" w:ascii="宋体" w:hAnsi="宋体" w:cs="宋体"/>
          <w:sz w:val="24"/>
          <w:szCs w:val="24"/>
        </w:rPr>
        <w:t>实现不同起点的系统化、个性化学习，并实现一定的学习目标。“辅教”指教师可以针对不同的教授对象和课程要求，利用</w:t>
      </w:r>
      <w:r>
        <w:rPr>
          <w:rFonts w:hint="eastAsia" w:ascii="宋体" w:hAnsi="宋体" w:cs="宋体"/>
          <w:color w:val="auto"/>
          <w:sz w:val="24"/>
          <w:szCs w:val="24"/>
          <w:lang w:val="en-US" w:eastAsia="zh-CN"/>
        </w:rPr>
        <w:t>精品</w:t>
      </w:r>
      <w:r>
        <w:rPr>
          <w:rFonts w:hint="eastAsia" w:ascii="宋体" w:hAnsi="宋体" w:cs="宋体"/>
          <w:color w:val="auto"/>
          <w:sz w:val="24"/>
          <w:szCs w:val="24"/>
        </w:rPr>
        <w:t>课程</w:t>
      </w:r>
      <w:r>
        <w:rPr>
          <w:rFonts w:hint="eastAsia" w:ascii="宋体" w:hAnsi="宋体" w:cs="宋体"/>
          <w:sz w:val="24"/>
          <w:szCs w:val="24"/>
        </w:rPr>
        <w:t>灵活组织教学内容、辅助教学实施，实现教学目标；学生可以在课堂教学以外，通过使用</w:t>
      </w:r>
      <w:r>
        <w:rPr>
          <w:rFonts w:hint="eastAsia" w:ascii="宋体" w:hAnsi="宋体" w:cs="宋体"/>
          <w:color w:val="auto"/>
          <w:sz w:val="24"/>
          <w:szCs w:val="24"/>
          <w:lang w:val="en-US" w:eastAsia="zh-CN"/>
        </w:rPr>
        <w:t>精品</w:t>
      </w:r>
      <w:r>
        <w:rPr>
          <w:rFonts w:hint="eastAsia" w:ascii="宋体" w:hAnsi="宋体" w:cs="宋体"/>
          <w:color w:val="auto"/>
          <w:sz w:val="24"/>
          <w:szCs w:val="24"/>
        </w:rPr>
        <w:t>课程</w:t>
      </w:r>
      <w:r>
        <w:rPr>
          <w:rFonts w:hint="eastAsia" w:ascii="宋体" w:hAnsi="宋体" w:cs="宋体"/>
          <w:sz w:val="24"/>
          <w:szCs w:val="24"/>
        </w:rPr>
        <w:t>巩固所学和拓展学习</w:t>
      </w:r>
      <w:r>
        <w:rPr>
          <w:rFonts w:hint="eastAsia" w:ascii="宋体" w:hAnsi="宋体" w:cs="宋体"/>
          <w:sz w:val="24"/>
          <w:szCs w:val="24"/>
          <w:lang w:eastAsia="zh-CN"/>
        </w:rPr>
        <w:t>。</w:t>
      </w:r>
      <w:r>
        <w:rPr>
          <w:rFonts w:hint="eastAsia" w:ascii="宋体" w:hAnsi="宋体" w:cs="宋体"/>
          <w:sz w:val="24"/>
          <w:szCs w:val="24"/>
        </w:rPr>
        <w:t>资源建设内容根据教材进行制作</w:t>
      </w:r>
      <w:r>
        <w:rPr>
          <w:rFonts w:hint="eastAsia" w:ascii="宋体" w:hAnsi="宋体" w:eastAsia="宋体" w:cs="宋体"/>
          <w:sz w:val="24"/>
          <w:szCs w:val="24"/>
          <w:lang w:val="en-US" w:eastAsia="zh-CN"/>
        </w:rPr>
        <w:t>,</w:t>
      </w:r>
      <w:r>
        <w:rPr>
          <w:rFonts w:hint="eastAsia" w:ascii="宋体" w:hAnsi="宋体" w:eastAsia="宋体" w:cs="宋体"/>
          <w:sz w:val="24"/>
          <w:szCs w:val="24"/>
        </w:rPr>
        <w:t>制作数量和标准不低于以下要求:</w:t>
      </w:r>
    </w:p>
    <w:p>
      <w:pPr>
        <w:keepNext w:val="0"/>
        <w:keepLines w:val="0"/>
        <w:pageBreakBefore w:val="0"/>
        <w:kinsoku/>
        <w:wordWrap/>
        <w:overflowPunct/>
        <w:topLinePunct w:val="0"/>
        <w:bidi w:val="0"/>
        <w:snapToGrid w:val="0"/>
        <w:spacing w:line="400" w:lineRule="exact"/>
        <w:jc w:val="left"/>
        <w:rPr>
          <w:rFonts w:hint="eastAsia"/>
          <w:color w:val="FF0000"/>
          <w:sz w:val="24"/>
          <w:szCs w:val="24"/>
        </w:rPr>
      </w:pPr>
      <w:r>
        <w:rPr>
          <w:rStyle w:val="27"/>
          <w:rFonts w:hint="eastAsia" w:ascii="宋体" w:hAnsi="宋体" w:eastAsia="宋体" w:cs="宋体"/>
          <w:color w:val="auto"/>
          <w:sz w:val="24"/>
          <w:szCs w:val="24"/>
          <w:shd w:val="clear" w:color="auto" w:fill="FFFFFF"/>
          <w:lang w:val="en-US" w:eastAsia="zh-CN"/>
        </w:rPr>
        <w:t>《数控机床机械装配实训》省级精品课程资源制作内容</w:t>
      </w:r>
    </w:p>
    <w:tbl>
      <w:tblPr>
        <w:tblStyle w:val="23"/>
        <w:tblW w:w="9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2"/>
        <w:gridCol w:w="1179"/>
        <w:gridCol w:w="6652"/>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0" w:hRule="atLeast"/>
          <w:jc w:val="center"/>
        </w:trPr>
        <w:tc>
          <w:tcPr>
            <w:tcW w:w="792"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Style w:val="27"/>
                <w:rFonts w:hint="eastAsia"/>
              </w:rPr>
            </w:pPr>
            <w:r>
              <w:rPr>
                <w:rStyle w:val="27"/>
                <w:rFonts w:hint="eastAsia"/>
              </w:rPr>
              <w:t>序号</w:t>
            </w:r>
          </w:p>
        </w:tc>
        <w:tc>
          <w:tcPr>
            <w:tcW w:w="1179"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rPr>
            </w:pPr>
            <w:r>
              <w:rPr>
                <w:rStyle w:val="27"/>
                <w:rFonts w:hint="eastAsia"/>
              </w:rPr>
              <w:t>建设内容</w:t>
            </w:r>
          </w:p>
        </w:tc>
        <w:tc>
          <w:tcPr>
            <w:tcW w:w="6652"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rPr>
            </w:pPr>
            <w:r>
              <w:rPr>
                <w:rStyle w:val="27"/>
                <w:rFonts w:hint="eastAsia"/>
              </w:rPr>
              <w:t>技术要求</w:t>
            </w:r>
          </w:p>
        </w:tc>
        <w:tc>
          <w:tcPr>
            <w:tcW w:w="750"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rPr>
            </w:pPr>
            <w:r>
              <w:rPr>
                <w:rStyle w:val="27"/>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ascii="宋体" w:hAnsi="宋体" w:eastAsia="宋体" w:cs="宋体"/>
                <w:color w:val="000000"/>
              </w:rPr>
              <w:t>1</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lang w:eastAsia="zh-CN"/>
              </w:rPr>
            </w:pPr>
            <w:r>
              <w:rPr>
                <w:rFonts w:hint="eastAsia"/>
                <w:color w:val="000000"/>
                <w:sz w:val="24"/>
                <w:szCs w:val="24"/>
                <w:lang w:val="en-US" w:eastAsia="zh-CN"/>
              </w:rPr>
              <w:t>课程介绍</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color w:val="000000"/>
                <w:sz w:val="24"/>
                <w:szCs w:val="24"/>
                <w:lang w:val="en-US" w:eastAsia="zh-CN"/>
              </w:rPr>
              <w:t>对课程的整体教学内容进行大致的介绍了解</w:t>
            </w:r>
            <w:r>
              <w:rPr>
                <w:rFonts w:hint="eastAsia"/>
                <w:color w:val="000000"/>
                <w:sz w:val="24"/>
                <w:szCs w:val="24"/>
              </w:rPr>
              <w:t>，按校方教师提供的内容进行排版、美化</w:t>
            </w:r>
            <w:r>
              <w:rPr>
                <w:rFonts w:hint="eastAsia"/>
                <w:color w:val="000000"/>
                <w:sz w:val="24"/>
                <w:szCs w:val="24"/>
                <w:lang w:eastAsia="zh-CN"/>
              </w:rPr>
              <w:t>。</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lang w:val="en-US" w:eastAsia="zh-CN"/>
              </w:rPr>
            </w:pPr>
            <w:r>
              <w:rPr>
                <w:color w:val="000000"/>
                <w:sz w:val="24"/>
                <w:szCs w:val="24"/>
              </w:rPr>
              <w:t>1</w:t>
            </w:r>
            <w:r>
              <w:rPr>
                <w:rFonts w:hint="eastAsia"/>
                <w:color w:val="000000"/>
                <w:sz w:val="24"/>
                <w:szCs w:val="24"/>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ascii="宋体" w:hAnsi="宋体" w:eastAsia="宋体" w:cs="宋体"/>
                <w:color w:val="000000"/>
              </w:rPr>
              <w:t>2</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color w:val="000000"/>
                <w:sz w:val="24"/>
                <w:szCs w:val="24"/>
                <w:lang w:val="en-US" w:eastAsia="zh-CN"/>
              </w:rPr>
              <w:t>课程标准</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指导课程建设及教学实施的规范性文件，一般包括课程概述（性质、定位、思路等）、课程特点、教学目标、教学内容与学时分配、模块教学安排、考核标准与方式、教材与资源的选用、师资要求、教学环境要求等内容。按校方教师提供的内容为主进行排版、美化。</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lang w:val="en-US" w:eastAsia="zh-CN"/>
              </w:rPr>
            </w:pPr>
            <w:r>
              <w:rPr>
                <w:color w:val="000000"/>
                <w:sz w:val="24"/>
                <w:szCs w:val="24"/>
              </w:rPr>
              <w:t>1</w:t>
            </w:r>
            <w:r>
              <w:rPr>
                <w:rFonts w:hint="eastAsia"/>
                <w:color w:val="000000"/>
                <w:sz w:val="24"/>
                <w:szCs w:val="24"/>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1"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3</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color w:val="000000"/>
                <w:sz w:val="24"/>
                <w:szCs w:val="24"/>
                <w:lang w:val="en-US" w:eastAsia="zh-CN"/>
              </w:rPr>
              <w:t>教学设计（教案）</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1.用以指导具体教学实施的文档，一般包括教学目标、内容、方法、手段、资源使用、评价考核等方面的内容。</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2.按单元或者章个数计算，内容覆盖整本教材。按校方教师提供的内容为主进行排版、美化。</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default" w:ascii="宋体" w:hAnsi="宋体" w:eastAsia="宋体" w:cs="宋体"/>
                <w:color w:val="000000"/>
                <w:lang w:val="en-US" w:eastAsia="zh-CN"/>
              </w:rPr>
            </w:pPr>
            <w:r>
              <w:rPr>
                <w:rFonts w:hint="eastAsia"/>
                <w:color w:val="000000"/>
                <w:sz w:val="24"/>
                <w:szCs w:val="24"/>
                <w:lang w:val="en-US" w:eastAsia="zh-CN"/>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1"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ascii="宋体" w:hAnsi="宋体" w:eastAsia="宋体" w:cs="宋体"/>
                <w:color w:val="000000"/>
                <w:lang w:eastAsia="zh-CN"/>
              </w:rPr>
            </w:pPr>
            <w:r>
              <w:rPr>
                <w:rFonts w:hint="eastAsia" w:ascii="宋体" w:hAnsi="宋体" w:eastAsia="宋体" w:cs="宋体"/>
                <w:color w:val="000000"/>
                <w:lang w:val="en-US" w:eastAsia="zh-CN"/>
              </w:rPr>
              <w:t>4</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color w:val="000000"/>
                <w:sz w:val="24"/>
                <w:szCs w:val="24"/>
                <w:lang w:val="en-US" w:eastAsia="zh-CN"/>
              </w:rPr>
              <w:t>教学课件 PPT</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1.提供PPT模板。</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2.按照每一个小节/任务为单位建设，以教师提供的PPT内容进行美化排版。</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3.制作规范：需符合“演示文稿（PPT）制作规范”的要求。</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color w:val="000000"/>
                <w:sz w:val="24"/>
                <w:szCs w:val="24"/>
                <w:lang w:val="en-US" w:eastAsia="zh-CN"/>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rFonts w:hint="eastAsia"/>
                <w:color w:val="000000"/>
                <w:sz w:val="24"/>
                <w:szCs w:val="24"/>
                <w:lang w:val="en-US" w:eastAsia="zh-CN"/>
              </w:rPr>
              <w:t>教学视频</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1.教学任务和教学目标，搭建内容框架。</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2.根据教师提供知识点讲稿或脚本进行拍摄制作视频，视频包含片头片尾，MP4格式5-10分钟/个。</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3.协助教师做好讲稿或脚本最终版优化。</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color w:val="000000"/>
                <w:sz w:val="24"/>
                <w:szCs w:val="24"/>
              </w:rPr>
              <w:t>4.制作规范：需符合“视频技术规范”的要求。</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auto"/>
              </w:rPr>
            </w:pPr>
            <w:r>
              <w:rPr>
                <w:rFonts w:hint="eastAsia"/>
                <w:color w:val="000000"/>
                <w:sz w:val="24"/>
                <w:szCs w:val="24"/>
                <w:lang w:val="en-US" w:eastAsia="zh-CN"/>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w:t>
            </w:r>
          </w:p>
        </w:tc>
        <w:tc>
          <w:tcPr>
            <w:tcW w:w="1179" w:type="dxa"/>
            <w:noWrap w:val="0"/>
            <w:tcMar>
              <w:top w:w="0" w:type="dxa"/>
              <w:left w:w="105" w:type="dxa"/>
              <w:bottom w:w="0" w:type="dxa"/>
              <w:right w:w="105" w:type="dxa"/>
            </w:tcMar>
            <w:vAlign w:val="center"/>
          </w:tcPr>
          <w:p>
            <w:pPr>
              <w:keepNext w:val="0"/>
              <w:keepLines w:val="0"/>
              <w:pageBreakBefore w:val="0"/>
              <w:kinsoku/>
              <w:wordWrap/>
              <w:overflowPunct/>
              <w:topLinePunct w:val="0"/>
              <w:bidi w:val="0"/>
              <w:snapToGrid w:val="0"/>
              <w:spacing w:line="400" w:lineRule="exact"/>
              <w:jc w:val="left"/>
              <w:rPr>
                <w:rFonts w:hint="eastAsia"/>
                <w:color w:val="000000"/>
              </w:rPr>
            </w:pPr>
            <w:r>
              <w:rPr>
                <w:rFonts w:hint="eastAsia"/>
                <w:sz w:val="24"/>
                <w:szCs w:val="24"/>
                <w:lang w:val="en-US" w:eastAsia="zh-CN"/>
              </w:rPr>
              <w:t>动画</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sz w:val="24"/>
                <w:szCs w:val="24"/>
                <w:lang w:val="en-US" w:eastAsia="zh-CN"/>
              </w:rPr>
            </w:pPr>
            <w:r>
              <w:rPr>
                <w:rFonts w:hint="eastAsia"/>
                <w:sz w:val="24"/>
                <w:szCs w:val="24"/>
                <w:lang w:val="en-US" w:eastAsia="zh-CN"/>
              </w:rPr>
              <w:t>1.动画资源采用二维动画制作软件开发完成的教学资源。以人物对话的形式，展现一个案例、事例、故事、示范。故事情节一般以一个同学发现问题、遇到问题，另一个同学一起探讨，找到解决方案，或者老师提供帮助，找到解决方案的方式推进故事的展开；或者以图文形式展现一个概念原理、发展流程、推演变化、组织结构、分类特征等抽象的知识具象化；一个动画资源时长不超过2分钟，分辨率不小于1080*1920，码流不小于2M/s，以MP4格式存储。</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rFonts w:hint="eastAsia"/>
                <w:sz w:val="24"/>
                <w:szCs w:val="24"/>
                <w:lang w:val="en-US" w:eastAsia="zh-CN"/>
              </w:rPr>
              <w:t>2.</w:t>
            </w:r>
            <w:r>
              <w:rPr>
                <w:rFonts w:hint="eastAsia"/>
                <w:sz w:val="24"/>
                <w:szCs w:val="24"/>
              </w:rPr>
              <w:t>配合</w:t>
            </w:r>
            <w:r>
              <w:rPr>
                <w:rFonts w:hint="eastAsia"/>
                <w:sz w:val="24"/>
                <w:szCs w:val="24"/>
                <w:lang w:val="en-US" w:eastAsia="zh-CN"/>
              </w:rPr>
              <w:t>校方</w:t>
            </w:r>
            <w:r>
              <w:rPr>
                <w:rFonts w:hint="eastAsia"/>
                <w:sz w:val="24"/>
                <w:szCs w:val="24"/>
              </w:rPr>
              <w:t>做好脚本的最终优化</w:t>
            </w:r>
          </w:p>
        </w:tc>
        <w:tc>
          <w:tcPr>
            <w:tcW w:w="750"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eastAsia="宋体"/>
                <w:color w:val="auto"/>
                <w:lang w:val="en-US" w:eastAsia="zh-CN"/>
              </w:rPr>
            </w:pPr>
            <w:r>
              <w:rPr>
                <w:rFonts w:hint="eastAsia"/>
                <w:color w:val="000000"/>
                <w:kern w:val="0"/>
                <w:sz w:val="24"/>
                <w:szCs w:val="24"/>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rFonts w:hint="eastAsia"/>
                <w:color w:val="000000"/>
                <w:sz w:val="24"/>
                <w:szCs w:val="24"/>
                <w:lang w:val="en-US" w:eastAsia="zh-CN"/>
              </w:rPr>
              <w:t>虚拟仿真资源库</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auto"/>
              </w:rPr>
            </w:pPr>
            <w:r>
              <w:rPr>
                <w:rFonts w:hint="eastAsia"/>
                <w:color w:val="000000"/>
                <w:sz w:val="24"/>
                <w:szCs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color w:val="000000"/>
                <w:sz w:val="24"/>
                <w:szCs w:val="24"/>
              </w:rPr>
              <w:t>习题库</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rFonts w:hint="eastAsia"/>
                <w:color w:val="000000"/>
                <w:sz w:val="24"/>
                <w:szCs w:val="24"/>
                <w:lang w:val="en-US" w:eastAsia="zh-CN"/>
              </w:rPr>
              <w:t>根据教师提供的以项目/单元为单位的测试题卷(包含答案)，整理成可上线教学平台的标准规格。</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auto"/>
              </w:rPr>
            </w:pPr>
            <w:r>
              <w:rPr>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c>
          <w:tcPr>
            <w:tcW w:w="1179"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color w:val="000000"/>
              </w:rPr>
            </w:pPr>
            <w:r>
              <w:rPr>
                <w:rFonts w:hint="eastAsia" w:ascii="宋体" w:hAnsi="宋体" w:cs="宋体"/>
                <w:color w:val="auto"/>
                <w:kern w:val="0"/>
                <w:sz w:val="24"/>
                <w:highlight w:val="none"/>
                <w:lang w:bidi="ar"/>
              </w:rPr>
              <w:t>课程评价方案</w:t>
            </w:r>
          </w:p>
        </w:tc>
        <w:tc>
          <w:tcPr>
            <w:tcW w:w="665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color w:val="000000"/>
              </w:rPr>
            </w:pPr>
            <w:r>
              <w:rPr>
                <w:rFonts w:hint="eastAsia" w:ascii="宋体" w:hAnsi="宋体" w:cs="宋体"/>
                <w:color w:val="auto"/>
                <w:kern w:val="0"/>
                <w:sz w:val="24"/>
                <w:highlight w:val="none"/>
                <w:lang w:bidi="ar"/>
              </w:rPr>
              <w:t>课程考核评价方案，用于考核本门课程总体成绩的考核标准</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default"/>
                <w:color w:val="auto"/>
                <w:lang w:val="en-US"/>
              </w:rPr>
            </w:pPr>
            <w:r>
              <w:rPr>
                <w:color w:val="000000"/>
                <w:sz w:val="24"/>
                <w:szCs w:val="24"/>
              </w:rPr>
              <w:t>1</w:t>
            </w:r>
            <w:r>
              <w:rPr>
                <w:rFonts w:hint="eastAsia"/>
                <w:color w:val="000000"/>
                <w:sz w:val="24"/>
                <w:szCs w:val="24"/>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w:t>
            </w:r>
          </w:p>
        </w:tc>
        <w:tc>
          <w:tcPr>
            <w:tcW w:w="1179"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cs="宋体"/>
                <w:color w:val="000000"/>
                <w:kern w:val="0"/>
                <w:sz w:val="24"/>
                <w:lang w:bidi="ar"/>
              </w:rPr>
            </w:pPr>
            <w:r>
              <w:rPr>
                <w:rFonts w:hint="eastAsia" w:ascii="宋体" w:hAnsi="宋体" w:cs="宋体"/>
                <w:color w:val="auto"/>
                <w:kern w:val="0"/>
                <w:sz w:val="24"/>
                <w:highlight w:val="none"/>
                <w:lang w:val="en-US" w:eastAsia="zh-CN" w:bidi="ar"/>
              </w:rPr>
              <w:t>教学日历</w:t>
            </w:r>
          </w:p>
        </w:tc>
        <w:tc>
          <w:tcPr>
            <w:tcW w:w="665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cs="宋体"/>
                <w:color w:val="000000"/>
                <w:kern w:val="0"/>
                <w:sz w:val="24"/>
                <w:lang w:bidi="ar"/>
              </w:rPr>
            </w:pPr>
            <w:r>
              <w:rPr>
                <w:rFonts w:hint="eastAsia" w:ascii="宋体" w:hAnsi="宋体" w:cs="宋体"/>
                <w:color w:val="auto"/>
                <w:kern w:val="0"/>
                <w:sz w:val="24"/>
                <w:highlight w:val="none"/>
                <w:lang w:val="en-US" w:eastAsia="zh-CN" w:bidi="ar"/>
              </w:rPr>
              <w:t>根据精品课程学习特点，制定教学日历，指导教师和学生合理使用精品课程网站开展教学。（企业根据老师材料进行排版、美化）</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eastAsia="宋体"/>
                <w:color w:val="auto"/>
                <w:lang w:val="en-US" w:eastAsia="zh-CN"/>
              </w:rPr>
            </w:pPr>
            <w:r>
              <w:rPr>
                <w:rFonts w:hint="eastAsia"/>
                <w:color w:val="000000"/>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11</w:t>
            </w:r>
          </w:p>
        </w:tc>
        <w:tc>
          <w:tcPr>
            <w:tcW w:w="1179"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cs="宋体"/>
                <w:color w:val="000000"/>
                <w:kern w:val="0"/>
                <w:sz w:val="24"/>
                <w:lang w:bidi="ar"/>
              </w:rPr>
            </w:pPr>
            <w:r>
              <w:rPr>
                <w:rFonts w:hint="eastAsia" w:ascii="宋体" w:hAnsi="宋体" w:cs="宋体"/>
                <w:color w:val="auto"/>
                <w:kern w:val="0"/>
                <w:sz w:val="24"/>
                <w:highlight w:val="none"/>
                <w:lang w:val="en-US" w:eastAsia="zh-CN" w:bidi="ar"/>
              </w:rPr>
              <w:t>课程答疑</w:t>
            </w:r>
          </w:p>
        </w:tc>
        <w:tc>
          <w:tcPr>
            <w:tcW w:w="665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cs="宋体"/>
                <w:color w:val="000000"/>
                <w:kern w:val="0"/>
                <w:sz w:val="24"/>
                <w:lang w:bidi="ar"/>
              </w:rPr>
            </w:pPr>
            <w:r>
              <w:rPr>
                <w:rFonts w:hint="eastAsia" w:ascii="宋体" w:hAnsi="宋体" w:cs="宋体"/>
                <w:color w:val="auto"/>
                <w:kern w:val="0"/>
                <w:sz w:val="24"/>
                <w:highlight w:val="none"/>
                <w:lang w:val="en-US" w:eastAsia="zh-CN" w:bidi="ar"/>
              </w:rPr>
              <w:t>老师提供的针对课程学习过程中常见问题整理问题答疑。（企业根据老师材料进行排版、美化）</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eastAsia="宋体"/>
                <w:color w:val="auto"/>
                <w:lang w:val="en-US" w:eastAsia="zh-CN"/>
              </w:rPr>
            </w:pPr>
            <w:r>
              <w:rPr>
                <w:rFonts w:hint="eastAsia"/>
                <w:color w:val="000000"/>
                <w:sz w:val="24"/>
                <w:szCs w:val="24"/>
                <w:lang w:val="en-US" w:eastAsia="zh-CN"/>
              </w:rPr>
              <w:t>1份</w:t>
            </w:r>
          </w:p>
        </w:tc>
      </w:tr>
    </w:tbl>
    <w:p>
      <w:pPr>
        <w:keepNext w:val="0"/>
        <w:keepLines w:val="0"/>
        <w:pageBreakBefore w:val="0"/>
        <w:kinsoku/>
        <w:wordWrap/>
        <w:overflowPunct/>
        <w:topLinePunct w:val="0"/>
        <w:bidi w:val="0"/>
        <w:snapToGrid w:val="0"/>
        <w:spacing w:line="400" w:lineRule="exact"/>
        <w:jc w:val="left"/>
        <w:rPr>
          <w:rFonts w:hint="eastAsia"/>
          <w:color w:val="FF0000"/>
          <w:sz w:val="24"/>
          <w:szCs w:val="24"/>
        </w:rPr>
      </w:pPr>
      <w:r>
        <w:rPr>
          <w:rStyle w:val="27"/>
          <w:rFonts w:hint="eastAsia" w:ascii="宋体" w:hAnsi="宋体" w:eastAsia="宋体" w:cs="宋体"/>
          <w:color w:val="auto"/>
          <w:sz w:val="24"/>
          <w:szCs w:val="24"/>
          <w:shd w:val="clear" w:color="auto" w:fill="FFFFFF"/>
          <w:lang w:val="en-US" w:eastAsia="zh-CN"/>
        </w:rPr>
        <w:t>《电气装配实训》省级精品课程资源制作内容</w:t>
      </w:r>
    </w:p>
    <w:tbl>
      <w:tblPr>
        <w:tblStyle w:val="23"/>
        <w:tblW w:w="9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2"/>
        <w:gridCol w:w="1179"/>
        <w:gridCol w:w="6652"/>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0" w:hRule="atLeast"/>
          <w:jc w:val="center"/>
        </w:trPr>
        <w:tc>
          <w:tcPr>
            <w:tcW w:w="792"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Style w:val="27"/>
                <w:rFonts w:hint="eastAsia"/>
              </w:rPr>
            </w:pPr>
            <w:r>
              <w:rPr>
                <w:rStyle w:val="27"/>
                <w:rFonts w:hint="eastAsia"/>
              </w:rPr>
              <w:t>序号</w:t>
            </w:r>
          </w:p>
        </w:tc>
        <w:tc>
          <w:tcPr>
            <w:tcW w:w="1179"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rPr>
            </w:pPr>
            <w:r>
              <w:rPr>
                <w:rStyle w:val="27"/>
                <w:rFonts w:hint="eastAsia"/>
              </w:rPr>
              <w:t>建设内容</w:t>
            </w:r>
          </w:p>
        </w:tc>
        <w:tc>
          <w:tcPr>
            <w:tcW w:w="6652"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rPr>
            </w:pPr>
            <w:r>
              <w:rPr>
                <w:rStyle w:val="27"/>
                <w:rFonts w:hint="eastAsia"/>
              </w:rPr>
              <w:t>技术要求</w:t>
            </w:r>
          </w:p>
        </w:tc>
        <w:tc>
          <w:tcPr>
            <w:tcW w:w="750" w:type="dxa"/>
            <w:shd w:val="clear" w:color="auto" w:fill="FABF8F"/>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rPr>
            </w:pPr>
            <w:r>
              <w:rPr>
                <w:rStyle w:val="27"/>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ascii="宋体" w:hAnsi="宋体" w:eastAsia="宋体" w:cs="宋体"/>
                <w:color w:val="000000"/>
              </w:rPr>
              <w:t>1</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lang w:eastAsia="zh-CN"/>
              </w:rPr>
            </w:pPr>
            <w:r>
              <w:rPr>
                <w:color w:val="000000"/>
                <w:sz w:val="24"/>
                <w:szCs w:val="24"/>
              </w:rPr>
              <w:t>课程宣传片定制</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1.声色并茂地凸显课程特点，侧面提升课程宣传用语，旨在推广本课程，吸引学习者</w:t>
            </w:r>
            <w:r>
              <w:rPr>
                <w:rFonts w:hint="eastAsia"/>
                <w:color w:val="000000"/>
                <w:sz w:val="24"/>
                <w:szCs w:val="24"/>
              </w:rPr>
              <w:t>,时长5-10分钟，含基本信息、课程设计、课程建设、课程实施、教学环境、教学效果和特色创新之处等。技术要求：分辨率720P及以上，MP4格式，图像清晰稳定，声音清楚。视频中标注出镜人姓名、单位，课程负责人出镜时间不得少于3分钟。“课程概述”使用的语言及字幕为国家通用语言文字。,</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lang w:val="en-US" w:eastAsia="zh-CN"/>
              </w:rPr>
            </w:pPr>
            <w:r>
              <w:rPr>
                <w:color w:val="00000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rFonts w:hint="eastAsia" w:ascii="宋体" w:hAnsi="宋体" w:eastAsia="宋体" w:cs="宋体"/>
                <w:color w:val="000000"/>
              </w:rPr>
              <w:t>2</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课程封面设计</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1.根据课程内容设计符合课程风格的封面</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2.应用于多个课程平台展示封面展示</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3.课程封面包括LOGO、学校名称、课程名称或其它相关的信息等</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lang w:val="en-US" w:eastAsia="zh-CN"/>
              </w:rPr>
            </w:pPr>
            <w:r>
              <w:rPr>
                <w:color w:val="000000"/>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1"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3</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课程标准</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（修订）</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指导课程建设及教学实施的规范性文件，一般包括课程概述（性质、定位、思路等）、课程特点、教学目标、教学内容与学时分配、模块教学安排、考核标准与方式、教材与资源的选用、师资要求、教学环境要求等内容。按校方教师提供的内容为主进行排版、美化。</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default" w:ascii="宋体" w:hAnsi="宋体" w:eastAsia="宋体" w:cs="宋体"/>
                <w:color w:val="000000"/>
                <w:lang w:val="en-US" w:eastAsia="zh-CN"/>
              </w:rPr>
            </w:pPr>
            <w:r>
              <w:rPr>
                <w:color w:val="000000"/>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1" w:hRule="atLeast"/>
          <w:jc w:val="center"/>
        </w:trPr>
        <w:tc>
          <w:tcPr>
            <w:tcW w:w="792" w:type="dxa"/>
            <w:noWrap w:val="0"/>
            <w:tcMar>
              <w:top w:w="0" w:type="dxa"/>
              <w:left w:w="105" w:type="dxa"/>
              <w:bottom w:w="0" w:type="dxa"/>
              <w:right w:w="105" w:type="dxa"/>
            </w:tcMar>
            <w:vAlign w:val="center"/>
          </w:tcPr>
          <w:p>
            <w:pPr>
              <w:pStyle w:val="19"/>
              <w:keepNext w:val="0"/>
              <w:keepLines w:val="0"/>
              <w:pageBreakBefore w:val="0"/>
              <w:kinsoku/>
              <w:wordWrap/>
              <w:overflowPunct/>
              <w:topLinePunct w:val="0"/>
              <w:bidi w:val="0"/>
              <w:snapToGrid w:val="0"/>
              <w:spacing w:beforeAutospacing="0" w:afterAutospacing="0" w:line="400" w:lineRule="exact"/>
              <w:jc w:val="left"/>
              <w:rPr>
                <w:rFonts w:hint="eastAsia" w:ascii="宋体" w:hAnsi="宋体" w:eastAsia="宋体" w:cs="宋体"/>
                <w:color w:val="000000"/>
                <w:lang w:eastAsia="zh-CN"/>
              </w:rPr>
            </w:pPr>
            <w:r>
              <w:rPr>
                <w:rFonts w:hint="eastAsia" w:ascii="宋体" w:hAnsi="宋体" w:eastAsia="宋体" w:cs="宋体"/>
                <w:color w:val="000000"/>
                <w:lang w:val="en-US" w:eastAsia="zh-CN"/>
              </w:rPr>
              <w:t>4</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教学设计</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1.用以指导具体教学实施的文档，一般包括教学目标、内容、方法、手段、资源使用、评价考核等方面的内容。</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2.按单元或者章个数计算，内容覆盖整本教材。按校方教师提供的内容为主进行排版、美化。</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ascii="宋体" w:hAnsi="宋体" w:eastAsia="宋体" w:cs="宋体"/>
                <w:color w:val="000000"/>
              </w:rPr>
            </w:pPr>
            <w:r>
              <w:rPr>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color w:val="000000"/>
                <w:sz w:val="24"/>
                <w:szCs w:val="24"/>
              </w:rPr>
              <w:t>教学课件</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1.提供PPT模板。</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2.按照每一个小节/任务为单位建设，以教师提供的PPT内容进行美化排版。</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color w:val="000000"/>
                <w:sz w:val="24"/>
                <w:szCs w:val="24"/>
              </w:rPr>
              <w:t>3.制作规范：需符合“演示文稿（PPT）制作规范”的要求。</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auto"/>
              </w:rPr>
            </w:pPr>
            <w:r>
              <w:rPr>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w:t>
            </w:r>
          </w:p>
        </w:tc>
        <w:tc>
          <w:tcPr>
            <w:tcW w:w="1179" w:type="dxa"/>
            <w:noWrap w:val="0"/>
            <w:tcMar>
              <w:top w:w="0" w:type="dxa"/>
              <w:left w:w="105" w:type="dxa"/>
              <w:bottom w:w="0" w:type="dxa"/>
              <w:right w:w="105" w:type="dxa"/>
            </w:tcMar>
            <w:vAlign w:val="center"/>
          </w:tcPr>
          <w:p>
            <w:pPr>
              <w:keepNext w:val="0"/>
              <w:keepLines w:val="0"/>
              <w:pageBreakBefore w:val="0"/>
              <w:kinsoku/>
              <w:wordWrap/>
              <w:overflowPunct/>
              <w:topLinePunct w:val="0"/>
              <w:bidi w:val="0"/>
              <w:snapToGrid w:val="0"/>
              <w:spacing w:line="400" w:lineRule="exact"/>
              <w:jc w:val="left"/>
              <w:rPr>
                <w:rFonts w:hint="eastAsia"/>
                <w:color w:val="000000"/>
              </w:rPr>
            </w:pPr>
            <w:r>
              <w:rPr>
                <w:sz w:val="24"/>
                <w:szCs w:val="24"/>
              </w:rPr>
              <w:t>视频片头片尾制作</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sz w:val="24"/>
                <w:szCs w:val="24"/>
              </w:rPr>
              <w:t>设计与每门课程主题对应的特效包装片头、片尾。片头要具有各门课程所对应的的视频元素，观感时尚和科技感十足，体现课程的精美。（片头、片尾分别时长一般不超过10秒）</w:t>
            </w:r>
          </w:p>
        </w:tc>
        <w:tc>
          <w:tcPr>
            <w:tcW w:w="750"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eastAsia="宋体"/>
                <w:color w:val="auto"/>
                <w:lang w:val="en-US" w:eastAsia="zh-CN"/>
              </w:rPr>
            </w:pPr>
            <w:r>
              <w:rPr>
                <w:color w:val="000000"/>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color w:val="000000"/>
                <w:sz w:val="24"/>
                <w:szCs w:val="24"/>
              </w:rPr>
              <w:t>微视频或短视频</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1.教学任务和教学目标，搭建内容框架。</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2.根据教师提供知识点讲稿或脚本进行拍摄制作视频，视频包含片头片尾，MP4格式5-10分钟/个。</w:t>
            </w:r>
          </w:p>
          <w:p>
            <w:pPr>
              <w:pStyle w:val="19"/>
              <w:keepNext w:val="0"/>
              <w:keepLines w:val="0"/>
              <w:pageBreakBefore w:val="0"/>
              <w:widowControl/>
              <w:kinsoku/>
              <w:wordWrap/>
              <w:overflowPunct/>
              <w:topLinePunct w:val="0"/>
              <w:bidi w:val="0"/>
              <w:snapToGrid w:val="0"/>
              <w:spacing w:beforeAutospacing="0" w:afterAutospacing="0" w:line="400" w:lineRule="exact"/>
              <w:jc w:val="left"/>
              <w:rPr>
                <w:color w:val="000000"/>
                <w:sz w:val="24"/>
                <w:szCs w:val="24"/>
              </w:rPr>
            </w:pPr>
            <w:r>
              <w:rPr>
                <w:color w:val="000000"/>
                <w:sz w:val="24"/>
                <w:szCs w:val="24"/>
              </w:rPr>
              <w:t>3.协助教师做好讲稿或脚本最终版优化。</w:t>
            </w:r>
          </w:p>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color w:val="000000"/>
                <w:sz w:val="24"/>
                <w:szCs w:val="24"/>
              </w:rPr>
              <w:t>4.制作规范：需符合“视频技术规范”的要求。</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auto"/>
              </w:rPr>
            </w:pPr>
            <w:r>
              <w:rPr>
                <w:rFonts w:hint="eastAsia"/>
                <w:color w:val="000000"/>
                <w:sz w:val="24"/>
                <w:szCs w:val="24"/>
                <w:lang w:val="en-US" w:eastAsia="zh-CN"/>
              </w:rPr>
              <w:t>45</w:t>
            </w:r>
            <w:r>
              <w:rPr>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color w:val="000000"/>
                <w:sz w:val="24"/>
                <w:szCs w:val="24"/>
              </w:rPr>
              <w:t>习题库</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rPr>
            </w:pPr>
            <w:r>
              <w:rPr>
                <w:rFonts w:hint="eastAsia"/>
                <w:color w:val="000000"/>
                <w:sz w:val="24"/>
                <w:szCs w:val="24"/>
                <w:lang w:val="en-US" w:eastAsia="zh-CN"/>
              </w:rPr>
              <w:t>根据教师提供的以项目/单元为单位的测试题卷(包含答案)，整理成可上线教学平台的标准规格。</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color w:val="auto"/>
              </w:rPr>
            </w:pPr>
            <w:r>
              <w:rPr>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5" w:hRule="atLeast"/>
          <w:jc w:val="center"/>
        </w:trPr>
        <w:tc>
          <w:tcPr>
            <w:tcW w:w="792" w:type="dxa"/>
            <w:noWrap w:val="0"/>
            <w:tcMar>
              <w:top w:w="0" w:type="dxa"/>
              <w:left w:w="105" w:type="dxa"/>
              <w:bottom w:w="0" w:type="dxa"/>
              <w:right w:w="105" w:type="dxa"/>
            </w:tcMar>
            <w:vAlign w:val="center"/>
          </w:tcPr>
          <w:p>
            <w:pPr>
              <w:keepNext w:val="0"/>
              <w:keepLines w:val="0"/>
              <w:pageBreakBefore w:val="0"/>
              <w:widowControl/>
              <w:kinsoku/>
              <w:wordWrap/>
              <w:overflowPunct/>
              <w:topLinePunct w:val="0"/>
              <w:bidi w:val="0"/>
              <w:snapToGrid w:val="0"/>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c>
          <w:tcPr>
            <w:tcW w:w="1179"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color w:val="000000"/>
                <w:sz w:val="24"/>
                <w:szCs w:val="24"/>
              </w:rPr>
              <w:t>素材库</w:t>
            </w:r>
          </w:p>
        </w:tc>
        <w:tc>
          <w:tcPr>
            <w:tcW w:w="6652"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eastAsia"/>
                <w:color w:val="000000"/>
              </w:rPr>
            </w:pPr>
            <w:r>
              <w:rPr>
                <w:rFonts w:hint="eastAsia"/>
                <w:color w:val="000000"/>
                <w:sz w:val="24"/>
                <w:szCs w:val="24"/>
                <w:lang w:eastAsia="zh-CN"/>
              </w:rPr>
              <w:t>老师</w:t>
            </w:r>
            <w:r>
              <w:rPr>
                <w:color w:val="000000"/>
                <w:sz w:val="24"/>
                <w:szCs w:val="24"/>
              </w:rPr>
              <w:t>根据技能点提供碎片化素材，主要格式为文档或图片，</w:t>
            </w:r>
            <w:r>
              <w:rPr>
                <w:rFonts w:hint="eastAsia"/>
                <w:color w:val="000000"/>
                <w:sz w:val="24"/>
                <w:szCs w:val="24"/>
                <w:lang w:eastAsia="zh-CN"/>
              </w:rPr>
              <w:t>企业根据</w:t>
            </w:r>
            <w:r>
              <w:rPr>
                <w:color w:val="000000"/>
                <w:sz w:val="24"/>
                <w:szCs w:val="24"/>
              </w:rPr>
              <w:t>教师</w:t>
            </w:r>
            <w:r>
              <w:rPr>
                <w:rFonts w:hint="eastAsia"/>
                <w:color w:val="000000"/>
                <w:sz w:val="24"/>
                <w:szCs w:val="24"/>
                <w:lang w:eastAsia="zh-CN"/>
              </w:rPr>
              <w:t>提供的</w:t>
            </w:r>
            <w:r>
              <w:rPr>
                <w:color w:val="000000"/>
                <w:sz w:val="24"/>
                <w:szCs w:val="24"/>
              </w:rPr>
              <w:t>素材</w:t>
            </w:r>
            <w:r>
              <w:rPr>
                <w:rFonts w:hint="eastAsia"/>
                <w:color w:val="000000"/>
                <w:sz w:val="24"/>
                <w:szCs w:val="24"/>
                <w:lang w:eastAsia="zh-CN"/>
              </w:rPr>
              <w:t>进行整理</w:t>
            </w:r>
            <w:r>
              <w:rPr>
                <w:color w:val="000000"/>
                <w:sz w:val="24"/>
                <w:szCs w:val="24"/>
              </w:rPr>
              <w:t>。</w:t>
            </w:r>
          </w:p>
        </w:tc>
        <w:tc>
          <w:tcPr>
            <w:tcW w:w="750" w:type="dxa"/>
            <w:noWrap w:val="0"/>
            <w:tcMar>
              <w:top w:w="0" w:type="dxa"/>
              <w:left w:w="105" w:type="dxa"/>
              <w:bottom w:w="0" w:type="dxa"/>
              <w:right w:w="105" w:type="dxa"/>
            </w:tcMar>
            <w:vAlign w:val="center"/>
          </w:tcPr>
          <w:p>
            <w:pPr>
              <w:pStyle w:val="19"/>
              <w:keepNext w:val="0"/>
              <w:keepLines w:val="0"/>
              <w:pageBreakBefore w:val="0"/>
              <w:widowControl/>
              <w:kinsoku/>
              <w:wordWrap/>
              <w:overflowPunct/>
              <w:topLinePunct w:val="0"/>
              <w:bidi w:val="0"/>
              <w:snapToGrid w:val="0"/>
              <w:spacing w:beforeAutospacing="0" w:afterAutospacing="0" w:line="400" w:lineRule="exact"/>
              <w:jc w:val="left"/>
              <w:rPr>
                <w:rFonts w:hint="default"/>
                <w:color w:val="auto"/>
                <w:lang w:val="en-US"/>
              </w:rPr>
            </w:pPr>
            <w:r>
              <w:rPr>
                <w:color w:val="000000"/>
                <w:sz w:val="24"/>
                <w:szCs w:val="24"/>
              </w:rPr>
              <w:t>1套</w:t>
            </w:r>
          </w:p>
        </w:tc>
      </w:tr>
    </w:tbl>
    <w:p>
      <w:pPr>
        <w:pStyle w:val="19"/>
        <w:keepNext w:val="0"/>
        <w:keepLines w:val="0"/>
        <w:pageBreakBefore w:val="0"/>
        <w:kinsoku/>
        <w:wordWrap/>
        <w:overflowPunct/>
        <w:topLinePunct w:val="0"/>
        <w:bidi w:val="0"/>
        <w:snapToGrid w:val="0"/>
        <w:spacing w:beforeAutospacing="0" w:afterAutospacing="0" w:line="400" w:lineRule="exact"/>
        <w:jc w:val="left"/>
        <w:rPr>
          <w:rStyle w:val="27"/>
          <w:rFonts w:hint="eastAsia"/>
          <w:color w:val="000000"/>
          <w:shd w:val="clear" w:color="auto" w:fill="FFFFFF"/>
        </w:rPr>
      </w:pPr>
    </w:p>
    <w:p>
      <w:pPr>
        <w:pStyle w:val="19"/>
        <w:keepNext w:val="0"/>
        <w:keepLines w:val="0"/>
        <w:pageBreakBefore w:val="0"/>
        <w:kinsoku/>
        <w:wordWrap/>
        <w:overflowPunct/>
        <w:topLinePunct w:val="0"/>
        <w:bidi w:val="0"/>
        <w:snapToGrid w:val="0"/>
        <w:spacing w:beforeAutospacing="0" w:afterAutospacing="0" w:line="400" w:lineRule="exact"/>
        <w:jc w:val="left"/>
        <w:rPr>
          <w:rFonts w:hint="eastAsia"/>
          <w:color w:val="000000"/>
        </w:rPr>
      </w:pPr>
      <w:r>
        <w:rPr>
          <w:rStyle w:val="27"/>
          <w:rFonts w:hint="eastAsia"/>
          <w:color w:val="000000"/>
          <w:shd w:val="clear" w:color="auto" w:fill="FFFFFF"/>
        </w:rPr>
        <w:t>（三）技术规范</w:t>
      </w:r>
    </w:p>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2"/>
        <w:rPr>
          <w:rFonts w:hint="eastAsia" w:ascii="宋体" w:hAnsi="宋体" w:cs="宋体"/>
          <w:b/>
          <w:bCs/>
          <w:sz w:val="24"/>
          <w:szCs w:val="24"/>
        </w:rPr>
      </w:pPr>
      <w:bookmarkStart w:id="1" w:name="_Toc28933_WPSOffice_Level2"/>
      <w:bookmarkStart w:id="2" w:name="_Toc30489"/>
      <w:bookmarkStart w:id="3" w:name="_Toc10225"/>
      <w:bookmarkStart w:id="4" w:name="_Toc20488"/>
      <w:bookmarkStart w:id="5" w:name="_Toc16286_WPSOffice_Level2"/>
      <w:r>
        <w:rPr>
          <w:rFonts w:hint="eastAsia" w:ascii="宋体" w:hAnsi="宋体" w:cs="宋体"/>
          <w:b/>
          <w:bCs/>
          <w:sz w:val="24"/>
          <w:szCs w:val="24"/>
        </w:rPr>
        <w:t>（1）视频技术规范</w:t>
      </w:r>
      <w:bookmarkEnd w:id="1"/>
      <w:bookmarkEnd w:id="2"/>
      <w:bookmarkEnd w:id="3"/>
      <w:bookmarkEnd w:id="4"/>
      <w:bookmarkEnd w:id="5"/>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1.视频内容</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1.1屏幕图像的构图合理，画面主体突出。人像及肢体动作以及配合讲授选用的板书、画板、教具实物、模型和实验设备等均不能超出镜头所及范围。</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1.2演播室使用的背景采用彩色喷绘或电脑虚拟、实景等背景。背景的颜色、图案不易过多，应保持静态，画面应简洁、明快，有利于营造课堂气氛。</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1.3摄像镜头应保持与主讲教师目光平视的角度。主讲教师不应较长时间仰视或俯视。</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1.4使用资料、图片、外景实拍、实验和表演等形象化教学手段，应符合教学内容要求，与讲授内容联系紧密，手段选用恰当。</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1.5选用影视作品或自拍素材，应注明素材来源。影视作品或自拍素材中涉及人物访谈内容时，除应加注人物介绍外，还应采用滚动式同声字幕。</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1.6选用的资料、图片等素材画面应清楚，对于历史资料、图片应进行再加工。选用的资料、图片等素材应注明素材来源及原始信息（如字画的作品、生卒年月，影视片断的作品名称、创作年代等信息）。</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1.7动画的设计与使用，要与课程内容相贴切，能够发挥良好的教学效果。</w:t>
      </w:r>
    </w:p>
    <w:p>
      <w:pPr>
        <w:pStyle w:val="70"/>
        <w:keepNext w:val="0"/>
        <w:keepLines w:val="0"/>
        <w:pageBreakBefore w:val="0"/>
        <w:kinsoku/>
        <w:wordWrap/>
        <w:overflowPunct/>
        <w:topLinePunct w:val="0"/>
        <w:bidi w:val="0"/>
        <w:snapToGrid w:val="0"/>
        <w:spacing w:line="400" w:lineRule="exact"/>
        <w:ind w:firstLine="480"/>
        <w:jc w:val="left"/>
        <w:rPr>
          <w:rFonts w:hint="eastAsia" w:ascii="宋体" w:hAnsi="宋体" w:cs="宋体"/>
          <w:sz w:val="24"/>
          <w:szCs w:val="24"/>
        </w:rPr>
      </w:pPr>
      <w:r>
        <w:rPr>
          <w:rFonts w:hint="eastAsia" w:ascii="宋体" w:hAnsi="宋体" w:cs="宋体"/>
          <w:sz w:val="24"/>
          <w:szCs w:val="24"/>
        </w:rPr>
        <w:t>1.8动画的实现须流畅、合理、图像清晰，具有较强的可视性。</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2.视频技术规格</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2.1视频信号源</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2.1.1稳定性：全片图像同步性能稳定，无失步现象，CTL同步控制信号必须连续：图像无抖动跳跃，色彩无突变，编辑点处图像稳定。</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2.1.2信噪比：无明显杂波。</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2.1.3色调：白平衡正确，无明显偏色，多机拍摄的镜头衔接处无明显色差。</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2.2音频信号源</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2.2.1声道：中文内容音频信号记录于第1声道，音乐、音效、同期声记录于第2声道，若有其他文字解说记录于第3声道(如录音设备无第3声道,则录于第2声道)。</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2.2.2电平指标：-2db —— -8db声音应无明显失真、放音过冲、过弱。</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2.2.3音频信噪比不低于48db。</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2.2.4声音和画面要求同步，无交流声或其他杂音等缺陷。</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2.2.5伴音清晰、饱满、圆润，无失真、噪声杂音干扰、音量忽大忽小现象。解说声与现场声无明显比例失调，解说声与背景音乐无明显比例失调。</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2.3视频压缩格式及技术参数</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2.3.1视频压缩采用H.264/AVC (MPEG-4 Part10)编码、使用二次编码、不包含字幕的MP4格式。</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2.3.2视频码流率：动态码流的最低码率不得低于1024Kb</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2.3.3视频分辨率</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前期采用高清16:9拍摄，设定为 1280×720或1920×1080。</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2.3.4视频画幅宽高比</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分辨率设定为1280×720或1920×1080的，选定 16:9</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2.3.5视频帧率为25帧/秒</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2.3.6扫描方式采用逐行扫描</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2.4音频压缩格式及技术参数</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2.4.1音频压缩采用AAC(MPEG4 Part3)格式</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2.4.2采样率48KHz </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2.4.3音频码流率128Kbps (恒定)</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2.4.4双声道，做混音处理。</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2.5封装</w:t>
      </w:r>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采用MP4封装</w:t>
      </w:r>
    </w:p>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2"/>
        <w:rPr>
          <w:rFonts w:hint="eastAsia" w:ascii="宋体" w:hAnsi="宋体" w:cs="宋体"/>
          <w:b/>
          <w:bCs/>
          <w:sz w:val="24"/>
          <w:szCs w:val="24"/>
        </w:rPr>
      </w:pPr>
      <w:bookmarkStart w:id="6" w:name="_Toc5390_WPSOffice_Level2"/>
      <w:bookmarkStart w:id="7" w:name="_Toc15705"/>
      <w:bookmarkStart w:id="8" w:name="_Toc20469"/>
      <w:bookmarkStart w:id="9" w:name="_Toc1084"/>
      <w:bookmarkStart w:id="10" w:name="_Toc9194_WPSOffice_Level2"/>
      <w:r>
        <w:rPr>
          <w:rFonts w:hint="eastAsia" w:ascii="宋体" w:hAnsi="宋体" w:cs="宋体"/>
          <w:b/>
          <w:bCs/>
          <w:sz w:val="24"/>
          <w:szCs w:val="24"/>
        </w:rPr>
        <w:t>（2）演示文稿（PPT）制作规范</w:t>
      </w:r>
      <w:bookmarkEnd w:id="6"/>
      <w:bookmarkEnd w:id="7"/>
      <w:bookmarkEnd w:id="8"/>
      <w:bookmarkEnd w:id="9"/>
      <w:bookmarkEnd w:id="10"/>
    </w:p>
    <w:p>
      <w:pPr>
        <w:keepNext w:val="0"/>
        <w:keepLines w:val="0"/>
        <w:pageBreakBefore w:val="0"/>
        <w:kinsoku/>
        <w:wordWrap/>
        <w:overflowPunct/>
        <w:topLinePunct w:val="0"/>
        <w:bidi w:val="0"/>
        <w:snapToGrid w:val="0"/>
        <w:spacing w:line="400" w:lineRule="exact"/>
        <w:ind w:firstLine="640"/>
        <w:jc w:val="left"/>
        <w:rPr>
          <w:rFonts w:hint="eastAsia" w:ascii="宋体" w:hAnsi="宋体" w:cs="宋体"/>
          <w:sz w:val="24"/>
          <w:szCs w:val="24"/>
        </w:rPr>
      </w:pPr>
      <w:r>
        <w:rPr>
          <w:rFonts w:hint="eastAsia" w:ascii="宋体" w:hAnsi="宋体" w:cs="宋体"/>
          <w:sz w:val="24"/>
          <w:szCs w:val="24"/>
        </w:rPr>
        <w:t>1.制作原则</w:t>
      </w:r>
    </w:p>
    <w:p>
      <w:pPr>
        <w:keepNext w:val="0"/>
        <w:keepLines w:val="0"/>
        <w:pageBreakBefore w:val="0"/>
        <w:kinsoku/>
        <w:wordWrap/>
        <w:overflowPunct/>
        <w:topLinePunct w:val="0"/>
        <w:bidi w:val="0"/>
        <w:snapToGrid w:val="0"/>
        <w:spacing w:line="400" w:lineRule="exact"/>
        <w:ind w:firstLine="640"/>
        <w:jc w:val="left"/>
        <w:rPr>
          <w:rFonts w:hint="eastAsia" w:ascii="宋体" w:hAnsi="宋体" w:cs="宋体"/>
          <w:sz w:val="24"/>
          <w:szCs w:val="24"/>
        </w:rPr>
      </w:pPr>
      <w:r>
        <w:rPr>
          <w:rFonts w:hint="eastAsia" w:ascii="宋体" w:hAnsi="宋体" w:cs="宋体"/>
          <w:sz w:val="24"/>
          <w:szCs w:val="24"/>
        </w:rPr>
        <w:t>1.1演示文稿（PPT）要求集文字、图形、图像、声音以及视频等多种媒体元素于一体，一般不使用纯文字的演示文稿（PPT）。</w:t>
      </w:r>
    </w:p>
    <w:p>
      <w:pPr>
        <w:keepNext w:val="0"/>
        <w:keepLines w:val="0"/>
        <w:pageBreakBefore w:val="0"/>
        <w:kinsoku/>
        <w:wordWrap/>
        <w:overflowPunct/>
        <w:topLinePunct w:val="0"/>
        <w:bidi w:val="0"/>
        <w:snapToGrid w:val="0"/>
        <w:spacing w:line="400" w:lineRule="exact"/>
        <w:ind w:firstLine="640"/>
        <w:jc w:val="left"/>
        <w:rPr>
          <w:rFonts w:hint="eastAsia" w:ascii="宋体" w:hAnsi="宋体" w:cs="宋体"/>
          <w:sz w:val="24"/>
          <w:szCs w:val="24"/>
        </w:rPr>
      </w:pPr>
      <w:r>
        <w:rPr>
          <w:rFonts w:hint="eastAsia" w:ascii="宋体" w:hAnsi="宋体" w:cs="宋体"/>
          <w:sz w:val="24"/>
          <w:szCs w:val="24"/>
        </w:rPr>
        <w:t>1.2页面设置要求符合高清格式比例，幻灯片大小为“全屏显示16：9”。</w:t>
      </w:r>
    </w:p>
    <w:p>
      <w:pPr>
        <w:keepNext w:val="0"/>
        <w:keepLines w:val="0"/>
        <w:pageBreakBefore w:val="0"/>
        <w:kinsoku/>
        <w:wordWrap/>
        <w:overflowPunct/>
        <w:topLinePunct w:val="0"/>
        <w:bidi w:val="0"/>
        <w:snapToGrid w:val="0"/>
        <w:spacing w:line="400" w:lineRule="exact"/>
        <w:ind w:firstLine="640"/>
        <w:jc w:val="left"/>
        <w:rPr>
          <w:rFonts w:hint="eastAsia" w:ascii="宋体" w:hAnsi="宋体" w:cs="宋体"/>
          <w:sz w:val="24"/>
          <w:szCs w:val="24"/>
        </w:rPr>
      </w:pPr>
      <w:r>
        <w:rPr>
          <w:rFonts w:hint="eastAsia" w:ascii="宋体" w:hAnsi="宋体" w:cs="宋体"/>
          <w:sz w:val="24"/>
          <w:szCs w:val="24"/>
        </w:rPr>
        <w:t>1.3整体效果应风格统一、色彩协调、美观大方。</w:t>
      </w:r>
    </w:p>
    <w:p>
      <w:pPr>
        <w:keepNext w:val="0"/>
        <w:keepLines w:val="0"/>
        <w:pageBreakBefore w:val="0"/>
        <w:kinsoku/>
        <w:wordWrap/>
        <w:overflowPunct/>
        <w:topLinePunct w:val="0"/>
        <w:bidi w:val="0"/>
        <w:snapToGrid w:val="0"/>
        <w:spacing w:line="400" w:lineRule="exact"/>
        <w:ind w:firstLine="640"/>
        <w:jc w:val="left"/>
        <w:rPr>
          <w:rFonts w:hint="eastAsia" w:ascii="宋体" w:hAnsi="宋体" w:cs="宋体"/>
          <w:sz w:val="24"/>
          <w:szCs w:val="24"/>
        </w:rPr>
      </w:pPr>
      <w:r>
        <w:rPr>
          <w:rFonts w:hint="eastAsia" w:ascii="宋体" w:hAnsi="宋体" w:cs="宋体"/>
          <w:sz w:val="24"/>
          <w:szCs w:val="24"/>
        </w:rPr>
        <w:t>2.字体与字号</w:t>
      </w:r>
    </w:p>
    <w:p>
      <w:pPr>
        <w:keepNext w:val="0"/>
        <w:keepLines w:val="0"/>
        <w:pageBreakBefore w:val="0"/>
        <w:kinsoku/>
        <w:wordWrap/>
        <w:overflowPunct/>
        <w:topLinePunct w:val="0"/>
        <w:bidi w:val="0"/>
        <w:snapToGrid w:val="0"/>
        <w:spacing w:line="400" w:lineRule="exact"/>
        <w:ind w:firstLine="640"/>
        <w:jc w:val="left"/>
        <w:rPr>
          <w:rFonts w:hint="eastAsia" w:ascii="宋体" w:hAnsi="宋体" w:cs="宋体"/>
          <w:sz w:val="24"/>
          <w:szCs w:val="24"/>
        </w:rPr>
      </w:pPr>
      <w:r>
        <w:rPr>
          <w:rFonts w:hint="eastAsia" w:ascii="宋体" w:hAnsi="宋体" w:cs="宋体"/>
          <w:sz w:val="24"/>
          <w:szCs w:val="24"/>
        </w:rPr>
        <w:t>字体与字号参照下表：</w:t>
      </w:r>
    </w:p>
    <w:tbl>
      <w:tblPr>
        <w:tblStyle w:val="23"/>
        <w:tblpPr w:leftFromText="180" w:rightFromText="180" w:vertAnchor="text" w:horzAnchor="margin" w:tblpXSpec="center" w:tblpY="78"/>
        <w:tblW w:w="8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485"/>
        <w:gridCol w:w="1560"/>
        <w:gridCol w:w="155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类型</w:t>
            </w:r>
          </w:p>
        </w:tc>
        <w:tc>
          <w:tcPr>
            <w:tcW w:w="1701"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大标题</w:t>
            </w:r>
          </w:p>
        </w:tc>
        <w:tc>
          <w:tcPr>
            <w:tcW w:w="1485"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主讲信息</w:t>
            </w:r>
          </w:p>
        </w:tc>
        <w:tc>
          <w:tcPr>
            <w:tcW w:w="1560"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一级标题</w:t>
            </w:r>
          </w:p>
        </w:tc>
        <w:tc>
          <w:tcPr>
            <w:tcW w:w="1559"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正  文</w:t>
            </w:r>
          </w:p>
        </w:tc>
        <w:tc>
          <w:tcPr>
            <w:tcW w:w="1384"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字体</w:t>
            </w:r>
          </w:p>
        </w:tc>
        <w:tc>
          <w:tcPr>
            <w:tcW w:w="1701"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大黑、时尚中黑、大隶书</w:t>
            </w:r>
          </w:p>
        </w:tc>
        <w:tc>
          <w:tcPr>
            <w:tcW w:w="1485"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黑体</w:t>
            </w:r>
          </w:p>
        </w:tc>
        <w:tc>
          <w:tcPr>
            <w:tcW w:w="1560"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黑体、魏碑、大宋</w:t>
            </w:r>
          </w:p>
        </w:tc>
        <w:tc>
          <w:tcPr>
            <w:tcW w:w="1559"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雅黑、中宋</w:t>
            </w:r>
          </w:p>
        </w:tc>
        <w:tc>
          <w:tcPr>
            <w:tcW w:w="1384"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雅黑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字号</w:t>
            </w:r>
          </w:p>
        </w:tc>
        <w:tc>
          <w:tcPr>
            <w:tcW w:w="1701"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50～70磅</w:t>
            </w:r>
          </w:p>
        </w:tc>
        <w:tc>
          <w:tcPr>
            <w:tcW w:w="1485"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36～40磅</w:t>
            </w:r>
          </w:p>
        </w:tc>
        <w:tc>
          <w:tcPr>
            <w:tcW w:w="1560"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36～40磅</w:t>
            </w:r>
          </w:p>
        </w:tc>
        <w:tc>
          <w:tcPr>
            <w:tcW w:w="1559"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24～32磅</w:t>
            </w:r>
          </w:p>
        </w:tc>
        <w:tc>
          <w:tcPr>
            <w:tcW w:w="1384"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32磅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z w:val="24"/>
                <w:szCs w:val="24"/>
                <w:u w:val="none" w:color="000000"/>
              </w:rPr>
            </w:pPr>
            <w:r>
              <w:rPr>
                <w:rFonts w:hint="eastAsia" w:ascii="宋体" w:hAnsi="宋体" w:cs="宋体"/>
                <w:bCs/>
                <w:sz w:val="24"/>
                <w:szCs w:val="24"/>
              </w:rPr>
              <w:t>应用</w:t>
            </w:r>
          </w:p>
        </w:tc>
        <w:tc>
          <w:tcPr>
            <w:tcW w:w="1701"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上下左右居中</w:t>
            </w:r>
          </w:p>
        </w:tc>
        <w:tc>
          <w:tcPr>
            <w:tcW w:w="1485"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左右居中</w:t>
            </w:r>
          </w:p>
        </w:tc>
        <w:tc>
          <w:tcPr>
            <w:tcW w:w="1560"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左右居中</w:t>
            </w:r>
          </w:p>
        </w:tc>
        <w:tc>
          <w:tcPr>
            <w:tcW w:w="1559"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左对齐或居中</w:t>
            </w:r>
          </w:p>
        </w:tc>
        <w:tc>
          <w:tcPr>
            <w:tcW w:w="1384" w:type="dxa"/>
            <w:noWrap w:val="0"/>
            <w:vAlign w:val="center"/>
          </w:tcPr>
          <w:p>
            <w:pPr>
              <w:keepNext w:val="0"/>
              <w:keepLines w:val="0"/>
              <w:pageBreakBefore w:val="0"/>
              <w:kinsoku/>
              <w:wordWrap/>
              <w:overflowPunct/>
              <w:topLinePunct w:val="0"/>
              <w:bidi w:val="0"/>
              <w:snapToGrid w:val="0"/>
              <w:spacing w:line="400" w:lineRule="exact"/>
              <w:jc w:val="left"/>
              <w:rPr>
                <w:rFonts w:hint="eastAsia" w:ascii="宋体" w:hAnsi="宋体" w:cs="宋体"/>
                <w:bCs/>
                <w:spacing w:val="-6"/>
                <w:sz w:val="24"/>
                <w:szCs w:val="24"/>
                <w:u w:val="none" w:color="000000"/>
              </w:rPr>
            </w:pPr>
            <w:r>
              <w:rPr>
                <w:rFonts w:hint="eastAsia" w:ascii="宋体" w:hAnsi="宋体" w:cs="宋体"/>
                <w:bCs/>
                <w:spacing w:val="-6"/>
                <w:sz w:val="24"/>
                <w:szCs w:val="24"/>
              </w:rPr>
              <w:t>左右居中</w:t>
            </w:r>
          </w:p>
        </w:tc>
      </w:tr>
    </w:tbl>
    <w:p>
      <w:pPr>
        <w:keepNext w:val="0"/>
        <w:keepLines w:val="0"/>
        <w:pageBreakBefore w:val="0"/>
        <w:kinsoku/>
        <w:wordWrap/>
        <w:overflowPunct/>
        <w:topLinePunct w:val="0"/>
        <w:bidi w:val="0"/>
        <w:snapToGrid w:val="0"/>
        <w:spacing w:line="400" w:lineRule="exact"/>
        <w:ind w:firstLine="641"/>
        <w:jc w:val="left"/>
        <w:rPr>
          <w:rFonts w:hint="eastAsia" w:ascii="宋体" w:hAnsi="宋体" w:cs="宋体"/>
          <w:color w:val="000000"/>
          <w:sz w:val="24"/>
          <w:szCs w:val="24"/>
          <w:u w:val="none" w:color="000000"/>
        </w:rPr>
      </w:pPr>
      <w:r>
        <w:rPr>
          <w:rFonts w:hint="eastAsia" w:ascii="宋体" w:hAnsi="宋体" w:cs="宋体"/>
          <w:sz w:val="24"/>
          <w:szCs w:val="24"/>
        </w:rPr>
        <w:t>3.版心与版式</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每页四周留出空白，应避免内容顶到页面边缘，边界安全区域分别为左、右130像素内，上、下90像素内。</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4.背景</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4.1背景色以简洁适中饱和度为主（颜色保持在一至两种色系内）；</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4.2背景和场景不宜变化过多；</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4.3文字、图形等内容应与背景对比醒目。</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5.色调</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5.1色彩的选配应与课程科目相吻合；</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5.2每一短视频或一系列短视频在配色上应体现出系统性，可选一种主色调再加上一至两种辅助色进行匹配；</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5.3同一屏里文字不宜超出三种颜色。</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6.字距与行距</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6.1标题：在文字少的情形下，字距放宽一倍体现舒展性；</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6.2正文：行距使用1行或1.5行，便于阅读。</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7. 配图</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7.1图像应清晰并能反映出内容主题思想，分辨率应上72dpi以上；</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7.2保持图像宽高比例，不可变形；</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7.3图形使用应通俗易懂，便于理解。</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8.修饰</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8.1细线条的运用比粗线条更显精致；</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8.2扁平式的装饰更接近时代审美；</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8.3有趣味的装饰通常更能吸引人。</w:t>
      </w:r>
    </w:p>
    <w:p>
      <w:pPr>
        <w:keepNext w:val="0"/>
        <w:keepLines w:val="0"/>
        <w:pageBreakBefore w:val="0"/>
        <w:kinsoku/>
        <w:wordWrap/>
        <w:overflowPunct/>
        <w:topLinePunct w:val="0"/>
        <w:bidi w:val="0"/>
        <w:snapToGrid w:val="0"/>
        <w:spacing w:line="400" w:lineRule="exact"/>
        <w:ind w:firstLine="641"/>
        <w:jc w:val="left"/>
        <w:rPr>
          <w:rFonts w:hint="eastAsia" w:ascii="宋体" w:hAnsi="宋体" w:cs="宋体"/>
          <w:sz w:val="24"/>
          <w:szCs w:val="24"/>
        </w:rPr>
      </w:pPr>
      <w:r>
        <w:rPr>
          <w:rFonts w:hint="eastAsia" w:ascii="宋体" w:hAnsi="宋体" w:cs="宋体"/>
          <w:sz w:val="24"/>
          <w:szCs w:val="24"/>
        </w:rPr>
        <w:t>9. 版权来源</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素材选用注意版权。不得使用未经授权的素材，经授权的素材需加入“版权来源”信息。</w:t>
      </w:r>
      <w:bookmarkStart w:id="11" w:name="_Toc14340_WPSOffice_Level2"/>
    </w:p>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2"/>
        <w:rPr>
          <w:rFonts w:hint="eastAsia" w:ascii="宋体" w:hAnsi="宋体" w:cs="宋体"/>
          <w:b/>
          <w:bCs/>
          <w:sz w:val="24"/>
          <w:szCs w:val="24"/>
        </w:rPr>
      </w:pPr>
      <w:bookmarkStart w:id="12" w:name="_Toc11208"/>
      <w:bookmarkStart w:id="13" w:name="_Toc11140"/>
      <w:bookmarkStart w:id="14" w:name="_Toc12641"/>
      <w:r>
        <w:rPr>
          <w:rFonts w:hint="eastAsia" w:ascii="宋体" w:hAnsi="宋体" w:cs="宋体"/>
          <w:b/>
          <w:bCs/>
          <w:sz w:val="24"/>
          <w:szCs w:val="24"/>
        </w:rPr>
        <w:t>（3）文本类</w:t>
      </w:r>
      <w:bookmarkEnd w:id="11"/>
      <w:r>
        <w:rPr>
          <w:rFonts w:hint="eastAsia" w:ascii="宋体" w:hAnsi="宋体" w:cs="宋体"/>
          <w:b/>
          <w:bCs/>
          <w:sz w:val="24"/>
          <w:szCs w:val="24"/>
        </w:rPr>
        <w:t>制作规范</w:t>
      </w:r>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1．文件格式</w:t>
      </w:r>
    </w:p>
    <w:tbl>
      <w:tblPr>
        <w:tblStyle w:val="23"/>
        <w:tblW w:w="9249" w:type="dxa"/>
        <w:jc w:val="center"/>
        <w:tblInd w:w="-471" w:type="dxa"/>
        <w:tblLayout w:type="fixed"/>
        <w:tblCellMar>
          <w:top w:w="0" w:type="dxa"/>
          <w:left w:w="0" w:type="dxa"/>
          <w:bottom w:w="0" w:type="dxa"/>
          <w:right w:w="0" w:type="dxa"/>
        </w:tblCellMar>
      </w:tblPr>
      <w:tblGrid>
        <w:gridCol w:w="2770"/>
        <w:gridCol w:w="2389"/>
        <w:gridCol w:w="4090"/>
      </w:tblGrid>
      <w:tr>
        <w:tblPrEx>
          <w:tblLayout w:type="fixed"/>
          <w:tblCellMar>
            <w:top w:w="0" w:type="dxa"/>
            <w:left w:w="0" w:type="dxa"/>
            <w:bottom w:w="0" w:type="dxa"/>
            <w:right w:w="0" w:type="dxa"/>
          </w:tblCellMar>
        </w:tblPrEx>
        <w:trPr>
          <w:trHeight w:val="453" w:hRule="atLeast"/>
          <w:jc w:val="center"/>
        </w:trPr>
        <w:tc>
          <w:tcPr>
            <w:tcW w:w="2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媒体类型</w:t>
            </w:r>
          </w:p>
        </w:tc>
        <w:tc>
          <w:tcPr>
            <w:tcW w:w="2389"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扩展名</w:t>
            </w:r>
          </w:p>
        </w:tc>
        <w:tc>
          <w:tcPr>
            <w:tcW w:w="409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说 明</w:t>
            </w:r>
          </w:p>
        </w:tc>
      </w:tr>
      <w:tr>
        <w:tblPrEx>
          <w:tblLayout w:type="fixed"/>
          <w:tblCellMar>
            <w:top w:w="0" w:type="dxa"/>
            <w:left w:w="0" w:type="dxa"/>
            <w:bottom w:w="0" w:type="dxa"/>
            <w:right w:w="0" w:type="dxa"/>
          </w:tblCellMar>
        </w:tblPrEx>
        <w:trPr>
          <w:trHeight w:val="1765" w:hRule="atLeast"/>
          <w:jc w:val="center"/>
        </w:trPr>
        <w:tc>
          <w:tcPr>
            <w:tcW w:w="27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w:t>
            </w:r>
          </w:p>
        </w:tc>
        <w:tc>
          <w:tcPr>
            <w:tcW w:w="2389"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*.doc</w:t>
            </w:r>
          </w:p>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*.docx</w:t>
            </w:r>
          </w:p>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*.pdf</w:t>
            </w:r>
          </w:p>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*.xls</w:t>
            </w:r>
          </w:p>
        </w:tc>
        <w:tc>
          <w:tcPr>
            <w:tcW w:w="409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常见文本存储格式均可</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 2．技术要求</w:t>
      </w:r>
    </w:p>
    <w:tbl>
      <w:tblPr>
        <w:tblStyle w:val="23"/>
        <w:tblW w:w="9225" w:type="dxa"/>
        <w:jc w:val="center"/>
        <w:tblInd w:w="0" w:type="dxa"/>
        <w:tblLayout w:type="fixed"/>
        <w:tblCellMar>
          <w:top w:w="113" w:type="dxa"/>
          <w:left w:w="113" w:type="dxa"/>
          <w:bottom w:w="0" w:type="dxa"/>
          <w:right w:w="0" w:type="dxa"/>
        </w:tblCellMar>
      </w:tblPr>
      <w:tblGrid>
        <w:gridCol w:w="792"/>
        <w:gridCol w:w="8433"/>
      </w:tblGrid>
      <w:tr>
        <w:tblPrEx>
          <w:tblLayout w:type="fixed"/>
          <w:tblCellMar>
            <w:top w:w="113" w:type="dxa"/>
            <w:left w:w="113" w:type="dxa"/>
            <w:bottom w:w="0" w:type="dxa"/>
            <w:right w:w="0" w:type="dxa"/>
          </w:tblCellMar>
        </w:tblPrEx>
        <w:trPr>
          <w:trHeight w:val="23" w:hRule="atLeast"/>
          <w:jc w:val="center"/>
        </w:trPr>
        <w:tc>
          <w:tcPr>
            <w:tcW w:w="92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技术要求</w:t>
            </w:r>
          </w:p>
        </w:tc>
      </w:tr>
      <w:tr>
        <w:tblPrEx>
          <w:tblLayout w:type="fixed"/>
          <w:tblCellMar>
            <w:top w:w="113" w:type="dxa"/>
            <w:left w:w="113" w:type="dxa"/>
            <w:bottom w:w="0" w:type="dxa"/>
            <w:right w:w="0" w:type="dxa"/>
          </w:tblCellMar>
        </w:tblPrEx>
        <w:trPr>
          <w:trHeight w:val="9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软件     版本</w:t>
            </w: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文件制作版本不低于当前主流版本，要求上下兼容。（文档编辑工具不低于 OFFICE2003）</w:t>
            </w:r>
          </w:p>
        </w:tc>
      </w:tr>
      <w:tr>
        <w:tblPrEx>
          <w:tblLayout w:type="fixed"/>
          <w:tblCellMar>
            <w:top w:w="113" w:type="dxa"/>
            <w:left w:w="113" w:type="dxa"/>
            <w:bottom w:w="0" w:type="dxa"/>
            <w:right w:w="0" w:type="dxa"/>
          </w:tblCellMar>
        </w:tblPrEx>
        <w:trPr>
          <w:trHeight w:val="23" w:hRule="atLeast"/>
          <w:jc w:val="center"/>
        </w:trPr>
        <w:tc>
          <w:tcPr>
            <w:tcW w:w="79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品质</w:t>
            </w:r>
          </w:p>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要求</w:t>
            </w: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文本正文应设定文章标题，文章标题放在正文内第一行居中的位置</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各级标题应设置正确，同一级标题使用同样的样式，文本结构清晰</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正文字体、字号、颜色、行间距等要美观、统一</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文本超过 10 页应插入页码；超过 15 页应插入目录</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表格不应超出页面，且要求使用软件的插入表格或绘制表格等功能生成表格，并使用相应功能加工处理，不要用在文本上描绘直线等绘图方式制作表格</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正文中的图像、图形应清晰，图形要符合国家相关绘制标准</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文档保存时的显示比例为 100%、页面视图</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文件名应反映主题内容，尽量与文内标题保持一致，不要使用“1.doc”这类含义不明的标题</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文本如有对齐的要求，要用表格来处理，而不要使用空格来实现</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文本内容应忠实于原文献，完整有序，符合我国法律法规，尊重各民族风俗习惯，版权不存在争议</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文中所用计量符号应符合国家相关标准</w:t>
            </w:r>
          </w:p>
        </w:tc>
      </w:tr>
      <w:tr>
        <w:tblPrEx>
          <w:tblLayout w:type="fixed"/>
          <w:tblCellMar>
            <w:top w:w="113" w:type="dxa"/>
            <w:left w:w="113" w:type="dxa"/>
            <w:bottom w:w="0" w:type="dxa"/>
            <w:right w:w="0" w:type="dxa"/>
          </w:tblCellMar>
        </w:tblPrEx>
        <w:trPr>
          <w:trHeight w:val="23" w:hRule="atLeast"/>
          <w:jc w:val="center"/>
        </w:trPr>
        <w:tc>
          <w:tcPr>
            <w:tcW w:w="7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433"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文档总页数以不超过 60 页为宜</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3.提交要求</w:t>
      </w:r>
    </w:p>
    <w:tbl>
      <w:tblPr>
        <w:tblStyle w:val="23"/>
        <w:tblW w:w="9299" w:type="dxa"/>
        <w:jc w:val="center"/>
        <w:tblInd w:w="0" w:type="dxa"/>
        <w:tblLayout w:type="fixed"/>
        <w:tblCellMar>
          <w:top w:w="0" w:type="dxa"/>
          <w:left w:w="57" w:type="dxa"/>
          <w:bottom w:w="0" w:type="dxa"/>
          <w:right w:w="0" w:type="dxa"/>
        </w:tblCellMar>
      </w:tblPr>
      <w:tblGrid>
        <w:gridCol w:w="1531"/>
        <w:gridCol w:w="7768"/>
      </w:tblGrid>
      <w:tr>
        <w:tblPrEx>
          <w:tblLayout w:type="fixed"/>
          <w:tblCellMar>
            <w:top w:w="0" w:type="dxa"/>
            <w:left w:w="57" w:type="dxa"/>
            <w:bottom w:w="0" w:type="dxa"/>
            <w:right w:w="0" w:type="dxa"/>
          </w:tblCellMar>
        </w:tblPrEx>
        <w:trPr>
          <w:trHeight w:val="459"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媒体类型</w:t>
            </w:r>
          </w:p>
        </w:tc>
        <w:tc>
          <w:tcPr>
            <w:tcW w:w="7768"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提交要求</w:t>
            </w:r>
          </w:p>
        </w:tc>
      </w:tr>
      <w:tr>
        <w:tblPrEx>
          <w:tblLayout w:type="fixed"/>
          <w:tblCellMar>
            <w:top w:w="0" w:type="dxa"/>
            <w:left w:w="57" w:type="dxa"/>
            <w:bottom w:w="0" w:type="dxa"/>
            <w:right w:w="0" w:type="dxa"/>
          </w:tblCellMar>
        </w:tblPrEx>
        <w:trPr>
          <w:trHeight w:val="643"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w:t>
            </w:r>
          </w:p>
        </w:tc>
        <w:tc>
          <w:tcPr>
            <w:tcW w:w="7768"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文本内容应相对完整，不可加密</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2"/>
        <w:rPr>
          <w:rFonts w:hint="eastAsia" w:ascii="宋体" w:hAnsi="宋体" w:cs="宋体"/>
          <w:b/>
          <w:bCs/>
          <w:sz w:val="24"/>
          <w:szCs w:val="24"/>
        </w:rPr>
      </w:pPr>
      <w:bookmarkStart w:id="15" w:name="_Toc32766_WPSOffice_Level2"/>
      <w:bookmarkStart w:id="16" w:name="_Toc30043"/>
      <w:bookmarkStart w:id="17" w:name="_Toc273"/>
      <w:bookmarkStart w:id="18" w:name="_Toc24011"/>
      <w:bookmarkStart w:id="19" w:name="_Toc11817"/>
      <w:bookmarkStart w:id="20" w:name="_Toc10350"/>
      <w:bookmarkStart w:id="21" w:name="_Toc30343"/>
      <w:bookmarkStart w:id="22" w:name="_Toc15133"/>
      <w:bookmarkStart w:id="23" w:name="_Toc10807"/>
      <w:bookmarkStart w:id="24" w:name="_Toc2647"/>
      <w:r>
        <w:rPr>
          <w:rFonts w:hint="eastAsia" w:ascii="宋体" w:hAnsi="宋体" w:cs="宋体"/>
          <w:b/>
          <w:bCs/>
          <w:sz w:val="24"/>
          <w:szCs w:val="24"/>
        </w:rPr>
        <w:t>（4）图形/图像类</w:t>
      </w:r>
      <w:bookmarkEnd w:id="15"/>
      <w:r>
        <w:rPr>
          <w:rFonts w:hint="eastAsia" w:ascii="宋体" w:hAnsi="宋体" w:cs="宋体"/>
          <w:b/>
          <w:bCs/>
          <w:sz w:val="24"/>
          <w:szCs w:val="24"/>
        </w:rPr>
        <w:t>技术规范</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1.文件格式</w:t>
      </w:r>
    </w:p>
    <w:tbl>
      <w:tblPr>
        <w:tblStyle w:val="23"/>
        <w:tblW w:w="9454" w:type="dxa"/>
        <w:jc w:val="center"/>
        <w:tblInd w:w="-5" w:type="dxa"/>
        <w:tblLayout w:type="fixed"/>
        <w:tblCellMar>
          <w:top w:w="0" w:type="dxa"/>
          <w:left w:w="0" w:type="dxa"/>
          <w:bottom w:w="0" w:type="dxa"/>
          <w:right w:w="0" w:type="dxa"/>
        </w:tblCellMar>
      </w:tblPr>
      <w:tblGrid>
        <w:gridCol w:w="2703"/>
        <w:gridCol w:w="3027"/>
        <w:gridCol w:w="3724"/>
      </w:tblGrid>
      <w:tr>
        <w:tblPrEx>
          <w:tblLayout w:type="fixed"/>
          <w:tblCellMar>
            <w:top w:w="0" w:type="dxa"/>
            <w:left w:w="0" w:type="dxa"/>
            <w:bottom w:w="0" w:type="dxa"/>
            <w:right w:w="0" w:type="dxa"/>
          </w:tblCellMar>
        </w:tblPrEx>
        <w:trPr>
          <w:trHeight w:val="322" w:hRule="atLeast"/>
          <w:jc w:val="center"/>
        </w:trPr>
        <w:tc>
          <w:tcPr>
            <w:tcW w:w="2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媒体类型</w:t>
            </w:r>
          </w:p>
        </w:tc>
        <w:tc>
          <w:tcPr>
            <w:tcW w:w="3027"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扩展名</w:t>
            </w:r>
          </w:p>
        </w:tc>
        <w:tc>
          <w:tcPr>
            <w:tcW w:w="3724"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说 明</w:t>
            </w:r>
          </w:p>
        </w:tc>
      </w:tr>
      <w:tr>
        <w:tblPrEx>
          <w:tblLayout w:type="fixed"/>
          <w:tblCellMar>
            <w:top w:w="0" w:type="dxa"/>
            <w:left w:w="0" w:type="dxa"/>
            <w:bottom w:w="0" w:type="dxa"/>
            <w:right w:w="0" w:type="dxa"/>
          </w:tblCellMar>
        </w:tblPrEx>
        <w:trPr>
          <w:trHeight w:val="1570" w:hRule="atLeast"/>
          <w:jc w:val="center"/>
        </w:trPr>
        <w:tc>
          <w:tcPr>
            <w:tcW w:w="27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图形/图像</w:t>
            </w:r>
          </w:p>
        </w:tc>
        <w:tc>
          <w:tcPr>
            <w:tcW w:w="302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*.jpg</w:t>
            </w:r>
          </w:p>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*.png</w:t>
            </w:r>
          </w:p>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*.dwg</w:t>
            </w:r>
          </w:p>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*.wmf</w:t>
            </w:r>
          </w:p>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*.gif</w:t>
            </w:r>
          </w:p>
        </w:tc>
        <w:tc>
          <w:tcPr>
            <w:tcW w:w="3724"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snapToGrid w:val="0"/>
              <w:spacing w:line="400" w:lineRule="exact"/>
              <w:ind w:left="721" w:firstLine="400"/>
              <w:jc w:val="left"/>
              <w:rPr>
                <w:rFonts w:hint="eastAsia" w:ascii="宋体" w:hAnsi="宋体" w:cs="宋体"/>
                <w:kern w:val="0"/>
                <w:sz w:val="24"/>
                <w:szCs w:val="24"/>
              </w:rPr>
            </w:pPr>
            <w:r>
              <w:rPr>
                <w:rFonts w:hint="eastAsia" w:ascii="宋体" w:hAnsi="宋体" w:cs="宋体"/>
                <w:kern w:val="0"/>
                <w:sz w:val="24"/>
                <w:szCs w:val="24"/>
              </w:rPr>
              <w:t>图片压缩格式文件</w:t>
            </w:r>
          </w:p>
          <w:p>
            <w:pPr>
              <w:keepNext w:val="0"/>
              <w:keepLines w:val="0"/>
              <w:pageBreakBefore w:val="0"/>
              <w:widowControl/>
              <w:kinsoku/>
              <w:wordWrap/>
              <w:overflowPunct/>
              <w:topLinePunct w:val="0"/>
              <w:autoSpaceDE w:val="0"/>
              <w:autoSpaceDN w:val="0"/>
              <w:bidi w:val="0"/>
              <w:snapToGrid w:val="0"/>
              <w:spacing w:line="400" w:lineRule="exact"/>
              <w:ind w:left="616" w:firstLine="400"/>
              <w:jc w:val="left"/>
              <w:rPr>
                <w:rFonts w:hint="eastAsia" w:ascii="宋体" w:hAnsi="宋体" w:cs="宋体"/>
                <w:kern w:val="0"/>
                <w:sz w:val="24"/>
                <w:szCs w:val="24"/>
              </w:rPr>
            </w:pPr>
            <w:r>
              <w:rPr>
                <w:rFonts w:hint="eastAsia" w:ascii="宋体" w:hAnsi="宋体" w:cs="宋体"/>
                <w:kern w:val="0"/>
                <w:sz w:val="24"/>
                <w:szCs w:val="24"/>
              </w:rPr>
              <w:t>可移植网络图形格式</w:t>
            </w:r>
          </w:p>
          <w:p>
            <w:pPr>
              <w:keepNext w:val="0"/>
              <w:keepLines w:val="0"/>
              <w:pageBreakBefore w:val="0"/>
              <w:widowControl/>
              <w:kinsoku/>
              <w:wordWrap/>
              <w:overflowPunct/>
              <w:topLinePunct w:val="0"/>
              <w:autoSpaceDE w:val="0"/>
              <w:autoSpaceDN w:val="0"/>
              <w:bidi w:val="0"/>
              <w:snapToGrid w:val="0"/>
              <w:spacing w:line="400" w:lineRule="exact"/>
              <w:ind w:left="677" w:firstLine="400"/>
              <w:jc w:val="left"/>
              <w:rPr>
                <w:rFonts w:hint="eastAsia" w:ascii="宋体" w:hAnsi="宋体" w:cs="宋体"/>
                <w:kern w:val="0"/>
                <w:sz w:val="24"/>
                <w:szCs w:val="24"/>
              </w:rPr>
            </w:pPr>
            <w:r>
              <w:rPr>
                <w:rFonts w:hint="eastAsia" w:ascii="宋体" w:hAnsi="宋体" w:cs="宋体"/>
                <w:kern w:val="0"/>
                <w:sz w:val="24"/>
                <w:szCs w:val="24"/>
              </w:rPr>
              <w:t>AutoCAD 图形文件</w:t>
            </w:r>
          </w:p>
          <w:p>
            <w:pPr>
              <w:keepNext w:val="0"/>
              <w:keepLines w:val="0"/>
              <w:pageBreakBefore w:val="0"/>
              <w:widowControl/>
              <w:kinsoku/>
              <w:wordWrap/>
              <w:overflowPunct/>
              <w:topLinePunct w:val="0"/>
              <w:autoSpaceDE w:val="0"/>
              <w:autoSpaceDN w:val="0"/>
              <w:bidi w:val="0"/>
              <w:snapToGrid w:val="0"/>
              <w:spacing w:line="400" w:lineRule="exact"/>
              <w:ind w:left="1141" w:firstLine="400"/>
              <w:jc w:val="left"/>
              <w:rPr>
                <w:rFonts w:hint="eastAsia" w:ascii="宋体" w:hAnsi="宋体" w:cs="宋体"/>
                <w:kern w:val="0"/>
                <w:sz w:val="24"/>
                <w:szCs w:val="24"/>
              </w:rPr>
            </w:pPr>
            <w:r>
              <w:rPr>
                <w:rFonts w:hint="eastAsia" w:ascii="宋体" w:hAnsi="宋体" w:cs="宋体"/>
                <w:kern w:val="0"/>
                <w:sz w:val="24"/>
                <w:szCs w:val="24"/>
              </w:rPr>
              <w:t>图元文件</w:t>
            </w:r>
          </w:p>
          <w:p>
            <w:pPr>
              <w:keepNext w:val="0"/>
              <w:keepLines w:val="0"/>
              <w:pageBreakBefore w:val="0"/>
              <w:widowControl/>
              <w:kinsoku/>
              <w:wordWrap/>
              <w:overflowPunct/>
              <w:topLinePunct w:val="0"/>
              <w:autoSpaceDE w:val="0"/>
              <w:autoSpaceDN w:val="0"/>
              <w:bidi w:val="0"/>
              <w:adjustRightInd w:val="0"/>
              <w:snapToGrid w:val="0"/>
              <w:spacing w:line="400" w:lineRule="exact"/>
              <w:ind w:left="721" w:firstLine="480" w:firstLineChars="200"/>
              <w:jc w:val="left"/>
              <w:rPr>
                <w:rFonts w:hint="eastAsia" w:ascii="宋体" w:hAnsi="宋体" w:cs="宋体"/>
                <w:kern w:val="0"/>
                <w:sz w:val="24"/>
                <w:szCs w:val="24"/>
              </w:rPr>
            </w:pPr>
            <w:r>
              <w:rPr>
                <w:rFonts w:hint="eastAsia" w:ascii="宋体" w:hAnsi="宋体" w:cs="宋体"/>
                <w:kern w:val="0"/>
                <w:sz w:val="24"/>
                <w:szCs w:val="24"/>
              </w:rPr>
              <w:t>图像互换格式文件</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 2．技术要求</w:t>
      </w:r>
    </w:p>
    <w:tbl>
      <w:tblPr>
        <w:tblStyle w:val="23"/>
        <w:tblW w:w="9454" w:type="dxa"/>
        <w:jc w:val="center"/>
        <w:tblInd w:w="0" w:type="dxa"/>
        <w:tblLayout w:type="fixed"/>
        <w:tblCellMar>
          <w:top w:w="113" w:type="dxa"/>
          <w:left w:w="113" w:type="dxa"/>
          <w:bottom w:w="0" w:type="dxa"/>
          <w:right w:w="0" w:type="dxa"/>
        </w:tblCellMar>
      </w:tblPr>
      <w:tblGrid>
        <w:gridCol w:w="892"/>
        <w:gridCol w:w="8562"/>
      </w:tblGrid>
      <w:tr>
        <w:tblPrEx>
          <w:tblLayout w:type="fixed"/>
          <w:tblCellMar>
            <w:top w:w="113" w:type="dxa"/>
            <w:left w:w="113" w:type="dxa"/>
            <w:bottom w:w="0" w:type="dxa"/>
            <w:right w:w="0" w:type="dxa"/>
          </w:tblCellMar>
        </w:tblPrEx>
        <w:trPr>
          <w:trHeight w:val="23" w:hRule="atLeast"/>
          <w:jc w:val="center"/>
        </w:trPr>
        <w:tc>
          <w:tcPr>
            <w:tcW w:w="94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技术要求</w:t>
            </w:r>
          </w:p>
        </w:tc>
      </w:tr>
      <w:tr>
        <w:tblPrEx>
          <w:tblLayout w:type="fixed"/>
          <w:tblCellMar>
            <w:top w:w="113" w:type="dxa"/>
            <w:left w:w="113" w:type="dxa"/>
            <w:bottom w:w="0" w:type="dxa"/>
            <w:right w:w="0" w:type="dxa"/>
          </w:tblCellMar>
        </w:tblPrEx>
        <w:trPr>
          <w:trHeight w:val="23" w:hRule="atLeast"/>
          <w:jc w:val="center"/>
        </w:trPr>
        <w:tc>
          <w:tcPr>
            <w:tcW w:w="89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色彩</w:t>
            </w:r>
          </w:p>
        </w:tc>
        <w:tc>
          <w:tcPr>
            <w:tcW w:w="8562"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彩色图像颜色数不低于真彩（24 位色），灰度图像的灰度级不低于256 级    </w:t>
            </w:r>
          </w:p>
        </w:tc>
      </w:tr>
      <w:tr>
        <w:tblPrEx>
          <w:tblLayout w:type="fixed"/>
          <w:tblCellMar>
            <w:top w:w="113" w:type="dxa"/>
            <w:left w:w="113" w:type="dxa"/>
            <w:bottom w:w="0" w:type="dxa"/>
            <w:right w:w="0"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分辨率</w:t>
            </w:r>
          </w:p>
        </w:tc>
        <w:tc>
          <w:tcPr>
            <w:tcW w:w="8562"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屏幕分辨率不低于 1024×768 时，扫描图像的扫描分辨率不低于 72  dpi，彩色扫描图像的扫描分辨率不低于 150dpi    </w:t>
            </w:r>
          </w:p>
        </w:tc>
      </w:tr>
      <w:tr>
        <w:tblPrEx>
          <w:tblLayout w:type="fixed"/>
          <w:tblCellMar>
            <w:top w:w="113" w:type="dxa"/>
            <w:left w:w="113" w:type="dxa"/>
            <w:bottom w:w="0" w:type="dxa"/>
            <w:right w:w="0" w:type="dxa"/>
          </w:tblCellMar>
        </w:tblPrEx>
        <w:trPr>
          <w:trHeight w:val="23" w:hRule="atLeast"/>
          <w:jc w:val="center"/>
        </w:trPr>
        <w:tc>
          <w:tcPr>
            <w:tcW w:w="89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清晰度</w:t>
            </w:r>
          </w:p>
        </w:tc>
        <w:tc>
          <w:tcPr>
            <w:tcW w:w="8562"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图像内容清晰可辨识，不需要借助额外的设备即可辨认图片资源所需要表达的主体内容    </w:t>
            </w:r>
          </w:p>
        </w:tc>
      </w:tr>
      <w:tr>
        <w:tblPrEx>
          <w:tblLayout w:type="fixed"/>
          <w:tblCellMar>
            <w:top w:w="113" w:type="dxa"/>
            <w:left w:w="113" w:type="dxa"/>
            <w:bottom w:w="0" w:type="dxa"/>
            <w:right w:w="0" w:type="dxa"/>
          </w:tblCellMar>
        </w:tblPrEx>
        <w:trPr>
          <w:trHeight w:val="23" w:hRule="atLeast"/>
          <w:jc w:val="center"/>
        </w:trPr>
        <w:tc>
          <w:tcPr>
            <w:tcW w:w="89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562"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所有图像扫描后，需要使用 Photoshop 或其他图像处理软件进行裁剪、校色、去污、纠偏等处理，使页面整洁、清晰    </w:t>
            </w:r>
          </w:p>
        </w:tc>
      </w:tr>
      <w:tr>
        <w:tblPrEx>
          <w:tblLayout w:type="fixed"/>
          <w:tblCellMar>
            <w:top w:w="113" w:type="dxa"/>
            <w:left w:w="113" w:type="dxa"/>
            <w:bottom w:w="0" w:type="dxa"/>
            <w:right w:w="0"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内容</w:t>
            </w:r>
          </w:p>
        </w:tc>
        <w:tc>
          <w:tcPr>
            <w:tcW w:w="8562"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图形/图像内容符合我国法律法规，尊重各民族的风俗习惯，版权不存在争议    </w:t>
            </w:r>
          </w:p>
        </w:tc>
      </w:tr>
    </w:tbl>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3．提交要求</w:t>
      </w:r>
    </w:p>
    <w:tbl>
      <w:tblPr>
        <w:tblStyle w:val="23"/>
        <w:tblW w:w="9463" w:type="dxa"/>
        <w:jc w:val="center"/>
        <w:tblInd w:w="-5" w:type="dxa"/>
        <w:tblLayout w:type="fixed"/>
        <w:tblCellMar>
          <w:top w:w="0" w:type="dxa"/>
          <w:left w:w="0" w:type="dxa"/>
          <w:bottom w:w="0" w:type="dxa"/>
          <w:right w:w="0" w:type="dxa"/>
        </w:tblCellMar>
      </w:tblPr>
      <w:tblGrid>
        <w:gridCol w:w="1883"/>
        <w:gridCol w:w="7580"/>
      </w:tblGrid>
      <w:tr>
        <w:tblPrEx>
          <w:tblLayout w:type="fixed"/>
          <w:tblCellMar>
            <w:top w:w="0" w:type="dxa"/>
            <w:left w:w="0" w:type="dxa"/>
            <w:bottom w:w="0" w:type="dxa"/>
            <w:right w:w="0" w:type="dxa"/>
          </w:tblCellMar>
        </w:tblPrEx>
        <w:trPr>
          <w:trHeight w:val="331" w:hRule="atLeast"/>
          <w:jc w:val="center"/>
        </w:trPr>
        <w:tc>
          <w:tcPr>
            <w:tcW w:w="18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媒体类型</w:t>
            </w:r>
          </w:p>
        </w:tc>
        <w:tc>
          <w:tcPr>
            <w:tcW w:w="7580"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提交要求</w:t>
            </w:r>
          </w:p>
        </w:tc>
      </w:tr>
      <w:tr>
        <w:tblPrEx>
          <w:tblLayout w:type="fixed"/>
          <w:tblCellMar>
            <w:top w:w="0" w:type="dxa"/>
            <w:left w:w="0" w:type="dxa"/>
            <w:bottom w:w="0" w:type="dxa"/>
            <w:right w:w="0" w:type="dxa"/>
          </w:tblCellMar>
        </w:tblPrEx>
        <w:trPr>
          <w:trHeight w:val="322" w:hRule="atLeast"/>
          <w:jc w:val="center"/>
        </w:trPr>
        <w:tc>
          <w:tcPr>
            <w:tcW w:w="188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图形/图像</w:t>
            </w:r>
          </w:p>
        </w:tc>
        <w:tc>
          <w:tcPr>
            <w:tcW w:w="7580"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widowControl/>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图形/图像需提交原始文件</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2"/>
        <w:rPr>
          <w:rFonts w:hint="eastAsia" w:ascii="宋体" w:hAnsi="宋体" w:cs="宋体"/>
          <w:b/>
          <w:bCs/>
          <w:sz w:val="24"/>
          <w:szCs w:val="24"/>
        </w:rPr>
      </w:pPr>
      <w:bookmarkStart w:id="25" w:name="_Toc1390_WPSOffice_Level2"/>
      <w:bookmarkStart w:id="26" w:name="_Toc26883"/>
      <w:bookmarkStart w:id="27" w:name="_Toc29972"/>
      <w:bookmarkStart w:id="28" w:name="_Toc19773"/>
      <w:bookmarkStart w:id="29" w:name="_Toc30402"/>
      <w:r>
        <w:rPr>
          <w:rFonts w:hint="eastAsia" w:ascii="宋体" w:hAnsi="宋体" w:cs="宋体"/>
          <w:b/>
          <w:bCs/>
          <w:sz w:val="24"/>
          <w:szCs w:val="24"/>
        </w:rPr>
        <w:t>（5）动画类</w:t>
      </w:r>
      <w:bookmarkEnd w:id="25"/>
      <w:r>
        <w:rPr>
          <w:rFonts w:hint="eastAsia" w:ascii="宋体" w:hAnsi="宋体" w:cs="宋体"/>
          <w:b/>
          <w:bCs/>
          <w:sz w:val="24"/>
          <w:szCs w:val="24"/>
        </w:rPr>
        <w:t>技术规范</w:t>
      </w:r>
      <w:bookmarkEnd w:id="26"/>
      <w:bookmarkEnd w:id="27"/>
      <w:bookmarkEnd w:id="28"/>
      <w:bookmarkEnd w:id="29"/>
    </w:p>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1．文件格式</w:t>
      </w:r>
    </w:p>
    <w:tbl>
      <w:tblPr>
        <w:tblStyle w:val="23"/>
        <w:tblW w:w="9259" w:type="dxa"/>
        <w:jc w:val="center"/>
        <w:tblInd w:w="-5" w:type="dxa"/>
        <w:tblLayout w:type="fixed"/>
        <w:tblCellMar>
          <w:top w:w="0" w:type="dxa"/>
          <w:left w:w="0" w:type="dxa"/>
          <w:bottom w:w="0" w:type="dxa"/>
          <w:right w:w="0" w:type="dxa"/>
        </w:tblCellMar>
      </w:tblPr>
      <w:tblGrid>
        <w:gridCol w:w="3053"/>
        <w:gridCol w:w="3236"/>
        <w:gridCol w:w="2970"/>
      </w:tblGrid>
      <w:tr>
        <w:tblPrEx>
          <w:tblLayout w:type="fixed"/>
          <w:tblCellMar>
            <w:top w:w="0" w:type="dxa"/>
            <w:left w:w="0" w:type="dxa"/>
            <w:bottom w:w="0" w:type="dxa"/>
            <w:right w:w="0" w:type="dxa"/>
          </w:tblCellMar>
        </w:tblPrEx>
        <w:trPr>
          <w:trHeight w:val="322" w:hRule="atLeast"/>
          <w:jc w:val="center"/>
        </w:trPr>
        <w:tc>
          <w:tcPr>
            <w:tcW w:w="305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媒体类型</w:t>
            </w:r>
          </w:p>
        </w:tc>
        <w:tc>
          <w:tcPr>
            <w:tcW w:w="3236"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扩展名</w:t>
            </w:r>
          </w:p>
        </w:tc>
        <w:tc>
          <w:tcPr>
            <w:tcW w:w="2970"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说 明</w:t>
            </w:r>
          </w:p>
        </w:tc>
      </w:tr>
      <w:tr>
        <w:tblPrEx>
          <w:tblLayout w:type="fixed"/>
          <w:tblCellMar>
            <w:top w:w="0" w:type="dxa"/>
            <w:left w:w="0" w:type="dxa"/>
            <w:bottom w:w="0" w:type="dxa"/>
            <w:right w:w="0" w:type="dxa"/>
          </w:tblCellMar>
        </w:tblPrEx>
        <w:trPr>
          <w:trHeight w:val="322" w:hRule="atLeast"/>
          <w:jc w:val="center"/>
        </w:trPr>
        <w:tc>
          <w:tcPr>
            <w:tcW w:w="305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MG 动画</w:t>
            </w:r>
          </w:p>
        </w:tc>
        <w:tc>
          <w:tcPr>
            <w:tcW w:w="3236"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*.MP4</w:t>
            </w:r>
          </w:p>
        </w:tc>
        <w:tc>
          <w:tcPr>
            <w:tcW w:w="2970"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MG 动画文件</w:t>
            </w:r>
          </w:p>
        </w:tc>
      </w:tr>
      <w:tr>
        <w:tblPrEx>
          <w:tblLayout w:type="fixed"/>
          <w:tblCellMar>
            <w:top w:w="0" w:type="dxa"/>
            <w:left w:w="0" w:type="dxa"/>
            <w:bottom w:w="0" w:type="dxa"/>
            <w:right w:w="0" w:type="dxa"/>
          </w:tblCellMar>
        </w:tblPrEx>
        <w:trPr>
          <w:trHeight w:val="454" w:hRule="atLeast"/>
          <w:jc w:val="center"/>
        </w:trPr>
        <w:tc>
          <w:tcPr>
            <w:tcW w:w="305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Flash 动画</w:t>
            </w:r>
          </w:p>
        </w:tc>
        <w:tc>
          <w:tcPr>
            <w:tcW w:w="3236"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*.swf</w:t>
            </w:r>
          </w:p>
        </w:tc>
        <w:tc>
          <w:tcPr>
            <w:tcW w:w="2970"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ind w:left="200"/>
              <w:jc w:val="left"/>
              <w:rPr>
                <w:rFonts w:hint="eastAsia" w:ascii="宋体" w:hAnsi="宋体" w:cs="宋体"/>
                <w:kern w:val="0"/>
                <w:sz w:val="24"/>
                <w:szCs w:val="24"/>
              </w:rPr>
            </w:pPr>
            <w:r>
              <w:rPr>
                <w:rFonts w:hint="eastAsia" w:ascii="宋体" w:hAnsi="宋体" w:cs="宋体"/>
                <w:kern w:val="0"/>
                <w:sz w:val="24"/>
                <w:szCs w:val="24"/>
              </w:rPr>
              <w:t>Flash 动画文件</w:t>
            </w:r>
          </w:p>
        </w:tc>
      </w:tr>
    </w:tbl>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2．技术要求</w:t>
      </w:r>
    </w:p>
    <w:tbl>
      <w:tblPr>
        <w:tblStyle w:val="23"/>
        <w:tblW w:w="9519" w:type="dxa"/>
        <w:jc w:val="center"/>
        <w:tblInd w:w="0" w:type="dxa"/>
        <w:tblLayout w:type="fixed"/>
        <w:tblCellMar>
          <w:top w:w="113" w:type="dxa"/>
          <w:left w:w="113" w:type="dxa"/>
          <w:bottom w:w="0" w:type="dxa"/>
          <w:right w:w="0" w:type="dxa"/>
        </w:tblCellMar>
      </w:tblPr>
      <w:tblGrid>
        <w:gridCol w:w="862"/>
        <w:gridCol w:w="8657"/>
      </w:tblGrid>
      <w:tr>
        <w:tblPrEx>
          <w:tblLayout w:type="fixed"/>
          <w:tblCellMar>
            <w:top w:w="113" w:type="dxa"/>
            <w:left w:w="113" w:type="dxa"/>
            <w:bottom w:w="0" w:type="dxa"/>
            <w:right w:w="0" w:type="dxa"/>
          </w:tblCellMar>
        </w:tblPrEx>
        <w:trPr>
          <w:trHeight w:val="23" w:hRule="atLeast"/>
          <w:jc w:val="center"/>
        </w:trPr>
        <w:tc>
          <w:tcPr>
            <w:tcW w:w="951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ind w:left="3314" w:firstLine="480" w:firstLineChars="200"/>
              <w:jc w:val="left"/>
              <w:rPr>
                <w:rFonts w:hint="eastAsia" w:ascii="宋体" w:hAnsi="宋体" w:cs="宋体"/>
                <w:kern w:val="0"/>
                <w:sz w:val="24"/>
                <w:szCs w:val="24"/>
              </w:rPr>
            </w:pPr>
            <w:r>
              <w:rPr>
                <w:rFonts w:hint="eastAsia" w:ascii="宋体" w:hAnsi="宋体" w:cs="宋体"/>
                <w:kern w:val="0"/>
                <w:sz w:val="24"/>
                <w:szCs w:val="24"/>
              </w:rPr>
              <w:t>技术要求</w:t>
            </w:r>
          </w:p>
        </w:tc>
      </w:tr>
      <w:tr>
        <w:tblPrEx>
          <w:tblLayout w:type="fixed"/>
          <w:tblCellMar>
            <w:top w:w="113" w:type="dxa"/>
            <w:left w:w="113" w:type="dxa"/>
            <w:bottom w:w="0" w:type="dxa"/>
            <w:right w:w="0" w:type="dxa"/>
          </w:tblCellMar>
        </w:tblPrEx>
        <w:trPr>
          <w:trHeight w:val="23" w:hRule="atLeast"/>
          <w:jc w:val="center"/>
        </w:trPr>
        <w:tc>
          <w:tcPr>
            <w:tcW w:w="86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品质</w:t>
            </w:r>
          </w:p>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要求</w:t>
            </w: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动画的开始要有醒目的标题，标题要能够体现动画所表现的内容</w:t>
            </w:r>
          </w:p>
        </w:tc>
      </w:tr>
      <w:tr>
        <w:tblPrEx>
          <w:tblLayout w:type="fixed"/>
          <w:tblCellMar>
            <w:top w:w="113" w:type="dxa"/>
            <w:left w:w="113" w:type="dxa"/>
            <w:bottom w:w="0" w:type="dxa"/>
            <w:right w:w="0" w:type="dxa"/>
          </w:tblCellMar>
        </w:tblPrEx>
        <w:trPr>
          <w:trHeight w:val="23" w:hRule="atLeast"/>
          <w:jc w:val="center"/>
        </w:trPr>
        <w:tc>
          <w:tcPr>
            <w:tcW w:w="86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动画色彩造型应和谐，画面简洁清晰，界面友好，交互设计合理，操作简单</w:t>
            </w:r>
          </w:p>
        </w:tc>
      </w:tr>
      <w:tr>
        <w:tblPrEx>
          <w:tblLayout w:type="fixed"/>
          <w:tblCellMar>
            <w:top w:w="113" w:type="dxa"/>
            <w:left w:w="113" w:type="dxa"/>
            <w:bottom w:w="0" w:type="dxa"/>
            <w:right w:w="0" w:type="dxa"/>
          </w:tblCellMar>
        </w:tblPrEx>
        <w:trPr>
          <w:trHeight w:val="23" w:hRule="atLeast"/>
          <w:jc w:val="center"/>
        </w:trPr>
        <w:tc>
          <w:tcPr>
            <w:tcW w:w="86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动画连续，节奏合适，帧和帧之间的关联性要强</w:t>
            </w:r>
          </w:p>
        </w:tc>
      </w:tr>
      <w:tr>
        <w:tblPrEx>
          <w:tblLayout w:type="fixed"/>
          <w:tblCellMar>
            <w:top w:w="113" w:type="dxa"/>
            <w:left w:w="113" w:type="dxa"/>
            <w:bottom w:w="0" w:type="dxa"/>
            <w:right w:w="0" w:type="dxa"/>
          </w:tblCellMar>
        </w:tblPrEx>
        <w:trPr>
          <w:trHeight w:val="23" w:hRule="atLeast"/>
          <w:jc w:val="center"/>
        </w:trPr>
        <w:tc>
          <w:tcPr>
            <w:tcW w:w="86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动画演播过程要流畅，静止画面时间不超过 5 秒钟</w:t>
            </w:r>
          </w:p>
        </w:tc>
      </w:tr>
      <w:tr>
        <w:tblPrEx>
          <w:tblLayout w:type="fixed"/>
          <w:tblCellMar>
            <w:top w:w="113" w:type="dxa"/>
            <w:left w:w="113" w:type="dxa"/>
            <w:bottom w:w="0" w:type="dxa"/>
            <w:right w:w="0" w:type="dxa"/>
          </w:tblCellMar>
        </w:tblPrEx>
        <w:trPr>
          <w:trHeight w:val="23" w:hRule="atLeast"/>
          <w:jc w:val="center"/>
        </w:trPr>
        <w:tc>
          <w:tcPr>
            <w:tcW w:w="86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一般情况下，应设置暂停与播放控制按钮，当动画时间较长时应设置进度拖动条</w:t>
            </w:r>
          </w:p>
        </w:tc>
      </w:tr>
      <w:tr>
        <w:tblPrEx>
          <w:tblLayout w:type="fixed"/>
          <w:tblCellMar>
            <w:top w:w="113" w:type="dxa"/>
            <w:left w:w="113" w:type="dxa"/>
            <w:bottom w:w="0" w:type="dxa"/>
            <w:right w:w="0" w:type="dxa"/>
          </w:tblCellMar>
        </w:tblPrEx>
        <w:trPr>
          <w:trHeight w:val="23" w:hRule="atLeast"/>
          <w:jc w:val="center"/>
        </w:trPr>
        <w:tc>
          <w:tcPr>
            <w:tcW w:w="86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内容</w:t>
            </w:r>
          </w:p>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要求</w:t>
            </w: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动画内容符合我国法律法规，尊重各民族的风俗习惯，版权不存在争议</w:t>
            </w:r>
          </w:p>
        </w:tc>
      </w:tr>
      <w:tr>
        <w:tblPrEx>
          <w:tblLayout w:type="fixed"/>
          <w:tblCellMar>
            <w:top w:w="113" w:type="dxa"/>
            <w:left w:w="113" w:type="dxa"/>
            <w:bottom w:w="0" w:type="dxa"/>
            <w:right w:w="0" w:type="dxa"/>
          </w:tblCellMar>
        </w:tblPrEx>
        <w:trPr>
          <w:trHeight w:val="23" w:hRule="atLeast"/>
          <w:jc w:val="center"/>
        </w:trPr>
        <w:tc>
          <w:tcPr>
            <w:tcW w:w="86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若其中包含少数民族或外国语言文字信息，应遵循其原内容完整性，使用原语言进行处理</w:t>
            </w:r>
          </w:p>
        </w:tc>
      </w:tr>
      <w:tr>
        <w:tblPrEx>
          <w:tblLayout w:type="fixed"/>
          <w:tblCellMar>
            <w:top w:w="113" w:type="dxa"/>
            <w:left w:w="113" w:type="dxa"/>
            <w:bottom w:w="0" w:type="dxa"/>
            <w:right w:w="0" w:type="dxa"/>
          </w:tblCellMar>
        </w:tblPrEx>
        <w:trPr>
          <w:trHeight w:val="23"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存储</w:t>
            </w:r>
          </w:p>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格式</w:t>
            </w:r>
          </w:p>
        </w:tc>
        <w:tc>
          <w:tcPr>
            <w:tcW w:w="8657"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采用 SWF（不低于 Flash6.0）或mp4 存储格式</w:t>
            </w:r>
          </w:p>
        </w:tc>
      </w:tr>
    </w:tbl>
    <w:p>
      <w:pPr>
        <w:keepNext w:val="0"/>
        <w:keepLines w:val="0"/>
        <w:pageBreakBefore w:val="0"/>
        <w:kinsoku/>
        <w:wordWrap/>
        <w:overflowPunct/>
        <w:topLinePunct w:val="0"/>
        <w:bidi w:val="0"/>
        <w:snapToGrid w:val="0"/>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3.提交要求</w:t>
      </w:r>
    </w:p>
    <w:tbl>
      <w:tblPr>
        <w:tblStyle w:val="23"/>
        <w:tblW w:w="9199" w:type="dxa"/>
        <w:jc w:val="center"/>
        <w:tblInd w:w="0" w:type="dxa"/>
        <w:tblLayout w:type="fixed"/>
        <w:tblCellMar>
          <w:top w:w="113" w:type="dxa"/>
          <w:left w:w="113" w:type="dxa"/>
          <w:bottom w:w="0" w:type="dxa"/>
          <w:right w:w="0" w:type="dxa"/>
        </w:tblCellMar>
      </w:tblPr>
      <w:tblGrid>
        <w:gridCol w:w="1351"/>
        <w:gridCol w:w="7848"/>
      </w:tblGrid>
      <w:tr>
        <w:tblPrEx>
          <w:tblLayout w:type="fixed"/>
          <w:tblCellMar>
            <w:top w:w="113" w:type="dxa"/>
            <w:left w:w="113" w:type="dxa"/>
            <w:bottom w:w="0" w:type="dxa"/>
            <w:right w:w="0" w:type="dxa"/>
          </w:tblCellMar>
        </w:tblPrEx>
        <w:trPr>
          <w:trHeight w:val="574" w:hRule="atLeast"/>
          <w:jc w:val="center"/>
        </w:trPr>
        <w:tc>
          <w:tcPr>
            <w:tcW w:w="135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ind w:left="112"/>
              <w:jc w:val="left"/>
              <w:rPr>
                <w:rFonts w:hint="eastAsia" w:ascii="宋体" w:hAnsi="宋体" w:cs="宋体"/>
                <w:kern w:val="0"/>
                <w:sz w:val="24"/>
                <w:szCs w:val="24"/>
              </w:rPr>
            </w:pPr>
            <w:r>
              <w:rPr>
                <w:rFonts w:hint="eastAsia" w:ascii="宋体" w:hAnsi="宋体" w:cs="宋体"/>
                <w:kern w:val="0"/>
                <w:sz w:val="24"/>
                <w:szCs w:val="24"/>
              </w:rPr>
              <w:t xml:space="preserve">媒体类型     </w:t>
            </w:r>
          </w:p>
        </w:tc>
        <w:tc>
          <w:tcPr>
            <w:tcW w:w="7848"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ind w:left="2512"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提交要求     </w:t>
            </w:r>
          </w:p>
        </w:tc>
      </w:tr>
      <w:tr>
        <w:tblPrEx>
          <w:tblLayout w:type="fixed"/>
          <w:tblCellMar>
            <w:top w:w="113" w:type="dxa"/>
            <w:left w:w="113" w:type="dxa"/>
            <w:bottom w:w="0" w:type="dxa"/>
            <w:right w:w="0" w:type="dxa"/>
          </w:tblCellMar>
        </w:tblPrEx>
        <w:trPr>
          <w:trHeight w:val="1029"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动画</w:t>
            </w:r>
          </w:p>
        </w:tc>
        <w:tc>
          <w:tcPr>
            <w:tcW w:w="7848"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保持每个动画素材的独立性，尽量不设置两个或多个动画文件之间的嵌套及链接关系    </w:t>
            </w:r>
          </w:p>
        </w:tc>
      </w:tr>
      <w:tr>
        <w:tblPrEx>
          <w:tblLayout w:type="fixed"/>
          <w:tblCellMar>
            <w:top w:w="113" w:type="dxa"/>
            <w:left w:w="113" w:type="dxa"/>
            <w:bottom w:w="0" w:type="dxa"/>
            <w:right w:w="0" w:type="dxa"/>
          </w:tblCellMar>
        </w:tblPrEx>
        <w:trPr>
          <w:trHeight w:val="576"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7848"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所有动画数据都需要制作成 MP4格式或SWF 格式、MOV格式</w:t>
            </w:r>
          </w:p>
        </w:tc>
      </w:tr>
      <w:tr>
        <w:tblPrEx>
          <w:tblLayout w:type="fixed"/>
          <w:tblCellMar>
            <w:top w:w="113" w:type="dxa"/>
            <w:left w:w="113" w:type="dxa"/>
            <w:bottom w:w="0" w:type="dxa"/>
            <w:right w:w="0" w:type="dxa"/>
          </w:tblCellMar>
        </w:tblPrEx>
        <w:trPr>
          <w:trHeight w:val="584"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napToGrid w:val="0"/>
              <w:spacing w:line="400" w:lineRule="exact"/>
              <w:jc w:val="left"/>
              <w:rPr>
                <w:rFonts w:hint="eastAsia" w:ascii="宋体" w:hAnsi="宋体" w:cs="宋体"/>
                <w:kern w:val="0"/>
                <w:sz w:val="24"/>
                <w:szCs w:val="24"/>
              </w:rPr>
            </w:pPr>
          </w:p>
        </w:tc>
        <w:tc>
          <w:tcPr>
            <w:tcW w:w="7848" w:type="dxa"/>
            <w:tcBorders>
              <w:top w:val="single" w:color="000000" w:sz="4" w:space="0"/>
              <w:left w:val="nil"/>
              <w:bottom w:val="single" w:color="000000" w:sz="4" w:space="0"/>
              <w:right w:val="single" w:color="000000" w:sz="4" w:space="0"/>
            </w:tcBorders>
            <w:shd w:val="clear" w:color="auto" w:fill="FFFFFF"/>
            <w:noWrap w:val="0"/>
            <w:vAlign w:val="top"/>
          </w:tcPr>
          <w:p>
            <w:pPr>
              <w:keepNext w:val="0"/>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kern w:val="0"/>
                <w:sz w:val="24"/>
                <w:szCs w:val="24"/>
              </w:rPr>
            </w:pPr>
            <w:r>
              <w:rPr>
                <w:rFonts w:hint="eastAsia" w:ascii="宋体" w:hAnsi="宋体" w:cs="宋体"/>
                <w:kern w:val="0"/>
                <w:sz w:val="24"/>
                <w:szCs w:val="24"/>
              </w:rPr>
              <w:t xml:space="preserve">要求提交动画源文件、打过 logo 的可执行文件    </w:t>
            </w:r>
          </w:p>
        </w:tc>
      </w:tr>
      <w:bookmarkEnd w:id="20"/>
      <w:bookmarkEnd w:id="21"/>
      <w:bookmarkEnd w:id="22"/>
      <w:bookmarkEnd w:id="23"/>
      <w:bookmarkEnd w:id="24"/>
    </w:tbl>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1"/>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snapToGrid w:val="0"/>
        <w:spacing w:line="400" w:lineRule="exact"/>
        <w:ind w:firstLine="241" w:firstLineChars="100"/>
        <w:jc w:val="left"/>
        <w:textAlignment w:val="auto"/>
        <w:outlineLvl w:val="1"/>
        <w:rPr>
          <w:rFonts w:hint="eastAsia"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6</w:t>
      </w:r>
      <w:r>
        <w:rPr>
          <w:rFonts w:hint="eastAsia" w:ascii="宋体" w:hAnsi="宋体" w:cs="宋体"/>
          <w:b/>
          <w:bCs/>
          <w:sz w:val="24"/>
          <w:szCs w:val="24"/>
        </w:rPr>
        <w:t>）</w:t>
      </w:r>
      <w:r>
        <w:rPr>
          <w:rStyle w:val="27"/>
          <w:rFonts w:hint="eastAsia" w:ascii="宋体" w:hAnsi="宋体" w:eastAsia="宋体" w:cs="宋体"/>
          <w:color w:val="auto"/>
          <w:sz w:val="24"/>
          <w:highlight w:val="none"/>
        </w:rPr>
        <w:t>课程资源开发管理系统</w:t>
      </w:r>
      <w:r>
        <w:rPr>
          <w:rFonts w:hint="eastAsia" w:ascii="宋体" w:hAnsi="宋体" w:cs="宋体"/>
          <w:b/>
          <w:bCs/>
          <w:color w:val="auto"/>
          <w:sz w:val="24"/>
          <w:highlight w:val="none"/>
        </w:rPr>
        <w:t>（服务期使用），主要用于课程资源制作过程中微视频的制作与管理，要求如下：</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该系统主要应用于课程资源建设全过程管理，有助于管理者对项目建设进度进行实时查看和管理；有助于新建课程者对建设过程所需应用到的资料进行借阅和引用；有助于新建课程者梳理课程资源建设的基本流程和工作安排，是建设者与制作者之间沟通和修改的平台。</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6.1、以柱状图的形式对在建的所有课程完成情况进行展示；当鼠标移至柱状图上，显示对应课程的完成进度；当鼠标点击柱状图时，以柱状图显示对应课程下的视频、动画、课件、题库、文本材料等资源的完成进度。（须现场演示）</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6.2、以圆环图的形式对平台内所有课程所属专业大类进行统计，当鼠标移至圆环图上，显示各大类的课程数量，圆环图上各专业大类的面积大小以课程数量来呈现。（须提供国家认可的检测机构出具的有效测试报告复印件）</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6.3、以卡片的形式在页面上展现平台中所有的在建课程。</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6.4、可以清晰查看课程制作的流程引导，初次使用平台的教师用户可根据课程制作的流程引导图的提示来完成课程的在线制作。当鼠标放在具体某个步骤上，会弹框显示该步骤的具体描述。</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6.5、教师在新建课程的时候可以选择本校的教师对此新建的课程进行协同编辑。被邀请的教师可以对这个新建的课程进行建课编辑。</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6.6、对课程浏览里的课程教师可以只进行目录的引用，点击引用，引用目录到新建课程中，并可以对引用的目录进行再编辑。</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★6.7、可对课程的目录进行手动添加、删除、修改操作。并可以通过平台提供的模板自动导入。（须现场演示；须提供国家认可的检测机构出具的有效测试报告复印件）</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6.8、平台提供脚本撰写模板，教师可在平台中直接撰写动画脚本，也可通过平台导入功能，导入教师编写好的脚本。</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6.9、视频拍摄剪辑后，企业人员将视频初稿上传至平台，教师对企业制作好并上传的视频初稿进行查看，平台支持在线播放视频，并可在播放过程中对视频画面进行批注和文字标识，每修改一处，自动形成标注记录同时在原文件中进行标识，企业人员登录平台后，通过标注记录和播放视频可看到教师修改的批注标识，以此来指导企业员工对视频的某些修改细节。（须现场演示）</w:t>
      </w:r>
    </w:p>
    <w:p>
      <w:pPr>
        <w:pStyle w:val="19"/>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cs="宋体"/>
          <w:b w:val="0"/>
          <w:bCs w:val="0"/>
          <w:sz w:val="24"/>
          <w:szCs w:val="24"/>
          <w:lang w:val="en-US" w:eastAsia="zh-CN"/>
        </w:rPr>
      </w:pPr>
      <w:r>
        <w:rPr>
          <w:rFonts w:hint="eastAsia" w:cs="宋体"/>
          <w:b w:val="0"/>
          <w:bCs w:val="0"/>
          <w:sz w:val="24"/>
          <w:szCs w:val="24"/>
          <w:lang w:val="en-US" w:eastAsia="zh-CN"/>
        </w:rPr>
        <w:t>6.10、动画制作完成后，企业人员将动画初稿上传至平台，教师对企业制作好并上传的动画初稿进行查看，平台支持在线播放动画，并可在播放过程中对动画画面进行批注和文字标识，每修改一处，自动形成标注记录同时在原文件中进行标识，企业人员登录平台后，通过标注记录和播放动画可看到教师修改的批注标识，以此来指导企业员工对动画的某些修改细节。</w:t>
      </w:r>
    </w:p>
    <w:p>
      <w:pPr>
        <w:pStyle w:val="19"/>
        <w:keepNext w:val="0"/>
        <w:keepLines w:val="0"/>
        <w:pageBreakBefore w:val="0"/>
        <w:widowControl/>
        <w:kinsoku/>
        <w:wordWrap/>
        <w:overflowPunct/>
        <w:topLinePunct w:val="0"/>
        <w:bidi w:val="0"/>
        <w:snapToGrid w:val="0"/>
        <w:spacing w:beforeAutospacing="0" w:afterAutospacing="0" w:line="400" w:lineRule="exact"/>
        <w:ind w:firstLine="480" w:firstLineChars="200"/>
        <w:jc w:val="left"/>
        <w:rPr>
          <w:rFonts w:hint="eastAsia" w:ascii="宋体" w:hAnsi="宋体" w:cs="宋体"/>
          <w:color w:val="auto"/>
          <w:highlight w:val="none"/>
        </w:rPr>
      </w:pPr>
      <w:r>
        <w:rPr>
          <w:rFonts w:hint="eastAsia" w:cs="宋体"/>
          <w:b w:val="0"/>
          <w:bCs w:val="0"/>
          <w:sz w:val="24"/>
          <w:szCs w:val="24"/>
          <w:lang w:val="en-US" w:eastAsia="zh-CN"/>
        </w:rPr>
        <w:t>6.11、对比播放：在视频（动画）制作页面可以选择两个视频同屏播放，老师以此来观察两个视频的修改变化。（须现场演示）</w:t>
      </w:r>
    </w:p>
    <w:p>
      <w:pPr>
        <w:spacing w:line="400" w:lineRule="exact"/>
        <w:ind w:firstLine="480" w:firstLineChars="200"/>
        <w:rPr>
          <w:rFonts w:ascii="宋体" w:hAnsi="宋体" w:cs="宋体"/>
          <w:color w:val="auto"/>
          <w:sz w:val="24"/>
          <w:highlight w:val="none"/>
        </w:rPr>
      </w:pPr>
    </w:p>
    <w:p>
      <w:pPr>
        <w:pStyle w:val="19"/>
        <w:widowControl/>
        <w:spacing w:before="75" w:after="75" w:line="360" w:lineRule="auto"/>
        <w:rPr>
          <w:rFonts w:ascii="宋体" w:hAnsi="宋体" w:cs="宋体"/>
          <w:color w:val="auto"/>
          <w:highlight w:val="none"/>
        </w:rPr>
      </w:pPr>
      <w:r>
        <w:rPr>
          <w:rFonts w:hint="eastAsia" w:ascii="宋体" w:hAnsi="宋体" w:cs="宋体"/>
          <w:color w:val="auto"/>
          <w:highlight w:val="none"/>
        </w:rPr>
        <w:t>三、商务条件</w:t>
      </w:r>
      <w:r>
        <w:rPr>
          <w:rStyle w:val="27"/>
          <w:rFonts w:hint="eastAsia" w:ascii="宋体" w:hAnsi="宋体" w:cs="宋体"/>
          <w:color w:val="auto"/>
          <w:highlight w:val="none"/>
        </w:rPr>
        <w:t>（以“★”标示的内容为不允许负偏离的实质性要求）</w:t>
      </w:r>
    </w:p>
    <w:p>
      <w:pPr>
        <w:pStyle w:val="11"/>
        <w:snapToGrid w:val="0"/>
        <w:spacing w:line="420" w:lineRule="exact"/>
        <w:ind w:right="-313" w:rightChars="-149"/>
        <w:rPr>
          <w:rFonts w:hAnsi="宋体" w:cs="宋体"/>
          <w:color w:val="auto"/>
          <w:sz w:val="24"/>
          <w:szCs w:val="24"/>
          <w:highlight w:val="none"/>
        </w:rPr>
      </w:pPr>
      <w:r>
        <w:rPr>
          <w:rStyle w:val="27"/>
          <w:rFonts w:hint="eastAsia" w:hAnsi="宋体" w:cs="宋体"/>
          <w:color w:val="auto"/>
          <w:sz w:val="24"/>
          <w:szCs w:val="24"/>
          <w:highlight w:val="none"/>
        </w:rPr>
        <w:t>包：1</w:t>
      </w:r>
      <w:r>
        <w:rPr>
          <w:rStyle w:val="27"/>
          <w:rFonts w:hint="eastAsia" w:hAnsi="宋体" w:cs="宋体"/>
          <w:color w:val="auto"/>
          <w:sz w:val="24"/>
          <w:szCs w:val="24"/>
          <w:highlight w:val="none"/>
        </w:rPr>
        <w:br w:type="textWrapping"/>
      </w:r>
      <w:r>
        <w:rPr>
          <w:rStyle w:val="27"/>
          <w:rFonts w:hint="eastAsia" w:hAnsi="宋体" w:cs="宋体"/>
          <w:color w:val="auto"/>
          <w:sz w:val="24"/>
          <w:szCs w:val="24"/>
          <w:highlight w:val="none"/>
        </w:rPr>
        <w:t xml:space="preserve">1、交付地点：莆田市涵江区梧塘镇荔涵东大道1001号 </w:t>
      </w:r>
      <w:r>
        <w:rPr>
          <w:rStyle w:val="27"/>
          <w:rFonts w:hint="eastAsia" w:hAnsi="宋体" w:cs="宋体"/>
          <w:color w:val="auto"/>
          <w:sz w:val="24"/>
          <w:szCs w:val="24"/>
          <w:highlight w:val="none"/>
        </w:rPr>
        <w:br w:type="textWrapping"/>
      </w:r>
      <w:r>
        <w:rPr>
          <w:rStyle w:val="27"/>
          <w:rFonts w:hint="eastAsia" w:hAnsi="宋体" w:cs="宋体"/>
          <w:color w:val="auto"/>
          <w:sz w:val="24"/>
          <w:szCs w:val="24"/>
          <w:highlight w:val="none"/>
        </w:rPr>
        <w:t>2、交付时间：合同签订后壹年内交货</w:t>
      </w:r>
    </w:p>
    <w:p>
      <w:pPr>
        <w:pStyle w:val="19"/>
        <w:widowControl/>
        <w:numPr>
          <w:ilvl w:val="0"/>
          <w:numId w:val="5"/>
        </w:numPr>
        <w:spacing w:line="440" w:lineRule="exact"/>
        <w:rPr>
          <w:rStyle w:val="27"/>
          <w:rFonts w:ascii="宋体" w:hAnsi="宋体" w:cs="宋体"/>
          <w:color w:val="auto"/>
          <w:highlight w:val="none"/>
        </w:rPr>
      </w:pPr>
      <w:r>
        <w:rPr>
          <w:rStyle w:val="27"/>
          <w:rFonts w:hint="eastAsia" w:ascii="宋体" w:hAnsi="宋体" w:cs="宋体"/>
          <w:color w:val="auto"/>
          <w:highlight w:val="none"/>
        </w:rPr>
        <w:t>交付条件：完成全部课程的拍摄，课程质量达到采购人的要求，整体课程建设各项指标满足全部应标技术参数要求。</w:t>
      </w:r>
      <w:r>
        <w:rPr>
          <w:rStyle w:val="27"/>
          <w:rFonts w:hint="eastAsia" w:ascii="宋体" w:hAnsi="宋体" w:cs="宋体"/>
          <w:color w:val="auto"/>
          <w:highlight w:val="none"/>
        </w:rPr>
        <w:br w:type="textWrapping"/>
      </w:r>
      <w:r>
        <w:rPr>
          <w:rStyle w:val="27"/>
          <w:rFonts w:hint="eastAsia" w:ascii="宋体" w:hAnsi="宋体" w:cs="宋体"/>
          <w:color w:val="auto"/>
          <w:highlight w:val="none"/>
        </w:rPr>
        <w:t>4、是否收取履约保证金： 是。履约保证金百分比：5%。说明：中标人在签订政府采购合同前应向采购人缴纳合同总金额的5%作为履约保证金，该履约保证金于验收合格后自动转为质量保证金，待中标人完整履行合同，验收合格之日起1年后采购人无息退还。</w:t>
      </w:r>
    </w:p>
    <w:p>
      <w:pPr>
        <w:pStyle w:val="19"/>
        <w:widowControl/>
        <w:spacing w:line="440" w:lineRule="exact"/>
        <w:rPr>
          <w:rFonts w:ascii="宋体" w:hAnsi="宋体" w:cs="宋体"/>
          <w:color w:val="auto"/>
          <w:highlight w:val="none"/>
        </w:rPr>
      </w:pPr>
      <w:r>
        <w:rPr>
          <w:rStyle w:val="27"/>
          <w:rFonts w:hint="eastAsia" w:ascii="宋体" w:hAnsi="宋体" w:cs="宋体"/>
          <w:color w:val="auto"/>
          <w:highlight w:val="none"/>
        </w:rPr>
        <w:t>5、是否邀请投标人参与验收：否</w:t>
      </w:r>
      <w:r>
        <w:rPr>
          <w:rStyle w:val="27"/>
          <w:rFonts w:hint="eastAsia" w:ascii="宋体" w:hAnsi="宋体" w:cs="宋体"/>
          <w:color w:val="auto"/>
          <w:highlight w:val="none"/>
        </w:rPr>
        <w:br w:type="textWrapping"/>
      </w:r>
      <w:r>
        <w:rPr>
          <w:rStyle w:val="27"/>
          <w:rFonts w:hint="eastAsia" w:ascii="宋体" w:hAnsi="宋体" w:cs="宋体"/>
          <w:color w:val="auto"/>
          <w:highlight w:val="none"/>
        </w:rPr>
        <w:t>6、验收方式数据表格</w:t>
      </w:r>
    </w:p>
    <w:tbl>
      <w:tblPr>
        <w:tblStyle w:val="23"/>
        <w:tblW w:w="9264" w:type="dxa"/>
        <w:jc w:val="center"/>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7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jc w:val="center"/>
        </w:trPr>
        <w:tc>
          <w:tcPr>
            <w:tcW w:w="1667"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验收期次</w:t>
            </w:r>
          </w:p>
        </w:tc>
        <w:tc>
          <w:tcPr>
            <w:tcW w:w="7597"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1667"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1</w:t>
            </w:r>
          </w:p>
        </w:tc>
        <w:tc>
          <w:tcPr>
            <w:tcW w:w="7597"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根据招标文件及合同</w:t>
            </w:r>
          </w:p>
        </w:tc>
      </w:tr>
    </w:tbl>
    <w:p>
      <w:pPr>
        <w:widowControl/>
        <w:numPr>
          <w:ilvl w:val="0"/>
          <w:numId w:val="6"/>
        </w:numPr>
        <w:spacing w:line="440" w:lineRule="exact"/>
        <w:jc w:val="left"/>
        <w:rPr>
          <w:rStyle w:val="27"/>
          <w:rFonts w:ascii="宋体" w:hAnsi="宋体" w:cs="宋体"/>
          <w:color w:val="auto"/>
          <w:kern w:val="0"/>
          <w:sz w:val="24"/>
          <w:highlight w:val="none"/>
        </w:rPr>
      </w:pPr>
      <w:r>
        <w:rPr>
          <w:rStyle w:val="27"/>
          <w:rFonts w:hint="eastAsia" w:ascii="宋体" w:hAnsi="宋体" w:cs="宋体"/>
          <w:color w:val="auto"/>
          <w:kern w:val="0"/>
          <w:sz w:val="24"/>
          <w:highlight w:val="none"/>
        </w:rPr>
        <w:t>支付方式数据表格</w:t>
      </w:r>
    </w:p>
    <w:tbl>
      <w:tblPr>
        <w:tblStyle w:val="23"/>
        <w:tblW w:w="9323" w:type="dxa"/>
        <w:jc w:val="center"/>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1667"/>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blHeader/>
          <w:tblCellSpacing w:w="0" w:type="dxa"/>
          <w:jc w:val="center"/>
        </w:trPr>
        <w:tc>
          <w:tcPr>
            <w:tcW w:w="1667"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支付期次</w:t>
            </w:r>
          </w:p>
        </w:tc>
        <w:tc>
          <w:tcPr>
            <w:tcW w:w="1667" w:type="dxa"/>
            <w:noWrap w:val="0"/>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cs="宋体"/>
                <w:kern w:val="0"/>
                <w:sz w:val="24"/>
                <w:szCs w:val="24"/>
                <w:lang w:bidi="ar"/>
              </w:rPr>
              <w:t>支付</w:t>
            </w:r>
            <w:r>
              <w:rPr>
                <w:rFonts w:hint="eastAsia" w:ascii="宋体" w:hAnsi="宋体" w:cs="宋体"/>
                <w:kern w:val="0"/>
                <w:sz w:val="24"/>
                <w:szCs w:val="24"/>
                <w:lang w:val="en-US" w:eastAsia="zh-CN" w:bidi="ar"/>
              </w:rPr>
              <w:t>比例（%）</w:t>
            </w:r>
          </w:p>
        </w:tc>
        <w:tc>
          <w:tcPr>
            <w:tcW w:w="5989"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jc w:val="center"/>
        </w:trPr>
        <w:tc>
          <w:tcPr>
            <w:tcW w:w="1667" w:type="dxa"/>
            <w:noWrap w:val="0"/>
            <w:vAlign w:val="center"/>
          </w:tcPr>
          <w:p>
            <w:pPr>
              <w:widowControl/>
              <w:spacing w:line="360" w:lineRule="auto"/>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667" w:type="dxa"/>
            <w:noWrap w:val="0"/>
            <w:vAlign w:val="center"/>
          </w:tcPr>
          <w:p>
            <w:pPr>
              <w:pStyle w:val="11"/>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95</w:t>
            </w:r>
          </w:p>
        </w:tc>
        <w:tc>
          <w:tcPr>
            <w:tcW w:w="5989" w:type="dxa"/>
            <w:noWrap w:val="0"/>
            <w:vAlign w:val="center"/>
          </w:tcPr>
          <w:p>
            <w:pPr>
              <w:widowControl/>
              <w:ind w:right="88" w:rightChars="42"/>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项目完成后，经采购人按课程立项等级验收合格，按每门课程最终立项等级建设经费金额*课程门数（省级课程15万元/门）支付合同价的95%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jc w:val="center"/>
        </w:trPr>
        <w:tc>
          <w:tcPr>
            <w:tcW w:w="1667" w:type="dxa"/>
            <w:noWrap w:val="0"/>
            <w:vAlign w:val="center"/>
          </w:tcPr>
          <w:p>
            <w:pPr>
              <w:widowControl/>
              <w:spacing w:line="360" w:lineRule="auto"/>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p>
        </w:tc>
        <w:tc>
          <w:tcPr>
            <w:tcW w:w="1667" w:type="dxa"/>
            <w:noWrap w:val="0"/>
            <w:vAlign w:val="center"/>
          </w:tcPr>
          <w:p>
            <w:pPr>
              <w:widowControl/>
              <w:spacing w:line="360" w:lineRule="auto"/>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5989" w:type="dxa"/>
            <w:noWrap w:val="0"/>
            <w:vAlign w:val="center"/>
          </w:tcPr>
          <w:p>
            <w:pPr>
              <w:widowControl/>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质保期后，采购人向中标人支付合同额剩余5%</w:t>
            </w:r>
          </w:p>
        </w:tc>
      </w:tr>
    </w:tbl>
    <w:p>
      <w:pPr>
        <w:pStyle w:val="35"/>
        <w:ind w:firstLine="0"/>
        <w:rPr>
          <w:rFonts w:ascii="宋体" w:hAnsi="宋体" w:eastAsia="宋体"/>
          <w:color w:val="auto"/>
          <w:highlight w:val="none"/>
        </w:rPr>
      </w:pPr>
    </w:p>
    <w:p>
      <w:pPr>
        <w:pStyle w:val="19"/>
        <w:widowControl/>
        <w:numPr>
          <w:ilvl w:val="0"/>
          <w:numId w:val="6"/>
        </w:numPr>
        <w:spacing w:line="400" w:lineRule="exact"/>
        <w:rPr>
          <w:rStyle w:val="27"/>
          <w:rFonts w:ascii="宋体" w:hAnsi="宋体" w:cs="宋体"/>
          <w:color w:val="auto"/>
          <w:highlight w:val="none"/>
        </w:rPr>
      </w:pPr>
      <w:r>
        <w:rPr>
          <w:rStyle w:val="27"/>
          <w:rFonts w:hint="eastAsia" w:ascii="宋体" w:hAnsi="宋体" w:cs="宋体"/>
          <w:color w:val="auto"/>
          <w:highlight w:val="none"/>
        </w:rPr>
        <w:t>其他要求：</w:t>
      </w:r>
    </w:p>
    <w:p>
      <w:pPr>
        <w:pStyle w:val="19"/>
        <w:widowControl/>
        <w:spacing w:line="400" w:lineRule="exact"/>
        <w:ind w:firstLine="480" w:firstLineChars="200"/>
        <w:rPr>
          <w:color w:val="auto"/>
          <w:highlight w:val="none"/>
        </w:rPr>
      </w:pPr>
      <w:r>
        <w:rPr>
          <w:rFonts w:hint="eastAsia" w:ascii="宋体" w:hAnsi="宋体" w:cs="宋体"/>
          <w:color w:val="auto"/>
          <w:highlight w:val="none"/>
        </w:rPr>
        <w:t>8.1. 本批招标项目为整体采购，投标人不得将合同包中的部分内容进行拆分投标或漏项投标，拆分投标或漏项投标无效。投标人必须列明所投项目的每一单项的单价、小计和总价，报价应以人民币作为货币单位。投标时不可提供二个或多个可选择的价格进行报价。</w:t>
      </w:r>
    </w:p>
    <w:p>
      <w:pPr>
        <w:pStyle w:val="19"/>
        <w:keepNext w:val="0"/>
        <w:keepLines w:val="0"/>
        <w:pageBreakBefore w:val="0"/>
        <w:widowControl/>
        <w:kinsoku/>
        <w:wordWrap/>
        <w:overflowPunct/>
        <w:topLinePunct w:val="0"/>
        <w:autoSpaceDN/>
        <w:bidi w:val="0"/>
        <w:adjustRightInd/>
        <w:snapToGrid/>
        <w:spacing w:line="440" w:lineRule="exact"/>
        <w:ind w:firstLine="480" w:firstLineChars="200"/>
        <w:textAlignment w:val="auto"/>
        <w:rPr>
          <w:color w:val="auto"/>
          <w:highlight w:val="none"/>
        </w:rPr>
      </w:pPr>
      <w:r>
        <w:rPr>
          <w:rFonts w:hint="eastAsia" w:ascii="宋体" w:hAnsi="宋体" w:cs="宋体"/>
          <w:color w:val="auto"/>
          <w:highlight w:val="none"/>
        </w:rPr>
        <w:t>8.2. 投标人应按照货物清单中的规格要求提供产品，投标人所提供产品的质量品质应符合行业标准，投标人应按招标技术规格提供产品。若招标文件中无相应规定，则该产品应符合相应的国家标准或行业标准。对投标人漏报或错报产品致使未能达到需求的功能和效果，因此造成的费用和后果由投标人自行负责。</w:t>
      </w:r>
    </w:p>
    <w:p>
      <w:pPr>
        <w:pStyle w:val="19"/>
        <w:keepNext w:val="0"/>
        <w:keepLines w:val="0"/>
        <w:pageBreakBefore w:val="0"/>
        <w:widowControl/>
        <w:kinsoku/>
        <w:wordWrap/>
        <w:overflowPunct/>
        <w:topLinePunct w:val="0"/>
        <w:autoSpaceDN/>
        <w:bidi w:val="0"/>
        <w:adjustRightInd/>
        <w:snapToGrid/>
        <w:spacing w:line="440" w:lineRule="exact"/>
        <w:ind w:firstLine="480" w:firstLineChars="200"/>
        <w:textAlignment w:val="auto"/>
        <w:rPr>
          <w:color w:val="auto"/>
          <w:highlight w:val="none"/>
        </w:rPr>
      </w:pPr>
      <w:r>
        <w:rPr>
          <w:rFonts w:hint="eastAsia" w:ascii="宋体" w:hAnsi="宋体" w:cs="宋体"/>
          <w:color w:val="auto"/>
          <w:highlight w:val="none"/>
        </w:rPr>
        <w:t>8.3. 投标人提供的设备及材料等，应保证这些设备及材料等手续的合法性，在交货、安装或验收时中标 供 应 商应提供所有设备及材料的全部合法证明材料(如：产品合格证、许可证、安全认证证书、检验报告、产地证明、装箱单以及技术参数说明等资料)。</w:t>
      </w:r>
    </w:p>
    <w:p>
      <w:pPr>
        <w:pStyle w:val="19"/>
        <w:keepNext w:val="0"/>
        <w:keepLines w:val="0"/>
        <w:pageBreakBefore w:val="0"/>
        <w:widowControl/>
        <w:kinsoku/>
        <w:wordWrap/>
        <w:overflowPunct/>
        <w:topLinePunct w:val="0"/>
        <w:autoSpaceDN/>
        <w:bidi w:val="0"/>
        <w:adjustRightInd/>
        <w:snapToGrid/>
        <w:spacing w:line="440" w:lineRule="exact"/>
        <w:ind w:firstLine="480" w:firstLineChars="200"/>
        <w:textAlignment w:val="auto"/>
        <w:rPr>
          <w:color w:val="auto"/>
          <w:highlight w:val="none"/>
        </w:rPr>
      </w:pPr>
      <w:r>
        <w:rPr>
          <w:rFonts w:hint="eastAsia" w:ascii="宋体" w:hAnsi="宋体" w:cs="宋体"/>
          <w:color w:val="auto"/>
          <w:highlight w:val="none"/>
        </w:rPr>
        <w:t>8.4. 总报价必须是货物送达招标人指 定地点、经招标人验收合格并交付使用所有可能发生的费用，包括生产、运输、包装、送货、税收、检验、售 后 服 务等费用。并在投标文件中提供详细的切实可行的系统建设技术方案以及招标文件要求提供的其它资料。</w:t>
      </w:r>
    </w:p>
    <w:p>
      <w:pPr>
        <w:pStyle w:val="19"/>
        <w:keepNext w:val="0"/>
        <w:keepLines w:val="0"/>
        <w:pageBreakBefore w:val="0"/>
        <w:widowControl/>
        <w:kinsoku/>
        <w:wordWrap/>
        <w:overflowPunct/>
        <w:topLinePunct w:val="0"/>
        <w:autoSpaceDN/>
        <w:bidi w:val="0"/>
        <w:adjustRightInd/>
        <w:snapToGrid/>
        <w:spacing w:line="440" w:lineRule="exact"/>
        <w:ind w:firstLine="480" w:firstLineChars="200"/>
        <w:textAlignment w:val="auto"/>
        <w:rPr>
          <w:color w:val="auto"/>
          <w:highlight w:val="none"/>
        </w:rPr>
      </w:pPr>
      <w:r>
        <w:rPr>
          <w:rFonts w:hint="eastAsia" w:ascii="宋体" w:hAnsi="宋体" w:cs="宋体"/>
          <w:color w:val="auto"/>
          <w:highlight w:val="none"/>
        </w:rPr>
        <w:t>8.5. 投标人应提供投标货物或投标货物的同类产品经国家质量监督检验部门检验合格的检验报告。</w:t>
      </w:r>
    </w:p>
    <w:p>
      <w:pPr>
        <w:pStyle w:val="19"/>
        <w:keepNext w:val="0"/>
        <w:keepLines w:val="0"/>
        <w:pageBreakBefore w:val="0"/>
        <w:widowControl/>
        <w:kinsoku/>
        <w:wordWrap/>
        <w:overflowPunct/>
        <w:topLinePunct w:val="0"/>
        <w:autoSpaceDN/>
        <w:bidi w:val="0"/>
        <w:adjustRightInd/>
        <w:snapToGrid/>
        <w:spacing w:line="440" w:lineRule="exact"/>
        <w:ind w:firstLine="480" w:firstLineChars="200"/>
        <w:textAlignment w:val="auto"/>
        <w:rPr>
          <w:color w:val="auto"/>
          <w:highlight w:val="none"/>
        </w:rPr>
      </w:pPr>
      <w:r>
        <w:rPr>
          <w:rFonts w:hint="eastAsia" w:ascii="宋体" w:hAnsi="宋体" w:cs="宋体"/>
          <w:color w:val="auto"/>
          <w:highlight w:val="none"/>
        </w:rPr>
        <w:t>8.6. 报价清单必须详细，包含货物品牌、详细规格、图片、单价等产品信息。否则由此所产生一切后果投标人承担。</w:t>
      </w:r>
    </w:p>
    <w:p>
      <w:pPr>
        <w:pStyle w:val="19"/>
        <w:spacing w:before="156" w:beforeLines="50" w:beforeAutospacing="0" w:after="0" w:afterAutospacing="0" w:line="360" w:lineRule="auto"/>
        <w:rPr>
          <w:rFonts w:hint="eastAsia"/>
        </w:rPr>
      </w:pPr>
      <w:r>
        <w:rPr>
          <w:rStyle w:val="27"/>
          <w:rFonts w:hint="eastAsia" w:ascii="宋体" w:hAnsi="宋体" w:cs="宋体"/>
          <w:color w:val="auto"/>
          <w:highlight w:val="none"/>
        </w:rPr>
        <w:t>9、</w:t>
      </w:r>
      <w:r>
        <w:rPr>
          <w:rStyle w:val="27"/>
          <w:rFonts w:hint="eastAsia"/>
          <w:shd w:val="clear" w:color="auto" w:fill="FFFFFF"/>
        </w:rPr>
        <w:t>质保期限及服务</w:t>
      </w:r>
    </w:p>
    <w:p>
      <w:pPr>
        <w:keepNext w:val="0"/>
        <w:keepLines w:val="0"/>
        <w:pageBreakBefore w:val="0"/>
        <w:kinsoku/>
        <w:wordWrap/>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1.售后服务期</w:t>
      </w:r>
    </w:p>
    <w:p>
      <w:pPr>
        <w:keepNext w:val="0"/>
        <w:keepLines w:val="0"/>
        <w:pageBreakBefore w:val="0"/>
        <w:kinsoku/>
        <w:wordWrap/>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自验收合格之日起，提供1年的售后服务期。</w:t>
      </w:r>
    </w:p>
    <w:p>
      <w:pPr>
        <w:pStyle w:val="70"/>
        <w:keepNext w:val="0"/>
        <w:keepLines w:val="0"/>
        <w:pageBreakBefore w:val="0"/>
        <w:kinsoku/>
        <w:wordWrap/>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2.售后服务内容</w:t>
      </w:r>
    </w:p>
    <w:p>
      <w:pPr>
        <w:keepNext w:val="0"/>
        <w:keepLines w:val="0"/>
        <w:pageBreakBefore w:val="0"/>
        <w:kinsoku/>
        <w:wordWrap/>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①供应商在服务期内应当为采购人提供7*24小时技术支持服务；</w:t>
      </w:r>
    </w:p>
    <w:p>
      <w:pPr>
        <w:keepNext w:val="0"/>
        <w:keepLines w:val="0"/>
        <w:pageBreakBefore w:val="0"/>
        <w:kinsoku/>
        <w:wordWrap/>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②电话咨询：供应商应当为用户提供技术援助电话号码，解答用户在使用中遇到的问题，及时为用户提出解决问题的建议；</w:t>
      </w:r>
    </w:p>
    <w:p>
      <w:pPr>
        <w:keepNext w:val="0"/>
        <w:keepLines w:val="0"/>
        <w:pageBreakBefore w:val="0"/>
        <w:kinsoku/>
        <w:wordWrap/>
        <w:topLinePunct w:val="0"/>
        <w:bidi w:val="0"/>
        <w:snapToGrid/>
        <w:spacing w:line="360" w:lineRule="auto"/>
        <w:ind w:firstLine="480" w:firstLineChars="200"/>
        <w:rPr>
          <w:rFonts w:hint="eastAsia"/>
          <w:color w:val="000000"/>
          <w:shd w:val="clear" w:color="auto" w:fill="FFFFFF"/>
        </w:rPr>
      </w:pPr>
      <w:r>
        <w:rPr>
          <w:rFonts w:hint="eastAsia" w:ascii="宋体" w:hAnsi="宋体" w:cs="宋体"/>
          <w:kern w:val="0"/>
          <w:sz w:val="24"/>
          <w:szCs w:val="24"/>
        </w:rPr>
        <w:t>③现场响应：用户遇到使用及技术问题，电话咨询不能解决的，供应商或厂家应在接到通知后立即响应并在5小时内解决问题，无法在5小时内解决的，应在24小时内派出专业人员进行技术支持。</w:t>
      </w:r>
    </w:p>
    <w:p>
      <w:pPr>
        <w:keepNext w:val="0"/>
        <w:keepLines w:val="0"/>
        <w:pageBreakBefore w:val="0"/>
        <w:kinsoku/>
        <w:wordWrap/>
        <w:topLinePunct w:val="0"/>
        <w:autoSpaceDE w:val="0"/>
        <w:autoSpaceDN w:val="0"/>
        <w:bidi w:val="0"/>
        <w:snapToGrid/>
        <w:spacing w:line="360" w:lineRule="auto"/>
        <w:ind w:firstLine="480" w:firstLineChars="200"/>
        <w:outlineLvl w:val="9"/>
        <w:rPr>
          <w:rFonts w:hint="eastAsia" w:ascii="宋体" w:hAnsi="宋体" w:eastAsia="宋体" w:cs="宋体"/>
          <w:kern w:val="0"/>
          <w:sz w:val="24"/>
          <w:szCs w:val="24"/>
        </w:rPr>
      </w:pPr>
      <w:bookmarkStart w:id="30" w:name="_Toc25422"/>
      <w:bookmarkStart w:id="31" w:name="_Toc9645"/>
      <w:bookmarkStart w:id="32" w:name="_Toc4233"/>
      <w:bookmarkStart w:id="33" w:name="_Toc8129"/>
      <w:bookmarkStart w:id="34" w:name="_Toc12349"/>
      <w:r>
        <w:rPr>
          <w:rFonts w:hint="eastAsia" w:ascii="宋体" w:hAnsi="宋体" w:eastAsia="宋体" w:cs="宋体"/>
          <w:kern w:val="0"/>
          <w:sz w:val="24"/>
          <w:szCs w:val="24"/>
        </w:rPr>
        <w:t>3.增值服务</w:t>
      </w:r>
      <w:bookmarkEnd w:id="30"/>
      <w:bookmarkEnd w:id="31"/>
      <w:bookmarkEnd w:id="32"/>
      <w:bookmarkEnd w:id="33"/>
      <w:bookmarkEnd w:id="34"/>
    </w:p>
    <w:p>
      <w:pPr>
        <w:keepNext w:val="0"/>
        <w:keepLines w:val="0"/>
        <w:pageBreakBefore w:val="0"/>
        <w:kinsoku/>
        <w:wordWrap/>
        <w:overflowPunct w:val="0"/>
        <w:topLinePunct w:val="0"/>
        <w:autoSpaceDE w:val="0"/>
        <w:autoSpaceDN w:val="0"/>
        <w:bidi w:val="0"/>
        <w:adjustRightInd w:val="0"/>
        <w:snapToGrid/>
        <w:spacing w:line="360" w:lineRule="auto"/>
        <w:ind w:firstLine="480" w:firstLineChars="200"/>
        <w:textAlignment w:val="baseline"/>
        <w:outlineLvl w:val="9"/>
        <w:rPr>
          <w:rFonts w:hint="eastAsia" w:ascii="宋体" w:hAnsi="宋体" w:eastAsia="宋体" w:cs="宋体"/>
          <w:kern w:val="0"/>
          <w:sz w:val="24"/>
          <w:szCs w:val="24"/>
        </w:rPr>
      </w:pPr>
      <w:r>
        <w:rPr>
          <w:rFonts w:hint="eastAsia" w:ascii="宋体" w:hAnsi="宋体" w:eastAsia="宋体" w:cs="宋体"/>
          <w:kern w:val="0"/>
          <w:sz w:val="24"/>
          <w:szCs w:val="24"/>
        </w:rPr>
        <w:t>①免费提供资源技术员为参与课程资源建设的教师在课件制作美化技巧的沟通交流培训，为今后教师自主制作课件提供支撑。</w:t>
      </w:r>
    </w:p>
    <w:p>
      <w:pPr>
        <w:pStyle w:val="19"/>
        <w:keepNext w:val="0"/>
        <w:keepLines w:val="0"/>
        <w:pageBreakBefore w:val="0"/>
        <w:widowControl/>
        <w:kinsoku/>
        <w:wordWrap/>
        <w:overflowPunct/>
        <w:topLinePunct w:val="0"/>
        <w:autoSpaceDN/>
        <w:bidi w:val="0"/>
        <w:adjustRightInd/>
        <w:snapToGrid/>
        <w:spacing w:line="440" w:lineRule="exact"/>
        <w:ind w:firstLine="480" w:firstLineChars="200"/>
        <w:textAlignment w:val="auto"/>
        <w:rPr>
          <w:color w:val="auto"/>
          <w:highlight w:val="none"/>
        </w:rPr>
      </w:pPr>
      <w:r>
        <w:rPr>
          <w:rFonts w:hint="eastAsia" w:ascii="宋体" w:hAnsi="宋体" w:eastAsia="宋体" w:cs="宋体"/>
          <w:sz w:val="24"/>
          <w:szCs w:val="24"/>
        </w:rPr>
        <w:t>②免费提供摄影工程师、动画工程师为教师在视频拍摄技巧、后期处理技能、动画制作和脚本编写方面培训，包括了视频拍摄注意事项、后期剪辑、合成、配音、片头、片尾等等方面，在技术培训和咨询指导多层次、多方位，保证学校专业教师能熟练掌握资源视频开发技能，提高教师们后续资源制作与开发的技能水平</w:t>
      </w:r>
      <w:r>
        <w:rPr>
          <w:rFonts w:hint="eastAsia" w:ascii="宋体" w:hAnsi="宋体" w:cs="宋体"/>
          <w:color w:val="auto"/>
          <w:highlight w:val="none"/>
        </w:rPr>
        <w:t>。</w:t>
      </w:r>
    </w:p>
    <w:p>
      <w:pPr>
        <w:pStyle w:val="19"/>
        <w:keepNext w:val="0"/>
        <w:keepLines w:val="0"/>
        <w:pageBreakBefore w:val="0"/>
        <w:widowControl/>
        <w:kinsoku/>
        <w:wordWrap/>
        <w:overflowPunct/>
        <w:topLinePunct w:val="0"/>
        <w:autoSpaceDE w:val="0"/>
        <w:autoSpaceDN/>
        <w:bidi w:val="0"/>
        <w:adjustRightInd/>
        <w:snapToGrid/>
        <w:spacing w:line="440" w:lineRule="exact"/>
        <w:ind w:firstLine="482" w:firstLineChars="200"/>
        <w:textAlignment w:val="auto"/>
        <w:rPr>
          <w:rFonts w:ascii="宋体" w:hAnsi="宋体" w:cs="宋体"/>
          <w:b/>
          <w:bCs/>
          <w:color w:val="auto"/>
          <w:highlight w:val="none"/>
        </w:rPr>
      </w:pPr>
      <w:r>
        <w:rPr>
          <w:rFonts w:hint="eastAsia" w:ascii="宋体" w:hAnsi="宋体" w:cs="宋体"/>
          <w:b/>
          <w:color w:val="auto"/>
          <w:highlight w:val="none"/>
          <w:shd w:val="clear" w:color="auto" w:fill="FFFFFF"/>
        </w:rPr>
        <w:t>10</w:t>
      </w:r>
      <w:r>
        <w:rPr>
          <w:rFonts w:hint="eastAsia" w:ascii="宋体" w:hAnsi="宋体" w:cs="宋体"/>
          <w:b/>
          <w:bCs/>
          <w:color w:val="auto"/>
          <w:highlight w:val="none"/>
        </w:rPr>
        <w:t>.违约责任</w:t>
      </w:r>
    </w:p>
    <w:p>
      <w:pPr>
        <w:pStyle w:val="19"/>
        <w:keepNext w:val="0"/>
        <w:keepLines w:val="0"/>
        <w:pageBreakBefore w:val="0"/>
        <w:widowControl/>
        <w:kinsoku/>
        <w:wordWrap/>
        <w:overflowPunct/>
        <w:topLinePunct w:val="0"/>
        <w:autoSpaceDE w:val="0"/>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10.1因中标人原因造成采购合同无法按时签订，视为中标人违约，采购人有权没收其投标保证金；采购合同之后，中标人要求解除合同的，视为中标人违约，中标还需另行支付相应的赔偿。</w:t>
      </w:r>
    </w:p>
    <w:p>
      <w:pPr>
        <w:pStyle w:val="19"/>
        <w:keepNext w:val="0"/>
        <w:keepLines w:val="0"/>
        <w:pageBreakBefore w:val="0"/>
        <w:widowControl/>
        <w:kinsoku/>
        <w:wordWrap/>
        <w:overflowPunct/>
        <w:topLinePunct w:val="0"/>
        <w:autoSpaceDE w:val="0"/>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10.2因中标人原因发生重大质量事故，除依约承担赔偿责任外，还将按有关质量管理办法规定执行。同时，采购人有权保留更换中标人的权利，并报相关行政主管部门处罚。</w:t>
      </w:r>
    </w:p>
    <w:p>
      <w:pPr>
        <w:pStyle w:val="19"/>
        <w:keepNext w:val="0"/>
        <w:keepLines w:val="0"/>
        <w:pageBreakBefore w:val="0"/>
        <w:widowControl/>
        <w:kinsoku/>
        <w:wordWrap/>
        <w:overflowPunct/>
        <w:topLinePunct w:val="0"/>
        <w:autoSpaceDE w:val="0"/>
        <w:autoSpaceDN/>
        <w:bidi w:val="0"/>
        <w:adjustRightInd/>
        <w:snapToGrid/>
        <w:spacing w:line="44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10.3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9"/>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10.4在明确违约责任后，中标人应在接到书面通知书起七天内支付违约金、赔偿金等。</w:t>
      </w:r>
    </w:p>
    <w:p>
      <w:pPr>
        <w:pStyle w:val="19"/>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10.5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9"/>
        <w:widowControl/>
        <w:autoSpaceDE w:val="0"/>
        <w:spacing w:line="400" w:lineRule="exact"/>
        <w:ind w:firstLine="480" w:firstLineChars="200"/>
        <w:rPr>
          <w:rFonts w:ascii="宋体" w:hAnsi="宋体" w:cs="宋体"/>
          <w:bCs/>
          <w:color w:val="auto"/>
          <w:highlight w:val="none"/>
          <w:shd w:val="clear" w:color="auto" w:fill="FFFFFF"/>
        </w:rPr>
      </w:pPr>
      <w:r>
        <w:rPr>
          <w:rFonts w:hint="eastAsia" w:ascii="宋体" w:hAnsi="宋体" w:cs="宋体"/>
          <w:color w:val="auto"/>
          <w:highlight w:val="none"/>
        </w:rPr>
        <w:t>10.6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pStyle w:val="19"/>
        <w:widowControl/>
        <w:spacing w:line="440" w:lineRule="exact"/>
        <w:rPr>
          <w:rFonts w:ascii="宋体" w:hAnsi="宋体" w:cs="宋体"/>
          <w:color w:val="auto"/>
          <w:highlight w:val="none"/>
        </w:rPr>
      </w:pPr>
    </w:p>
    <w:p>
      <w:pPr>
        <w:pStyle w:val="19"/>
        <w:widowControl/>
        <w:spacing w:line="440" w:lineRule="exact"/>
        <w:rPr>
          <w:rFonts w:ascii="宋体" w:hAnsi="宋体" w:cs="宋体"/>
          <w:color w:val="auto"/>
          <w:highlight w:val="none"/>
        </w:rPr>
      </w:pPr>
      <w:r>
        <w:rPr>
          <w:rFonts w:hint="eastAsia" w:ascii="宋体" w:hAnsi="宋体" w:cs="宋体"/>
          <w:color w:val="auto"/>
          <w:highlight w:val="none"/>
        </w:rPr>
        <w:t>四、其他事项</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1、除招标文件另有规定外，若出现有关法律、法规和规章有强制性规定但招标文件未列明的情形，则投标人应按照有关法律、法规和规章强制性规定执行。</w:t>
      </w:r>
    </w:p>
    <w:p>
      <w:pPr>
        <w:pStyle w:val="19"/>
        <w:widowControl/>
        <w:spacing w:line="440" w:lineRule="exact"/>
        <w:rPr>
          <w:rStyle w:val="27"/>
          <w:rFonts w:ascii="宋体" w:hAnsi="宋体" w:cs="宋体"/>
          <w:color w:val="auto"/>
          <w:highlight w:val="none"/>
        </w:rPr>
      </w:pPr>
      <w:r>
        <w:rPr>
          <w:rFonts w:hint="eastAsia" w:ascii="宋体" w:hAnsi="宋体" w:cs="宋体"/>
          <w:color w:val="auto"/>
          <w:highlight w:val="none"/>
        </w:rPr>
        <w:t>2、其他：</w:t>
      </w:r>
    </w:p>
    <w:p>
      <w:pPr>
        <w:pStyle w:val="19"/>
        <w:widowControl/>
        <w:spacing w:before="75" w:after="75"/>
        <w:ind w:firstLine="2249" w:firstLineChars="700"/>
        <w:rPr>
          <w:rFonts w:ascii="宋体" w:hAnsi="宋体" w:cs="宋体"/>
          <w:b/>
          <w:color w:val="auto"/>
          <w:sz w:val="32"/>
          <w:szCs w:val="32"/>
          <w:highlight w:val="none"/>
        </w:rPr>
      </w:pPr>
    </w:p>
    <w:p>
      <w:pPr>
        <w:pStyle w:val="19"/>
        <w:widowControl/>
        <w:spacing w:before="75" w:after="75"/>
        <w:ind w:firstLine="2249" w:firstLineChars="700"/>
        <w:rPr>
          <w:rFonts w:ascii="宋体" w:hAnsi="宋体" w:cs="宋体"/>
          <w:b/>
          <w:color w:val="auto"/>
          <w:sz w:val="32"/>
          <w:szCs w:val="32"/>
          <w:highlight w:val="none"/>
        </w:rPr>
      </w:pPr>
    </w:p>
    <w:p>
      <w:pPr>
        <w:pStyle w:val="19"/>
        <w:widowControl/>
        <w:spacing w:before="75" w:after="75"/>
        <w:ind w:firstLine="2249" w:firstLineChars="700"/>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pStyle w:val="19"/>
        <w:widowControl/>
        <w:spacing w:before="75" w:after="75"/>
        <w:ind w:firstLine="2249" w:firstLineChars="700"/>
        <w:rPr>
          <w:rFonts w:ascii="宋体" w:hAnsi="宋体" w:cs="宋体"/>
          <w:color w:val="auto"/>
          <w:highlight w:val="none"/>
        </w:rPr>
      </w:pPr>
      <w:r>
        <w:rPr>
          <w:rFonts w:hint="eastAsia" w:ascii="宋体" w:hAnsi="宋体" w:cs="宋体"/>
          <w:b/>
          <w:color w:val="auto"/>
          <w:sz w:val="32"/>
          <w:szCs w:val="32"/>
          <w:highlight w:val="none"/>
        </w:rPr>
        <w:t xml:space="preserve">第六章  </w:t>
      </w:r>
      <w:r>
        <w:rPr>
          <w:rStyle w:val="27"/>
          <w:rFonts w:hint="eastAsia" w:ascii="宋体" w:hAnsi="宋体" w:cs="宋体"/>
          <w:color w:val="auto"/>
          <w:sz w:val="31"/>
          <w:szCs w:val="31"/>
          <w:highlight w:val="none"/>
        </w:rPr>
        <w:t>合同（参考文本）</w:t>
      </w:r>
    </w:p>
    <w:p>
      <w:pPr>
        <w:pStyle w:val="19"/>
        <w:widowControl/>
        <w:spacing w:before="75" w:after="75"/>
        <w:jc w:val="center"/>
        <w:rPr>
          <w:rFonts w:ascii="宋体" w:hAnsi="宋体" w:cs="宋体"/>
          <w:color w:val="auto"/>
          <w:highlight w:val="none"/>
        </w:rPr>
      </w:pPr>
      <w:r>
        <w:rPr>
          <w:rStyle w:val="27"/>
          <w:rFonts w:hint="eastAsia" w:ascii="宋体" w:hAnsi="宋体" w:cs="宋体"/>
          <w:color w:val="auto"/>
          <w:highlight w:val="none"/>
        </w:rPr>
        <w:t>编制说明</w:t>
      </w:r>
    </w:p>
    <w:p>
      <w:pPr>
        <w:pStyle w:val="19"/>
        <w:widowControl/>
        <w:spacing w:line="440" w:lineRule="exact"/>
        <w:rPr>
          <w:rFonts w:ascii="宋体" w:hAnsi="宋体" w:cs="宋体"/>
          <w:color w:val="auto"/>
          <w:highlight w:val="none"/>
        </w:rPr>
      </w:pPr>
      <w:r>
        <w:rPr>
          <w:rStyle w:val="27"/>
          <w:rFonts w:hint="eastAsia" w:ascii="宋体" w:hAnsi="宋体" w:cs="宋体"/>
          <w:color w:val="auto"/>
          <w:highlight w:val="none"/>
        </w:rPr>
        <w:t>1、签订合同应遵守政府采购法、民法典。</w:t>
      </w:r>
    </w:p>
    <w:p>
      <w:pPr>
        <w:pStyle w:val="19"/>
        <w:widowControl/>
        <w:spacing w:line="440" w:lineRule="exact"/>
        <w:rPr>
          <w:rFonts w:ascii="宋体" w:hAnsi="宋体" w:cs="宋体"/>
          <w:color w:val="auto"/>
          <w:highlight w:val="none"/>
        </w:rPr>
      </w:pPr>
      <w:r>
        <w:rPr>
          <w:rStyle w:val="27"/>
          <w:rFonts w:hint="eastAsia" w:ascii="宋体" w:hAnsi="宋体" w:cs="宋体"/>
          <w:color w:val="auto"/>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19"/>
        <w:widowControl/>
        <w:spacing w:line="440" w:lineRule="exact"/>
        <w:rPr>
          <w:rFonts w:ascii="宋体" w:hAnsi="宋体" w:cs="宋体"/>
          <w:color w:val="auto"/>
          <w:highlight w:val="none"/>
        </w:rPr>
      </w:pPr>
      <w:r>
        <w:rPr>
          <w:rStyle w:val="27"/>
          <w:rFonts w:hint="eastAsia" w:ascii="宋体" w:hAnsi="宋体" w:cs="宋体"/>
          <w:color w:val="auto"/>
          <w:highlight w:val="none"/>
        </w:rPr>
        <w:t>3、国家有关部门对若干合同有规范文本的，可使用相应合同文本。</w:t>
      </w:r>
    </w:p>
    <w:p>
      <w:pPr>
        <w:spacing w:line="440" w:lineRule="exact"/>
        <w:rPr>
          <w:rFonts w:ascii="宋体" w:hAnsi="宋体" w:cs="宋体"/>
          <w:color w:val="auto"/>
          <w:sz w:val="24"/>
          <w:highlight w:val="none"/>
        </w:rPr>
      </w:pPr>
      <w:r>
        <w:rPr>
          <w:rFonts w:hint="eastAsia" w:ascii="宋体" w:hAnsi="宋体" w:cs="宋体"/>
          <w:color w:val="auto"/>
          <w:sz w:val="24"/>
          <w:highlight w:val="none"/>
        </w:rPr>
        <w:t>甲方：</w:t>
      </w:r>
    </w:p>
    <w:p>
      <w:pPr>
        <w:pStyle w:val="19"/>
        <w:widowControl/>
        <w:spacing w:line="440" w:lineRule="exact"/>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（中标人全称）        </w:t>
      </w:r>
    </w:p>
    <w:p>
      <w:pPr>
        <w:pStyle w:val="19"/>
        <w:widowControl/>
        <w:spacing w:line="440" w:lineRule="exact"/>
        <w:rPr>
          <w:rFonts w:ascii="宋体" w:hAnsi="宋体" w:cs="宋体"/>
          <w:color w:val="auto"/>
          <w:highlight w:val="none"/>
          <w:u w:val="single"/>
        </w:rPr>
      </w:pPr>
    </w:p>
    <w:p>
      <w:pPr>
        <w:pStyle w:val="19"/>
        <w:widowControl/>
        <w:spacing w:line="440" w:lineRule="exact"/>
        <w:rPr>
          <w:rFonts w:ascii="宋体" w:hAnsi="宋体" w:cs="宋体"/>
          <w:color w:val="auto"/>
          <w:highlight w:val="none"/>
        </w:rPr>
      </w:pPr>
      <w:r>
        <w:rPr>
          <w:rFonts w:hint="eastAsia" w:ascii="宋体" w:hAnsi="宋体" w:cs="宋体"/>
          <w:color w:val="auto"/>
          <w:highlight w:val="none"/>
        </w:rPr>
        <w:t>  根据招标编号为</w:t>
      </w:r>
      <w:r>
        <w:rPr>
          <w:rFonts w:hint="eastAsia" w:ascii="宋体" w:hAnsi="宋体" w:cs="宋体"/>
          <w:color w:val="auto"/>
          <w:highlight w:val="none"/>
          <w:u w:val="single"/>
        </w:rPr>
        <w:t>  </w:t>
      </w:r>
      <w:r>
        <w:rPr>
          <w:rFonts w:hint="eastAsia" w:ascii="宋体" w:hAnsi="宋体" w:cs="宋体"/>
          <w:color w:val="auto"/>
          <w:highlight w:val="none"/>
        </w:rPr>
        <w:t>的（以下简称：“本项目”）的招标结果，乙方为中标人。现经甲乙双方友好协商，就以下事项达成一致并签订本合同：</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1、下列合同文件是构成本合同不可分割的部分：</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1.1合同条款；</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1.2招标文件、乙方的投标文件；</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1.3其他文件或材料：□无。□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2、合同标的</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3、合同总金额</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3.1合同总金额为人民币大写：</w:t>
      </w:r>
      <w:r>
        <w:rPr>
          <w:rFonts w:hint="eastAsia" w:ascii="宋体" w:hAnsi="宋体" w:cs="宋体"/>
          <w:color w:val="auto"/>
          <w:highlight w:val="none"/>
          <w:u w:val="single"/>
        </w:rPr>
        <w:t>       </w:t>
      </w:r>
      <w:r>
        <w:rPr>
          <w:rFonts w:hint="eastAsia" w:ascii="宋体" w:hAnsi="宋体" w:cs="宋体"/>
          <w:color w:val="auto"/>
          <w:highlight w:val="none"/>
        </w:rPr>
        <w:t>元（￥</w:t>
      </w:r>
      <w:r>
        <w:rPr>
          <w:rFonts w:hint="eastAsia" w:ascii="宋体" w:hAnsi="宋体" w:cs="宋体"/>
          <w:color w:val="auto"/>
          <w:highlight w:val="none"/>
          <w:u w:val="single"/>
        </w:rPr>
        <w:t>        </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4、合同标的交付时间、地点和条件</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w:t>
      </w:r>
      <w:r>
        <w:rPr>
          <w:rFonts w:hint="eastAsia" w:ascii="宋体" w:hAnsi="宋体" w:cs="宋体"/>
          <w:color w:val="auto"/>
          <w:sz w:val="24"/>
          <w:highlight w:val="none"/>
        </w:rPr>
        <w:t>交货时间：</w:t>
      </w:r>
      <w:r>
        <w:rPr>
          <w:rFonts w:hint="eastAsia" w:ascii="宋体" w:hAnsi="宋体" w:cs="宋体"/>
          <w:color w:val="auto"/>
          <w:highlight w:val="none"/>
        </w:rPr>
        <w:t>；</w:t>
      </w:r>
    </w:p>
    <w:p>
      <w:pPr>
        <w:spacing w:line="400" w:lineRule="exact"/>
        <w:ind w:firstLine="420" w:firstLineChars="200"/>
        <w:rPr>
          <w:rFonts w:ascii="宋体" w:hAnsi="宋体" w:cs="宋体"/>
          <w:color w:val="auto"/>
          <w:sz w:val="24"/>
          <w:highlight w:val="none"/>
        </w:rPr>
      </w:pPr>
      <w:r>
        <w:rPr>
          <w:rFonts w:hint="eastAsia" w:ascii="宋体" w:hAnsi="宋体" w:cs="宋体"/>
          <w:color w:val="auto"/>
          <w:highlight w:val="none"/>
        </w:rPr>
        <w:t>4.2</w:t>
      </w:r>
      <w:r>
        <w:rPr>
          <w:rFonts w:hint="eastAsia" w:ascii="宋体" w:hAnsi="宋体" w:cs="宋体"/>
          <w:color w:val="auto"/>
          <w:sz w:val="24"/>
          <w:highlight w:val="none"/>
        </w:rPr>
        <w:t>交付地点</w:t>
      </w:r>
      <w:r>
        <w:rPr>
          <w:rFonts w:hint="eastAsia" w:ascii="宋体" w:hAnsi="宋体" w:cs="宋体"/>
          <w:color w:val="auto"/>
          <w:highlight w:val="none"/>
        </w:rPr>
        <w:t>：</w:t>
      </w:r>
      <w:r>
        <w:rPr>
          <w:rFonts w:hint="eastAsia" w:ascii="宋体" w:hAnsi="宋体" w:cs="宋体"/>
          <w:color w:val="auto"/>
          <w:sz w:val="24"/>
          <w:highlight w:val="none"/>
        </w:rPr>
        <w:t xml:space="preserve">；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w:t>
      </w:r>
      <w:r>
        <w:rPr>
          <w:rFonts w:hint="eastAsia" w:ascii="宋体" w:hAnsi="宋体" w:cs="宋体"/>
          <w:color w:val="auto"/>
          <w:sz w:val="24"/>
          <w:highlight w:val="none"/>
        </w:rPr>
        <w:t>交付条件</w:t>
      </w:r>
      <w:r>
        <w:rPr>
          <w:rFonts w:hint="eastAsia" w:ascii="宋体" w:hAnsi="宋体" w:cs="宋体"/>
          <w:color w:val="auto"/>
          <w:highlight w:val="none"/>
        </w:rPr>
        <w:t>：</w:t>
      </w:r>
      <w:r>
        <w:rPr>
          <w:rFonts w:hint="eastAsia" w:ascii="宋体" w:hAnsi="宋体" w:cs="宋体"/>
          <w:color w:val="auto"/>
          <w:sz w:val="24"/>
          <w:highlight w:val="none"/>
          <w:u w:val="single"/>
        </w:rPr>
        <w:t xml:space="preserve">严格按照招标文件要求交付            </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5、合同标的应符合招标文件、乙方投标文件的规定或约定，具体如下：</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9"/>
        <w:widowControl/>
        <w:spacing w:line="440" w:lineRule="exact"/>
        <w:ind w:firstLine="480"/>
        <w:rPr>
          <w:rFonts w:ascii="宋体" w:hAnsi="宋体" w:cs="宋体"/>
          <w:b/>
          <w:bCs/>
          <w:color w:val="auto"/>
          <w:highlight w:val="none"/>
        </w:rPr>
      </w:pPr>
      <w:r>
        <w:rPr>
          <w:rFonts w:hint="eastAsia" w:ascii="宋体" w:hAnsi="宋体" w:cs="宋体"/>
          <w:color w:val="auto"/>
          <w:highlight w:val="none"/>
        </w:rPr>
        <w:t>6、验收</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本项目是否邀请其他投标人参与验收：</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□不邀请。□邀请，具体如下：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7、合同款项的支付应按照招标文件的规定进行，具体如下：</w:t>
      </w:r>
    </w:p>
    <w:tbl>
      <w:tblPr>
        <w:tblStyle w:val="23"/>
        <w:tblW w:w="846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7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5" w:hRule="atLeast"/>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支付期次</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支付期次说明（</w:t>
            </w:r>
            <w:r>
              <w:rPr>
                <w:rFonts w:hint="eastAsia" w:ascii="宋体" w:hAnsi="宋体" w:cs="宋体"/>
                <w:color w:val="auto"/>
                <w:sz w:val="24"/>
                <w:highlight w:val="none"/>
              </w:rPr>
              <w:t>资金申请期间，不计利息）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p>
        </w:tc>
      </w:tr>
    </w:tbl>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8、履约保证金</w:t>
      </w:r>
    </w:p>
    <w:p>
      <w:pPr>
        <w:spacing w:line="400" w:lineRule="exact"/>
        <w:ind w:firstLine="480" w:firstLineChars="200"/>
        <w:rPr>
          <w:rStyle w:val="27"/>
          <w:rFonts w:ascii="宋体" w:hAnsi="宋体" w:cs="宋体"/>
          <w:b w:val="0"/>
          <w:bCs/>
          <w:color w:val="auto"/>
          <w:sz w:val="24"/>
          <w:highlight w:val="none"/>
        </w:rPr>
      </w:pPr>
      <w:r>
        <w:rPr>
          <w:rFonts w:hint="eastAsia" w:ascii="宋体" w:hAnsi="宋体" w:cs="宋体"/>
          <w:color w:val="auto"/>
          <w:sz w:val="24"/>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9、合同有效期</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9"/>
        <w:widowControl/>
        <w:numPr>
          <w:ilvl w:val="0"/>
          <w:numId w:val="7"/>
        </w:numPr>
        <w:spacing w:line="440" w:lineRule="exact"/>
        <w:ind w:firstLine="480"/>
        <w:rPr>
          <w:rFonts w:ascii="宋体" w:hAnsi="宋体" w:cs="宋体"/>
          <w:color w:val="auto"/>
          <w:highlight w:val="none"/>
        </w:rPr>
      </w:pPr>
      <w:r>
        <w:rPr>
          <w:rFonts w:hint="eastAsia" w:ascii="宋体" w:hAnsi="宋体" w:cs="宋体"/>
          <w:color w:val="auto"/>
          <w:highlight w:val="none"/>
        </w:rPr>
        <w:t>违约责任</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11、知识产权</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12、解决争议的方法</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12.1甲、乙双方协商解决。</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12.2若协商解决不成，则通过下列途径之一解决：</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□提交仲裁委员会仲裁，具体如下：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□向人民法院提起诉讼，具体如下：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13、不可抗力</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14、合同条款</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highlight w:val="none"/>
        </w:rPr>
        <w:t>。</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15、其他约定</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15.1合同文件与本合同具有同等法律效力。</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15.2本合同未尽事宜，双方可另行补充。</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15.3合同生效：自签订之日起生效。</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15.4本合同一式</w:t>
      </w:r>
      <w:r>
        <w:rPr>
          <w:rFonts w:hint="eastAsia" w:ascii="宋体" w:hAnsi="宋体" w:cs="宋体"/>
          <w:color w:val="auto"/>
          <w:highlight w:val="none"/>
          <w:u w:val="single"/>
        </w:rPr>
        <w:t>（填写具体份数）</w:t>
      </w:r>
      <w:r>
        <w:rPr>
          <w:rFonts w:hint="eastAsia" w:ascii="宋体" w:hAnsi="宋体" w:cs="宋体"/>
          <w:color w:val="auto"/>
          <w:highlight w:val="none"/>
        </w:rPr>
        <w:t>份，经双方授权代表签字并盖章后生效。甲方、乙方各执</w:t>
      </w:r>
      <w:r>
        <w:rPr>
          <w:rFonts w:hint="eastAsia" w:ascii="宋体" w:hAnsi="宋体" w:cs="宋体"/>
          <w:color w:val="auto"/>
          <w:highlight w:val="none"/>
          <w:u w:val="single"/>
        </w:rPr>
        <w:t>（填写具体份数）</w:t>
      </w:r>
      <w:r>
        <w:rPr>
          <w:rFonts w:hint="eastAsia" w:ascii="宋体" w:hAnsi="宋体" w:cs="宋体"/>
          <w:color w:val="auto"/>
          <w:highlight w:val="none"/>
        </w:rPr>
        <w:t>份，送</w:t>
      </w:r>
      <w:r>
        <w:rPr>
          <w:rFonts w:hint="eastAsia" w:ascii="宋体" w:hAnsi="宋体" w:cs="宋体"/>
          <w:color w:val="auto"/>
          <w:highlight w:val="none"/>
          <w:u w:val="single"/>
        </w:rPr>
        <w:t>（填写需要备案的监管部门的全称）</w:t>
      </w:r>
      <w:r>
        <w:rPr>
          <w:rFonts w:hint="eastAsia" w:ascii="宋体" w:hAnsi="宋体" w:cs="宋体"/>
          <w:color w:val="auto"/>
          <w:highlight w:val="none"/>
        </w:rPr>
        <w:t>备案</w:t>
      </w:r>
      <w:r>
        <w:rPr>
          <w:rFonts w:hint="eastAsia" w:ascii="宋体" w:hAnsi="宋体" w:cs="宋体"/>
          <w:color w:val="auto"/>
          <w:highlight w:val="none"/>
          <w:u w:val="single"/>
        </w:rPr>
        <w:t>（填写具体份数）</w:t>
      </w:r>
      <w:r>
        <w:rPr>
          <w:rFonts w:hint="eastAsia" w:ascii="宋体" w:hAnsi="宋体" w:cs="宋体"/>
          <w:color w:val="auto"/>
          <w:highlight w:val="none"/>
        </w:rPr>
        <w:t>份，具有同等效力。</w:t>
      </w:r>
    </w:p>
    <w:p>
      <w:pPr>
        <w:pStyle w:val="19"/>
        <w:widowControl/>
        <w:spacing w:line="440" w:lineRule="exact"/>
        <w:ind w:firstLine="480"/>
        <w:rPr>
          <w:rFonts w:ascii="宋体" w:hAnsi="宋体" w:cs="宋体"/>
          <w:color w:val="auto"/>
          <w:highlight w:val="none"/>
        </w:rPr>
      </w:pPr>
      <w:r>
        <w:rPr>
          <w:rFonts w:hint="eastAsia" w:ascii="宋体" w:hAnsi="宋体" w:cs="宋体"/>
          <w:color w:val="auto"/>
          <w:highlight w:val="none"/>
        </w:rPr>
        <w:t>15.5其他：□无。□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9"/>
        <w:widowControl/>
        <w:spacing w:line="440" w:lineRule="exact"/>
        <w:jc w:val="center"/>
        <w:rPr>
          <w:rFonts w:ascii="宋体" w:hAnsi="宋体" w:cs="宋体"/>
          <w:color w:val="auto"/>
          <w:highlight w:val="none"/>
        </w:rPr>
      </w:pPr>
      <w:r>
        <w:rPr>
          <w:rFonts w:hint="eastAsia" w:ascii="宋体" w:hAnsi="宋体" w:cs="宋体"/>
          <w:color w:val="auto"/>
          <w:highlight w:val="none"/>
        </w:rPr>
        <w:t>（以下无正文）</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甲方：                乙方：</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住所：                住所：</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单位负责人：              单位负责人：</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委托代理人：             委托代理人：</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联系方法：              联系方法：</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开户银行：              开户银行：</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账号：                  账号：</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签订地点：</w:t>
      </w:r>
      <w:r>
        <w:rPr>
          <w:rFonts w:hint="eastAsia" w:ascii="宋体" w:hAnsi="宋体" w:cs="宋体"/>
          <w:color w:val="auto"/>
          <w:highlight w:val="none"/>
          <w:u w:val="single"/>
        </w:rPr>
        <w:t>                </w:t>
      </w:r>
    </w:p>
    <w:p>
      <w:pPr>
        <w:pStyle w:val="19"/>
        <w:widowControl/>
        <w:spacing w:line="440" w:lineRule="exact"/>
        <w:rPr>
          <w:rFonts w:ascii="宋体" w:hAnsi="宋体" w:cs="宋体"/>
          <w:color w:val="auto"/>
          <w:highlight w:val="none"/>
        </w:rPr>
      </w:pPr>
      <w:r>
        <w:rPr>
          <w:rFonts w:hint="eastAsia" w:ascii="宋体" w:hAnsi="宋体" w:cs="宋体"/>
          <w:color w:val="auto"/>
          <w:highlight w:val="none"/>
        </w:rPr>
        <w:t>签订日期：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pacing w:line="440" w:lineRule="exact"/>
        <w:ind w:left="315"/>
        <w:rPr>
          <w:rFonts w:ascii="宋体" w:hAnsi="宋体" w:cs="宋体"/>
          <w:color w:val="auto"/>
          <w:sz w:val="24"/>
          <w:highlight w:val="none"/>
        </w:rPr>
      </w:pPr>
    </w:p>
    <w:p>
      <w:pPr>
        <w:spacing w:line="440" w:lineRule="exact"/>
        <w:ind w:left="315"/>
        <w:jc w:val="center"/>
        <w:rPr>
          <w:rFonts w:ascii="宋体" w:hAnsi="宋体" w:cs="宋体"/>
          <w:b/>
          <w:bCs/>
          <w:color w:val="auto"/>
          <w:kern w:val="0"/>
          <w:sz w:val="24"/>
          <w:highlight w:val="none"/>
        </w:rPr>
      </w:pPr>
    </w:p>
    <w:p>
      <w:pPr>
        <w:spacing w:line="440" w:lineRule="exact"/>
        <w:ind w:left="315"/>
        <w:jc w:val="center"/>
        <w:rPr>
          <w:rFonts w:ascii="宋体" w:hAnsi="宋体" w:cs="宋体"/>
          <w:b/>
          <w:bCs/>
          <w:color w:val="auto"/>
          <w:kern w:val="0"/>
          <w:sz w:val="24"/>
          <w:highlight w:val="none"/>
        </w:rPr>
      </w:pPr>
    </w:p>
    <w:p>
      <w:pPr>
        <w:pStyle w:val="22"/>
        <w:ind w:left="420" w:firstLine="482"/>
        <w:rPr>
          <w:rFonts w:ascii="宋体" w:hAnsi="宋体" w:cs="宋体"/>
          <w:b/>
          <w:bCs/>
          <w:color w:val="auto"/>
          <w:highlight w:val="none"/>
        </w:rPr>
      </w:pPr>
    </w:p>
    <w:p>
      <w:pPr>
        <w:rPr>
          <w:rFonts w:ascii="宋体" w:hAnsi="宋体" w:cs="宋体"/>
          <w:b/>
          <w:bCs/>
          <w:color w:val="auto"/>
          <w:highlight w:val="none"/>
        </w:rPr>
      </w:pPr>
      <w:r>
        <w:rPr>
          <w:rFonts w:hint="eastAsia" w:ascii="宋体" w:hAnsi="宋体" w:cs="宋体"/>
          <w:b/>
          <w:bCs/>
          <w:color w:val="auto"/>
          <w:highlight w:val="none"/>
        </w:rPr>
        <w:br w:type="page"/>
      </w:r>
    </w:p>
    <w:p>
      <w:pPr>
        <w:pStyle w:val="22"/>
        <w:ind w:left="420" w:firstLine="622"/>
        <w:jc w:val="center"/>
        <w:rPr>
          <w:rFonts w:ascii="宋体" w:hAnsi="宋体" w:cs="宋体"/>
          <w:color w:val="auto"/>
          <w:highlight w:val="none"/>
        </w:rPr>
      </w:pPr>
      <w:r>
        <w:rPr>
          <w:rStyle w:val="27"/>
          <w:rFonts w:hint="eastAsia" w:ascii="宋体" w:hAnsi="宋体" w:cs="宋体"/>
          <w:color w:val="auto"/>
          <w:sz w:val="31"/>
          <w:szCs w:val="31"/>
          <w:highlight w:val="none"/>
        </w:rPr>
        <w:t>第七章   投标文件格式</w:t>
      </w:r>
    </w:p>
    <w:p>
      <w:pPr>
        <w:pStyle w:val="19"/>
        <w:widowControl/>
        <w:spacing w:after="150"/>
        <w:jc w:val="center"/>
        <w:rPr>
          <w:rFonts w:ascii="宋体" w:hAnsi="宋体" w:cs="宋体"/>
          <w:color w:val="auto"/>
          <w:highlight w:val="none"/>
        </w:rPr>
      </w:pPr>
      <w:r>
        <w:rPr>
          <w:rStyle w:val="27"/>
          <w:rFonts w:hint="eastAsia" w:ascii="宋体" w:hAnsi="宋体" w:cs="宋体"/>
          <w:color w:val="auto"/>
          <w:highlight w:val="none"/>
        </w:rPr>
        <w:t>编制说明</w:t>
      </w:r>
    </w:p>
    <w:p>
      <w:pPr>
        <w:pStyle w:val="19"/>
        <w:widowControl/>
        <w:spacing w:after="150"/>
        <w:rPr>
          <w:rFonts w:ascii="宋体" w:hAnsi="宋体" w:cs="宋体"/>
          <w:color w:val="auto"/>
          <w:highlight w:val="none"/>
        </w:rPr>
      </w:pPr>
      <w:r>
        <w:rPr>
          <w:rFonts w:hint="eastAsia" w:ascii="宋体" w:hAnsi="宋体" w:cs="宋体"/>
          <w:color w:val="auto"/>
          <w:highlight w:val="none"/>
        </w:rPr>
        <w:t> 1、除招标文件另有规定外，本章中：</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1.1涉及投标人的</w:t>
      </w:r>
      <w:r>
        <w:rPr>
          <w:rStyle w:val="27"/>
          <w:rFonts w:hint="eastAsia" w:ascii="宋体" w:hAnsi="宋体" w:cs="宋体"/>
          <w:color w:val="auto"/>
          <w:highlight w:val="none"/>
        </w:rPr>
        <w:t>“全称”</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w:t>
      </w:r>
      <w:r>
        <w:rPr>
          <w:rStyle w:val="27"/>
          <w:rFonts w:hint="eastAsia" w:ascii="宋体" w:hAnsi="宋体" w:cs="宋体"/>
          <w:color w:val="auto"/>
          <w:highlight w:val="none"/>
        </w:rPr>
        <w:t>投标人的全称</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27"/>
          <w:rFonts w:hint="eastAsia" w:ascii="宋体" w:hAnsi="宋体" w:cs="宋体"/>
          <w:color w:val="auto"/>
          <w:highlight w:val="none"/>
        </w:rPr>
        <w:t>牵头方的全称</w:t>
      </w:r>
      <w:r>
        <w:rPr>
          <w:rFonts w:hint="eastAsia" w:ascii="宋体" w:hAnsi="宋体" w:cs="宋体"/>
          <w:color w:val="auto"/>
          <w:highlight w:val="none"/>
        </w:rPr>
        <w:t>并加注</w:t>
      </w:r>
      <w:r>
        <w:rPr>
          <w:rStyle w:val="27"/>
          <w:rFonts w:hint="eastAsia" w:ascii="宋体" w:hAnsi="宋体" w:cs="宋体"/>
          <w:color w:val="auto"/>
          <w:highlight w:val="none"/>
        </w:rPr>
        <w:t>（联合体牵头方）</w:t>
      </w:r>
      <w:r>
        <w:rPr>
          <w:rFonts w:hint="eastAsia" w:ascii="宋体" w:hAnsi="宋体" w:cs="宋体"/>
          <w:color w:val="auto"/>
          <w:highlight w:val="none"/>
        </w:rPr>
        <w:t>，即应表述为：</w:t>
      </w:r>
      <w:r>
        <w:rPr>
          <w:rStyle w:val="27"/>
          <w:rFonts w:hint="eastAsia" w:ascii="宋体" w:hAnsi="宋体" w:cs="宋体"/>
          <w:color w:val="auto"/>
          <w:highlight w:val="none"/>
        </w:rPr>
        <w:t>“牵头方的全称（联合体牵头方）”</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1.2涉及投标人</w:t>
      </w:r>
      <w:r>
        <w:rPr>
          <w:rStyle w:val="27"/>
          <w:rFonts w:hint="eastAsia" w:ascii="宋体" w:hAnsi="宋体" w:cs="宋体"/>
          <w:color w:val="auto"/>
          <w:highlight w:val="none"/>
        </w:rPr>
        <w:t>“加盖单位公章”</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w:t>
      </w:r>
      <w:r>
        <w:rPr>
          <w:rStyle w:val="27"/>
          <w:rFonts w:hint="eastAsia" w:ascii="宋体" w:hAnsi="宋体" w:cs="宋体"/>
          <w:color w:val="auto"/>
          <w:highlight w:val="none"/>
        </w:rPr>
        <w:t>加盖投标人的单位公章</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27"/>
          <w:rFonts w:hint="eastAsia" w:ascii="宋体" w:hAnsi="宋体" w:cs="宋体"/>
          <w:color w:val="auto"/>
          <w:highlight w:val="none"/>
        </w:rPr>
        <w:t>加盖联合体牵头方的单位公章</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1.3涉及</w:t>
      </w:r>
      <w:r>
        <w:rPr>
          <w:rStyle w:val="27"/>
          <w:rFonts w:hint="eastAsia" w:ascii="宋体" w:hAnsi="宋体" w:cs="宋体"/>
          <w:color w:val="auto"/>
          <w:highlight w:val="none"/>
        </w:rPr>
        <w:t>“投标人代表签字”</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（1）不接受联合体投标的，指由</w:t>
      </w:r>
      <w:r>
        <w:rPr>
          <w:rStyle w:val="27"/>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，由委托代理人签字的，应提供“单位负责人授权书”。</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（2）接受联合体投标且投标人为联合体的，指由</w:t>
      </w:r>
      <w:r>
        <w:rPr>
          <w:rStyle w:val="27"/>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，由委托代理人签字的，应提供“单位负责人授权书”。</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1.4</w:t>
      </w:r>
      <w:r>
        <w:rPr>
          <w:rStyle w:val="27"/>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1.5</w:t>
      </w:r>
      <w:r>
        <w:rPr>
          <w:rStyle w:val="27"/>
          <w:rFonts w:hint="eastAsia" w:ascii="宋体" w:hAnsi="宋体" w:cs="宋体"/>
          <w:color w:val="auto"/>
          <w:highlight w:val="none"/>
        </w:rPr>
        <w:t>“自然人”</w:t>
      </w:r>
      <w:r>
        <w:rPr>
          <w:rFonts w:hint="eastAsia" w:ascii="宋体" w:hAnsi="宋体" w:cs="宋体"/>
          <w:color w:val="auto"/>
          <w:highlight w:val="none"/>
        </w:rPr>
        <w:t>指具有完全民事行为能力、能够承担民事责任和义务的中国公民。</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2、除招标文件另有规定外，本章中</w:t>
      </w:r>
      <w:r>
        <w:rPr>
          <w:rStyle w:val="27"/>
          <w:rFonts w:hint="eastAsia" w:ascii="宋体" w:hAnsi="宋体" w:cs="宋体"/>
          <w:color w:val="auto"/>
          <w:highlight w:val="none"/>
        </w:rPr>
        <w:t>“投标人的资格及资信证明文件”</w:t>
      </w:r>
      <w:r>
        <w:rPr>
          <w:rFonts w:hint="eastAsia" w:ascii="宋体" w:hAnsi="宋体" w:cs="宋体"/>
          <w:color w:val="auto"/>
          <w:highlight w:val="none"/>
        </w:rPr>
        <w:t>：</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2.1投标人应按照招标文件第四章第1.3条第（2）款规定及本章规定进行编制，如有必要，可增加附页，附页作为资格及资信文件的组成部分。</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2.2接受联合体投标且投标人为联合体的，联合体中的各方均应按照本章第2.1条规定提交相应的全部资料。</w:t>
      </w:r>
    </w:p>
    <w:p>
      <w:pPr>
        <w:pStyle w:val="19"/>
        <w:widowControl/>
        <w:spacing w:after="150"/>
        <w:ind w:firstLine="480"/>
        <w:rPr>
          <w:rFonts w:ascii="宋体" w:hAnsi="宋体" w:cs="宋体"/>
          <w:color w:val="auto"/>
          <w:highlight w:val="none"/>
        </w:rPr>
      </w:pPr>
      <w:r>
        <w:rPr>
          <w:rFonts w:hint="eastAsia" w:ascii="宋体" w:hAnsi="宋体" w:cs="宋体"/>
          <w:color w:val="auto"/>
          <w:highlight w:val="none"/>
        </w:rPr>
        <w:t>3、投标人对投标文件的索引应编制页码。</w:t>
      </w:r>
    </w:p>
    <w:p>
      <w:pPr>
        <w:widowControl/>
        <w:spacing w:before="100" w:beforeAutospacing="1" w:after="100" w:afterAutospacing="1"/>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4、本章提供格式仅供参考，投标人应根据自身实际情况制作投标文件。</w:t>
      </w:r>
    </w:p>
    <w:p>
      <w:pPr>
        <w:widowControl/>
        <w:spacing w:before="75" w:after="75"/>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rPr>
          <w:rFonts w:ascii="宋体" w:hAnsi="宋体" w:cs="宋体"/>
          <w:b/>
          <w:bCs/>
          <w:color w:val="auto"/>
          <w:kern w:val="0"/>
          <w:sz w:val="29"/>
          <w:highlight w:val="none"/>
        </w:rPr>
      </w:pPr>
      <w:r>
        <w:rPr>
          <w:rFonts w:hint="eastAsia" w:ascii="宋体" w:hAnsi="宋体" w:cs="宋体"/>
          <w:b/>
          <w:bCs/>
          <w:color w:val="auto"/>
          <w:kern w:val="0"/>
          <w:sz w:val="29"/>
          <w:highlight w:val="none"/>
        </w:rPr>
        <w:br w:type="page"/>
      </w:r>
    </w:p>
    <w:p>
      <w:pPr>
        <w:widowControl/>
        <w:spacing w:before="75" w:after="75"/>
        <w:ind w:firstLine="480"/>
        <w:jc w:val="left"/>
        <w:rPr>
          <w:rFonts w:ascii="宋体" w:hAnsi="宋体" w:cs="宋体"/>
          <w:color w:val="auto"/>
          <w:kern w:val="0"/>
          <w:sz w:val="24"/>
          <w:highlight w:val="none"/>
        </w:rPr>
      </w:pPr>
      <w:r>
        <w:rPr>
          <w:rFonts w:hint="eastAsia" w:ascii="宋体" w:hAnsi="宋体" w:cs="宋体"/>
          <w:b/>
          <w:bCs/>
          <w:color w:val="auto"/>
          <w:kern w:val="0"/>
          <w:sz w:val="29"/>
          <w:highlight w:val="none"/>
        </w:rPr>
        <w:t>封面格式</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36"/>
          <w:szCs w:val="36"/>
          <w:highlight w:val="none"/>
        </w:rPr>
        <w:t> </w:t>
      </w:r>
    </w:p>
    <w:p>
      <w:pPr>
        <w:widowControl/>
        <w:spacing w:before="75" w:after="75" w:line="360" w:lineRule="auto"/>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投标文件</w:t>
      </w:r>
    </w:p>
    <w:p>
      <w:pPr>
        <w:widowControl/>
        <w:spacing w:before="75" w:after="75" w:line="360" w:lineRule="auto"/>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（资格及资信证明部分）</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（填写正本或副本）</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项目名称：（由投标人填写）</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项目编号：（由投标人填写）</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所投合同包：（由投标人填写）</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投标人：（填写“全称”）</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（由投标人填写）年（由投标人填写）月</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pStyle w:val="22"/>
        <w:ind w:left="420" w:firstLine="480"/>
        <w:rPr>
          <w:color w:val="auto"/>
          <w:highlight w:val="none"/>
        </w:rPr>
      </w:pPr>
    </w:p>
    <w:p>
      <w:pPr>
        <w:widowControl/>
        <w:spacing w:before="75" w:after="75"/>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br w:type="textWrapping"/>
      </w:r>
      <w:r>
        <w:rPr>
          <w:rFonts w:hint="eastAsia" w:ascii="宋体" w:hAnsi="宋体" w:cs="宋体"/>
          <w:b/>
          <w:bCs/>
          <w:color w:val="auto"/>
          <w:kern w:val="0"/>
          <w:sz w:val="30"/>
          <w:szCs w:val="30"/>
          <w:highlight w:val="none"/>
        </w:rPr>
        <w:t>索 引</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一、投标函</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二、投标人的资格及资信证明文件</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三、投标保证金</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100" w:beforeAutospacing="1" w:after="100" w:afterAutospacing="1"/>
        <w:jc w:val="left"/>
        <w:rPr>
          <w:rFonts w:ascii="宋体" w:hAnsi="宋体" w:cs="宋体"/>
          <w:color w:val="auto"/>
          <w:kern w:val="0"/>
          <w:sz w:val="24"/>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资格及资信证明部分中不得出现报价部分的全部或部分的投标报价信息（或组成资料），否则</w:t>
      </w:r>
      <w:r>
        <w:rPr>
          <w:rFonts w:hint="eastAsia" w:ascii="宋体" w:hAnsi="宋体" w:cs="宋体"/>
          <w:b/>
          <w:bCs/>
          <w:color w:val="auto"/>
          <w:kern w:val="0"/>
          <w:szCs w:val="21"/>
          <w:highlight w:val="none"/>
        </w:rPr>
        <w:t>资格审查不合格</w:t>
      </w:r>
      <w:r>
        <w:rPr>
          <w:rFonts w:hint="eastAsia" w:ascii="宋体" w:hAnsi="宋体" w:cs="宋体"/>
          <w:color w:val="auto"/>
          <w:kern w:val="0"/>
          <w:szCs w:val="21"/>
          <w:highlight w:val="none"/>
        </w:rPr>
        <w:t>。（联合体协议及分包意向协议中的比例规定，不适用本条款）</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一、投标函</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w:t>
      </w:r>
      <w:r>
        <w:rPr>
          <w:rFonts w:hint="eastAsia" w:ascii="宋体" w:hAnsi="宋体" w:cs="宋体"/>
          <w:color w:val="auto"/>
          <w:kern w:val="0"/>
          <w:sz w:val="24"/>
          <w:highlight w:val="none"/>
        </w:rPr>
        <w:t>          </w:t>
      </w:r>
    </w:p>
    <w:p>
      <w:pPr>
        <w:widowControl/>
        <w:spacing w:before="100" w:beforeAutospacing="1" w:after="100" w:afterAutospacing="1"/>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兹收到贵单位关于（填写“项目名称”）项目（项目编号：_______）的投标邀请，本投标人代表（填写“全名”）已获得我方正式授权并代表投标人（填写“全称”）参加投标，并提交招标文件规定份数的投标文件正本和副本。我方提交的全部投标文件均由下述部分组成：</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（1）资格及资信证明部分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③投标保证金</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（2）报价部分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①开标一览表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②投标分项报价表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③招标文件规定的价格扣除证明材料（若有）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④招标文件规定的加分证明材料（若有）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（3）技术商务部分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①标的说明一览表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②技术和服务要求响应表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③商务条件响应表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④投标人提交的其他资料（若有）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根据本函，本投标人代表宣布我方保证遵守招标文件的全部规定，同时：</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b/>
          <w:bCs/>
          <w:color w:val="auto"/>
          <w:kern w:val="0"/>
          <w:sz w:val="24"/>
          <w:highlight w:val="none"/>
        </w:rPr>
        <w:t>确认：</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w:t>
      </w:r>
      <w:r>
        <w:rPr>
          <w:rFonts w:hint="eastAsia" w:ascii="宋体" w:hAnsi="宋体" w:cs="宋体"/>
          <w:color w:val="auto"/>
          <w:kern w:val="0"/>
          <w:szCs w:val="21"/>
          <w:highlight w:val="none"/>
        </w:rPr>
        <w:t>所投采购包</w:t>
      </w:r>
      <w:r>
        <w:rPr>
          <w:rFonts w:hint="eastAsia" w:ascii="宋体" w:hAnsi="宋体" w:cs="宋体"/>
          <w:color w:val="auto"/>
          <w:kern w:val="0"/>
          <w:sz w:val="24"/>
          <w:highlight w:val="none"/>
        </w:rPr>
        <w:t>的投标报价详见“开标一览表”及“投标分项报价表”。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1.2我方已详细审查全部招标文件[包括但不限于：有关附件（若有）、澄清或修改（若有）等]，并自行承担因对全部招标文件理解不正确或误解而产生的相应后果和责任。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
          <w:bCs/>
          <w:color w:val="auto"/>
          <w:kern w:val="0"/>
          <w:sz w:val="24"/>
          <w:highlight w:val="none"/>
        </w:rPr>
        <w:t>承诺及声明：</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2.1我方具备招标文件第一章载明的“投标人的资格要求”且符合招标文件第三章载明的“二、投标人”之规定，否则</w:t>
      </w:r>
      <w:r>
        <w:rPr>
          <w:rFonts w:hint="eastAsia" w:ascii="宋体" w:hAnsi="宋体" w:cs="宋体"/>
          <w:b/>
          <w:bCs/>
          <w:color w:val="auto"/>
          <w:kern w:val="0"/>
          <w:sz w:val="24"/>
          <w:highlight w:val="none"/>
        </w:rPr>
        <w:t>投标无效。</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2.2我方提交的投标文件各组成部分的全部内容及资料是不可割离且真实、有效、准确、完整和不具有任何误导性的，否则产生不利后果由我方承担责任。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2.3我方提供的标的价格不高于同期市场价格，否则产生不利后果由我方承担责任。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2.4投标保证金：若出现招标文件第三章规定的不予退还情形，同意贵单位不予退还。</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2.5投标有效期：按照招标文件第三章规定执行，并在招标文件第二章载明的期限内保持有效。</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2.6若中标，将按照招标文件、我方投标文件及政府采购合同履行责任和义务。</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2.7若贵单位要求，我方同意提供与本项目投标有关的一切资料、数据或文件，并完全理解贵单位不一定要接受最低的投标报价或收到的任何投标。</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2.8我方承诺投标文件所提供的全部资料真实可靠，并接受评标委员会、采购人、采购代理机构、监管部门进一步审查其中任何资料真实性的要求。</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2.9除招标文件另有规定外，对于贵单位按照下述联络方式发出的任何信息或通知，均视为我方已收悉前述信息或通知的全部内容：</w:t>
      </w:r>
      <w:r>
        <w:rPr>
          <w:rFonts w:hint="eastAsia" w:ascii="宋体" w:hAnsi="宋体" w:cs="宋体"/>
          <w:color w:val="auto"/>
          <w:kern w:val="0"/>
          <w:szCs w:val="21"/>
          <w:highlight w:val="none"/>
        </w:rPr>
        <w:br w:type="textWrapping"/>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通信地址：               </w:t>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邮编：                 </w:t>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联系方法：（包括但不限于：联系人、联系电话、手机、传真、电子邮箱等）</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投标人：（全称并加盖单位公章）</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投标人代表签字：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widowControl/>
        <w:spacing w:before="75" w:after="75"/>
        <w:jc w:val="center"/>
        <w:rPr>
          <w:rFonts w:ascii="宋体" w:hAnsi="宋体" w:cs="宋体"/>
          <w:color w:val="auto"/>
          <w:kern w:val="0"/>
          <w:sz w:val="24"/>
          <w:highlight w:val="none"/>
        </w:rPr>
      </w:pPr>
      <w:r>
        <w:rPr>
          <w:rFonts w:hint="eastAsia" w:ascii="宋体" w:hAnsi="宋体" w:cs="宋体"/>
          <w:color w:val="auto"/>
          <w:kern w:val="0"/>
          <w:sz w:val="24"/>
          <w:highlight w:val="none"/>
        </w:rPr>
        <w:br w:type="textWrapping"/>
      </w: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pStyle w:val="6"/>
        <w:rPr>
          <w:color w:val="auto"/>
          <w:highlight w:val="none"/>
        </w:rPr>
      </w:pPr>
    </w:p>
    <w:p>
      <w:pPr>
        <w:widowControl/>
        <w:spacing w:before="75" w:after="75"/>
        <w:jc w:val="center"/>
        <w:rPr>
          <w:rFonts w:ascii="宋体" w:hAnsi="宋体" w:cs="宋体"/>
          <w:color w:val="auto"/>
          <w:kern w:val="0"/>
          <w:sz w:val="24"/>
          <w:highlight w:val="none"/>
        </w:rPr>
      </w:pPr>
    </w:p>
    <w:p>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二、投标人的资格及资信证明文件</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二-1单位授权书（若有）</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 </w:t>
      </w:r>
    </w:p>
    <w:p>
      <w:pPr>
        <w:widowControl/>
        <w:spacing w:line="40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我方的单位负责人</w:t>
      </w:r>
      <w:r>
        <w:rPr>
          <w:rFonts w:hint="eastAsia" w:ascii="宋体" w:hAnsi="宋体" w:cs="宋体"/>
          <w:color w:val="auto"/>
          <w:kern w:val="0"/>
          <w:sz w:val="24"/>
          <w:highlight w:val="none"/>
          <w:u w:val="single"/>
        </w:rPr>
        <w:t>（填写“单位负责人全名”）</w:t>
      </w:r>
      <w:r>
        <w:rPr>
          <w:rFonts w:hint="eastAsia" w:ascii="宋体" w:hAnsi="宋体" w:cs="宋体"/>
          <w:color w:val="auto"/>
          <w:kern w:val="0"/>
          <w:sz w:val="24"/>
          <w:highlight w:val="none"/>
        </w:rPr>
        <w:t>授权</w:t>
      </w:r>
      <w:r>
        <w:rPr>
          <w:rFonts w:hint="eastAsia" w:ascii="宋体" w:hAnsi="宋体" w:cs="宋体"/>
          <w:color w:val="auto"/>
          <w:kern w:val="0"/>
          <w:sz w:val="24"/>
          <w:highlight w:val="none"/>
          <w:u w:val="single"/>
        </w:rPr>
        <w:t>（填写“投标人代表全名”）</w:t>
      </w:r>
      <w:r>
        <w:rPr>
          <w:rFonts w:hint="eastAsia" w:ascii="宋体" w:hAnsi="宋体" w:cs="宋体"/>
          <w:color w:val="auto"/>
          <w:kern w:val="0"/>
          <w:sz w:val="24"/>
          <w:highlight w:val="none"/>
        </w:rPr>
        <w:t>为投标人代表，代表我方参加</w:t>
      </w:r>
      <w:r>
        <w:rPr>
          <w:rFonts w:hint="eastAsia" w:ascii="宋体" w:hAnsi="宋体" w:cs="宋体"/>
          <w:color w:val="auto"/>
          <w:kern w:val="0"/>
          <w:sz w:val="24"/>
          <w:highlight w:val="none"/>
          <w:u w:val="single"/>
        </w:rPr>
        <w:t>（填写“项目名称”）</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line="40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投标人代表无转委权。特此授权。</w:t>
      </w:r>
    </w:p>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（以下无正文）</w:t>
      </w:r>
    </w:p>
    <w:p>
      <w:pPr>
        <w:widowControl/>
        <w:spacing w:before="75" w:after="75"/>
        <w:ind w:firstLine="420"/>
        <w:jc w:val="left"/>
        <w:rPr>
          <w:rFonts w:ascii="宋体" w:hAnsi="宋体" w:cs="宋体"/>
          <w:color w:val="auto"/>
          <w:kern w:val="0"/>
          <w:sz w:val="24"/>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单位负责人：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身份证号：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手机：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身份证号：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手机：              </w:t>
      </w:r>
    </w:p>
    <w:p>
      <w:pPr>
        <w:widowControl/>
        <w:spacing w:before="75" w:after="75"/>
        <w:jc w:val="left"/>
        <w:rPr>
          <w:rFonts w:ascii="宋体" w:hAnsi="宋体" w:cs="宋体"/>
          <w:color w:val="auto"/>
          <w:kern w:val="0"/>
          <w:sz w:val="24"/>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授权方</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投标人：（全称并加盖单位公章）</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单位法定代表人签字或盖章：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接受授权方</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投标人代表签字：                   </w:t>
      </w:r>
    </w:p>
    <w:p>
      <w:pPr>
        <w:widowControl/>
        <w:spacing w:before="75" w:after="75"/>
        <w:jc w:val="right"/>
        <w:rPr>
          <w:rFonts w:ascii="宋体" w:hAnsi="宋体" w:cs="宋体"/>
          <w:color w:val="auto"/>
          <w:kern w:val="0"/>
          <w:sz w:val="24"/>
          <w:highlight w:val="none"/>
        </w:rPr>
      </w:pPr>
      <w:r>
        <w:rPr>
          <w:rFonts w:hint="eastAsia" w:ascii="宋体" w:hAnsi="宋体" w:cs="宋体"/>
          <w:color w:val="auto"/>
          <w:kern w:val="0"/>
          <w:sz w:val="24"/>
          <w:highlight w:val="none"/>
        </w:rPr>
        <w:t>签署日期：    年   月   日</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附：单位负责人、投标人代表的身份证正反面复印件</w:t>
      </w:r>
    </w:p>
    <w:tbl>
      <w:tblPr>
        <w:tblStyle w:val="23"/>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15" w:type="dxa"/>
        </w:trPr>
        <w:tc>
          <w:tcPr>
            <w:tcW w:w="8460" w:type="dxa"/>
            <w:tcBorders>
              <w:top w:val="outset" w:color="auto" w:sz="6" w:space="0"/>
              <w:bottom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要求：真实有效且内容完整、清晰、整洁。</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tc>
      </w:tr>
    </w:tbl>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※注意：</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1、企业（银行、保险、石油石化、电力、电信等行业除外）、事业单位和社会团体法人的“单位负责人”指法定代表人，即与实际提交的“营业执照等证明文件”载明的一致。</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3、投标人（自然人除外）：若投标人代表为单位授权的委托代理人，应提供本授权书；若投标人代表为单位负责人，应在此项下提交其身份证正反面复印件，可不提供本授权书。</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4、投标人为自然人的，可不填写本授权书。</w:t>
      </w:r>
    </w:p>
    <w:p>
      <w:pPr>
        <w:widowControl/>
        <w:spacing w:line="360" w:lineRule="auto"/>
        <w:jc w:val="left"/>
        <w:rPr>
          <w:rFonts w:ascii="宋体" w:hAnsi="宋体" w:cs="宋体"/>
          <w:b/>
          <w:bCs/>
          <w:color w:val="auto"/>
          <w:kern w:val="0"/>
          <w:sz w:val="24"/>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Fonts w:ascii="宋体" w:hAnsi="宋体" w:cs="宋体"/>
          <w:color w:val="auto"/>
          <w:sz w:val="36"/>
          <w:szCs w:val="36"/>
          <w:highlight w:val="none"/>
        </w:rPr>
      </w:pPr>
      <w:r>
        <w:rPr>
          <w:rStyle w:val="27"/>
          <w:rFonts w:hint="eastAsia" w:ascii="宋体" w:hAnsi="宋体" w:cs="宋体"/>
          <w:color w:val="auto"/>
          <w:highlight w:val="none"/>
        </w:rPr>
        <w:t>二-2营业执照等证明文件</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（采购人或采购代理机构）</w:t>
      </w:r>
      <w:r>
        <w:rPr>
          <w:rFonts w:hint="eastAsia" w:ascii="宋体" w:hAnsi="宋体" w:cs="宋体"/>
          <w:color w:val="auto"/>
          <w:highlight w:val="none"/>
          <w:u w:val="single"/>
        </w:rPr>
        <w:t>       </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）投标人为法人（包括企业、事业单位和社会团体）的</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w:t>
      </w:r>
      <w:r>
        <w:rPr>
          <w:rFonts w:hint="eastAsia" w:ascii="宋体" w:hAnsi="宋体" w:cs="宋体"/>
          <w:color w:val="auto"/>
          <w:highlight w:val="none"/>
          <w:u w:val="single"/>
        </w:rPr>
        <w:t>（请填写法人的具体证照名称）</w:t>
      </w:r>
      <w:r>
        <w:rPr>
          <w:rFonts w:hint="eastAsia" w:ascii="宋体" w:hAnsi="宋体" w:cs="宋体"/>
          <w:color w:val="auto"/>
          <w:highlight w:val="none"/>
        </w:rPr>
        <w:t>复印件，该证明材料真实有效，否则我方负全部责任。</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）投标人为非法人（包括其他组织、自然人）的</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（请填写非自然人的非法人的具体证照名称）</w:t>
      </w:r>
      <w:r>
        <w:rPr>
          <w:rFonts w:hint="eastAsia" w:ascii="宋体" w:hAnsi="宋体" w:cs="宋体"/>
          <w:color w:val="auto"/>
          <w:highlight w:val="none"/>
        </w:rPr>
        <w:t>复印件，该证明材料真实有效，否则我方负全部责任。</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（请填写自然人的身份证件名称）</w:t>
      </w:r>
      <w:r>
        <w:rPr>
          <w:rFonts w:hint="eastAsia" w:ascii="宋体" w:hAnsi="宋体" w:cs="宋体"/>
          <w:color w:val="auto"/>
          <w:highlight w:val="none"/>
        </w:rPr>
        <w:t>复印件，该证明材料真实有效，否则我方负全部责任。</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※注意：</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jc w:val="center"/>
        <w:rPr>
          <w:rStyle w:val="27"/>
          <w:rFonts w:ascii="宋体" w:hAnsi="宋体" w:cs="宋体"/>
          <w:color w:val="auto"/>
          <w:sz w:val="22"/>
          <w:szCs w:val="22"/>
          <w:highlight w:val="none"/>
        </w:rPr>
      </w:pPr>
    </w:p>
    <w:p>
      <w:pPr>
        <w:pStyle w:val="19"/>
        <w:widowControl/>
        <w:spacing w:line="480" w:lineRule="exact"/>
        <w:jc w:val="center"/>
        <w:rPr>
          <w:rFonts w:ascii="宋体" w:hAnsi="宋体" w:cs="宋体"/>
          <w:color w:val="auto"/>
          <w:sz w:val="32"/>
          <w:szCs w:val="32"/>
          <w:highlight w:val="none"/>
        </w:rPr>
      </w:pPr>
      <w:r>
        <w:rPr>
          <w:rStyle w:val="27"/>
          <w:rFonts w:hint="eastAsia" w:ascii="宋体" w:hAnsi="宋体" w:cs="宋体"/>
          <w:color w:val="auto"/>
          <w:sz w:val="22"/>
          <w:szCs w:val="22"/>
          <w:highlight w:val="none"/>
        </w:rPr>
        <w:t>二-3财务状况报告（财务报告、或资信证明、或投标担保函）</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（采购人或采购代理机构）</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）投标人提供财务报告的</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□企业适用：现附上我方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□事业单位适用：现附上我方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财务报告复印件，包括资产负债表、收入支出表（或收入费用表）、财政补助收入支出表（若有）、会计师事务所营业执照和注册会计师资格证书，上述证明材料真实有效，否则我方负全部责任。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□社会团体、民办非企适用：现附上我方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财务报告复印件，包括资产负债表、业务活动表、现金流量表、会计师事务所营业执照和注册会计师资格证书，上述证明材料真实有效，否则我方负全部责任。</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）投标人提供资信证明的</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）投标人提供投标担保函的</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现附上由财政部门认可的政府采购专业担保机构：</w:t>
      </w:r>
      <w:r>
        <w:rPr>
          <w:rFonts w:hint="eastAsia" w:ascii="宋体" w:hAnsi="宋体" w:cs="宋体"/>
          <w:color w:val="auto"/>
          <w:highlight w:val="none"/>
          <w:u w:val="single"/>
        </w:rPr>
        <w:t>（填写“担保机构全称”）</w:t>
      </w:r>
      <w:r>
        <w:rPr>
          <w:rFonts w:hint="eastAsia" w:ascii="宋体" w:hAnsi="宋体" w:cs="宋体"/>
          <w:color w:val="auto"/>
          <w:highlight w:val="none"/>
        </w:rPr>
        <w:t>出具的投标担保函复印件，上述证明材料真实有效，否则我方负全部责任。</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2、投标人提供的财务报告复印件（成立年限按照投标截止时间推算）应符合下列规定：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2.1成立年限满1年及以上的投标人，提供经审计的招标文件规定的年度财务报告。</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2.2成立年限满半年但不足1年的投标人，提供该半年度中任一季度的季度财务报告或该半年度的半年度财务报告。</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 w:val="24"/>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9"/>
        <w:widowControl/>
        <w:jc w:val="center"/>
        <w:rPr>
          <w:color w:val="auto"/>
          <w:highlight w:val="none"/>
        </w:rPr>
      </w:pPr>
      <w:r>
        <w:rPr>
          <w:rFonts w:hint="eastAsia" w:ascii="宋体" w:hAnsi="宋体" w:cs="宋体"/>
          <w:color w:val="auto"/>
          <w:sz w:val="28"/>
          <w:szCs w:val="28"/>
          <w:highlight w:val="none"/>
        </w:rPr>
        <w:t>二</w:t>
      </w:r>
      <w:r>
        <w:rPr>
          <w:rStyle w:val="27"/>
          <w:rFonts w:hint="eastAsia" w:ascii="宋体" w:hAnsi="宋体" w:cs="宋体"/>
          <w:color w:val="auto"/>
          <w:sz w:val="21"/>
          <w:szCs w:val="21"/>
          <w:highlight w:val="none"/>
        </w:rPr>
        <w:t>-4依法缴纳税收证明材料</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ind w:firstLine="420"/>
        <w:rPr>
          <w:color w:val="auto"/>
          <w:highlight w:val="none"/>
        </w:rPr>
      </w:pPr>
      <w:r>
        <w:rPr>
          <w:rFonts w:hint="eastAsia" w:ascii="宋体" w:hAnsi="宋体" w:cs="宋体"/>
          <w:color w:val="auto"/>
          <w:sz w:val="21"/>
          <w:szCs w:val="21"/>
          <w:highlight w:val="none"/>
        </w:rPr>
        <w:t>1、依法缴纳税收的投标人</w:t>
      </w:r>
    </w:p>
    <w:p>
      <w:pPr>
        <w:pStyle w:val="19"/>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19"/>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9"/>
        <w:widowControl/>
        <w:ind w:firstLine="420"/>
        <w:rPr>
          <w:color w:val="auto"/>
          <w:highlight w:val="none"/>
        </w:rPr>
      </w:pPr>
      <w:r>
        <w:rPr>
          <w:rFonts w:hint="eastAsia" w:ascii="宋体" w:hAnsi="宋体" w:cs="宋体"/>
          <w:color w:val="auto"/>
          <w:sz w:val="21"/>
          <w:szCs w:val="21"/>
          <w:highlight w:val="none"/>
        </w:rPr>
        <w:t>（ ）非法人（包括其他组织、自然人）的</w:t>
      </w:r>
    </w:p>
    <w:p>
      <w:pPr>
        <w:pStyle w:val="19"/>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9"/>
        <w:widowControl/>
        <w:ind w:firstLine="420"/>
        <w:rPr>
          <w:color w:val="auto"/>
          <w:highlight w:val="none"/>
        </w:rPr>
      </w:pPr>
      <w:r>
        <w:rPr>
          <w:rFonts w:hint="eastAsia" w:ascii="宋体" w:hAnsi="宋体" w:cs="宋体"/>
          <w:color w:val="auto"/>
          <w:sz w:val="21"/>
          <w:szCs w:val="21"/>
          <w:highlight w:val="none"/>
        </w:rPr>
        <w:t>2、依法免税的投标人</w:t>
      </w:r>
    </w:p>
    <w:p>
      <w:pPr>
        <w:pStyle w:val="19"/>
        <w:widowControl/>
        <w:ind w:firstLine="420"/>
        <w:rPr>
          <w:color w:val="auto"/>
          <w:highlight w:val="none"/>
        </w:rPr>
      </w:pPr>
      <w:r>
        <w:rPr>
          <w:rFonts w:hint="eastAsia" w:ascii="宋体" w:hAnsi="宋体" w:cs="宋体"/>
          <w:color w:val="auto"/>
          <w:sz w:val="21"/>
          <w:szCs w:val="21"/>
          <w:highlight w:val="none"/>
        </w:rPr>
        <w:t>（ ）现附上我方依法免税证明材料复印件，上述证明材料真实有效，否则我方负全部责任。</w:t>
      </w:r>
    </w:p>
    <w:p>
      <w:pPr>
        <w:pStyle w:val="19"/>
        <w:widowControl/>
        <w:rPr>
          <w:color w:val="auto"/>
          <w:highlight w:val="none"/>
        </w:rPr>
      </w:pPr>
      <w:r>
        <w:rPr>
          <w:rFonts w:ascii="Calibri" w:hAnsi="Calibri" w:cs="Calibri"/>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※注意：</w:t>
      </w:r>
    </w:p>
    <w:p>
      <w:pPr>
        <w:pStyle w:val="19"/>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9"/>
        <w:widowControl/>
        <w:rPr>
          <w:color w:val="auto"/>
          <w:highlight w:val="none"/>
        </w:rPr>
      </w:pPr>
      <w:r>
        <w:rPr>
          <w:rFonts w:hint="eastAsia" w:ascii="宋体" w:hAnsi="宋体" w:cs="宋体"/>
          <w:color w:val="auto"/>
          <w:sz w:val="21"/>
          <w:szCs w:val="21"/>
          <w:highlight w:val="none"/>
        </w:rPr>
        <w:t>2、投标人提供的税收凭据复印件应符合下列规定：</w:t>
      </w:r>
    </w:p>
    <w:p>
      <w:pPr>
        <w:pStyle w:val="19"/>
        <w:widowControl/>
        <w:rPr>
          <w:color w:val="auto"/>
          <w:highlight w:val="none"/>
        </w:rPr>
      </w:pPr>
      <w:r>
        <w:rPr>
          <w:rFonts w:hint="eastAsia" w:ascii="宋体" w:hAnsi="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19"/>
        <w:widowControl/>
        <w:rPr>
          <w:color w:val="auto"/>
          <w:highlight w:val="none"/>
        </w:rPr>
      </w:pPr>
      <w:r>
        <w:rPr>
          <w:rFonts w:hint="eastAsia" w:ascii="宋体" w:hAnsi="宋体" w:cs="宋体"/>
          <w:color w:val="auto"/>
          <w:sz w:val="21"/>
          <w:szCs w:val="21"/>
          <w:highlight w:val="none"/>
        </w:rPr>
        <w:t>2.2投标截止时间的当月成立且已依法缴纳税收的投标人，提供投标截止时间当月的税收凭据复印件。</w:t>
      </w:r>
    </w:p>
    <w:p>
      <w:pPr>
        <w:pStyle w:val="19"/>
        <w:widowControl/>
        <w:rPr>
          <w:color w:val="auto"/>
          <w:highlight w:val="none"/>
        </w:rPr>
      </w:pPr>
      <w:r>
        <w:rPr>
          <w:rFonts w:hint="eastAsia" w:ascii="宋体" w:hAnsi="宋体" w:cs="宋体"/>
          <w:color w:val="auto"/>
          <w:sz w:val="21"/>
          <w:szCs w:val="21"/>
          <w:highlight w:val="none"/>
        </w:rPr>
        <w:t>2.3投标截止时间的当月成立但因税务机关原因导致其尚未依法缴纳税收的投标人，提供依法缴纳税收承诺书（格式自拟），该承诺书视同税收凭据。</w:t>
      </w:r>
    </w:p>
    <w:p>
      <w:pPr>
        <w:pStyle w:val="19"/>
        <w:widowControl/>
        <w:rPr>
          <w:color w:val="auto"/>
          <w:highlight w:val="none"/>
        </w:rPr>
      </w:pPr>
    </w:p>
    <w:p>
      <w:pPr>
        <w:pStyle w:val="19"/>
        <w:widowControl/>
        <w:rPr>
          <w:color w:val="auto"/>
          <w:highlight w:val="none"/>
        </w:rPr>
      </w:pPr>
      <w:r>
        <w:rPr>
          <w:rFonts w:ascii="Calibri" w:hAnsi="Calibri" w:cs="Calibri"/>
          <w:color w:val="auto"/>
          <w:sz w:val="21"/>
          <w:szCs w:val="21"/>
          <w:highlight w:val="none"/>
        </w:rPr>
        <w:t> </w:t>
      </w:r>
    </w:p>
    <w:p>
      <w:pPr>
        <w:pStyle w:val="19"/>
        <w:widowControl/>
        <w:rPr>
          <w:color w:val="auto"/>
          <w:highlight w:val="none"/>
        </w:rPr>
      </w:pPr>
      <w:r>
        <w:rPr>
          <w:rFonts w:ascii="Calibri" w:hAnsi="Calibri" w:cs="Calibri"/>
          <w:color w:val="auto"/>
          <w:sz w:val="21"/>
          <w:szCs w:val="21"/>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 </w:t>
      </w:r>
    </w:p>
    <w:p>
      <w:pPr>
        <w:pStyle w:val="19"/>
        <w:widowControl/>
        <w:jc w:val="center"/>
        <w:rPr>
          <w:rFonts w:ascii="Calibri" w:hAnsi="Calibri" w:cs="Calibri"/>
          <w:color w:val="auto"/>
          <w:sz w:val="21"/>
          <w:szCs w:val="21"/>
          <w:highlight w:val="none"/>
        </w:rPr>
      </w:pPr>
      <w:r>
        <w:rPr>
          <w:rFonts w:ascii="Calibri" w:hAnsi="Calibri" w:cs="Calibri"/>
          <w:color w:val="auto"/>
          <w:sz w:val="21"/>
          <w:szCs w:val="21"/>
          <w:highlight w:val="none"/>
        </w:rPr>
        <w:br w:type="textWrapping"/>
      </w:r>
    </w:p>
    <w:p>
      <w:pPr>
        <w:rPr>
          <w:rFonts w:ascii="Calibri" w:hAnsi="Calibri" w:cs="Calibri"/>
          <w:color w:val="auto"/>
          <w:szCs w:val="21"/>
          <w:highlight w:val="none"/>
        </w:rPr>
      </w:pPr>
      <w:r>
        <w:rPr>
          <w:rFonts w:ascii="Calibri" w:hAnsi="Calibri" w:cs="Calibri"/>
          <w:color w:val="auto"/>
          <w:szCs w:val="21"/>
          <w:highlight w:val="none"/>
        </w:rPr>
        <w:br w:type="page"/>
      </w:r>
    </w:p>
    <w:p>
      <w:pPr>
        <w:pStyle w:val="19"/>
        <w:widowControl/>
        <w:jc w:val="center"/>
        <w:rPr>
          <w:color w:val="auto"/>
          <w:highlight w:val="none"/>
        </w:rPr>
      </w:pPr>
      <w:r>
        <w:rPr>
          <w:rStyle w:val="27"/>
          <w:rFonts w:hint="eastAsia" w:ascii="宋体" w:hAnsi="宋体" w:cs="宋体"/>
          <w:color w:val="auto"/>
          <w:sz w:val="21"/>
          <w:szCs w:val="21"/>
          <w:highlight w:val="none"/>
        </w:rPr>
        <w:t>二-5依法缴纳社会保障资金证明材料</w:t>
      </w:r>
    </w:p>
    <w:p>
      <w:pPr>
        <w:pStyle w:val="19"/>
        <w:widowControl/>
        <w:rPr>
          <w:color w:val="auto"/>
          <w:highlight w:val="none"/>
        </w:rPr>
      </w:pPr>
      <w:r>
        <w:rPr>
          <w:rFonts w:hint="eastAsia" w:ascii="宋体" w:hAnsi="宋体" w:cs="宋体"/>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9"/>
        <w:widowControl/>
        <w:ind w:firstLine="420"/>
        <w:rPr>
          <w:color w:val="auto"/>
          <w:highlight w:val="none"/>
        </w:rPr>
      </w:pPr>
      <w:r>
        <w:rPr>
          <w:rFonts w:hint="eastAsia" w:ascii="宋体" w:hAnsi="宋体" w:cs="宋体"/>
          <w:color w:val="auto"/>
          <w:sz w:val="21"/>
          <w:szCs w:val="21"/>
          <w:highlight w:val="none"/>
        </w:rPr>
        <w:t>1、依法缴纳社会保障资金的投标人</w:t>
      </w:r>
    </w:p>
    <w:p>
      <w:pPr>
        <w:pStyle w:val="19"/>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19"/>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widowControl/>
        <w:ind w:firstLine="420"/>
        <w:rPr>
          <w:color w:val="auto"/>
          <w:highlight w:val="none"/>
        </w:rPr>
      </w:pPr>
      <w:r>
        <w:rPr>
          <w:rFonts w:hint="eastAsia" w:ascii="宋体" w:hAnsi="宋体" w:cs="宋体"/>
          <w:color w:val="auto"/>
          <w:sz w:val="21"/>
          <w:szCs w:val="21"/>
          <w:highlight w:val="none"/>
        </w:rPr>
        <w:t>（ ）非法人（包括其他组织、自然人）的</w:t>
      </w:r>
    </w:p>
    <w:p>
      <w:pPr>
        <w:pStyle w:val="19"/>
        <w:widowControl/>
        <w:ind w:firstLine="420"/>
        <w:rPr>
          <w:color w:val="auto"/>
          <w:highlight w:val="none"/>
        </w:rPr>
      </w:pP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9"/>
        <w:widowControl/>
        <w:ind w:firstLine="420"/>
        <w:rPr>
          <w:color w:val="auto"/>
          <w:highlight w:val="none"/>
        </w:rPr>
      </w:pPr>
      <w:r>
        <w:rPr>
          <w:rFonts w:hint="eastAsia" w:ascii="宋体" w:hAnsi="宋体" w:cs="宋体"/>
          <w:color w:val="auto"/>
          <w:sz w:val="21"/>
          <w:szCs w:val="21"/>
          <w:highlight w:val="none"/>
        </w:rPr>
        <w:t>2、依法不需要缴纳社会保障资金的投标人</w:t>
      </w:r>
    </w:p>
    <w:p>
      <w:pPr>
        <w:pStyle w:val="19"/>
        <w:widowControl/>
        <w:ind w:firstLine="420"/>
        <w:rPr>
          <w:color w:val="auto"/>
          <w:highlight w:val="none"/>
        </w:rPr>
      </w:pPr>
      <w:r>
        <w:rPr>
          <w:rFonts w:hint="eastAsia" w:ascii="宋体" w:hAnsi="宋体" w:cs="宋体"/>
          <w:color w:val="auto"/>
          <w:sz w:val="21"/>
          <w:szCs w:val="21"/>
          <w:highlight w:val="none"/>
        </w:rPr>
        <w:t>（ ）现附上我方依法不需要缴纳社会保障资金证明材料复印件，上述证明材料真实有效，否则我方负全部责任。</w:t>
      </w:r>
    </w:p>
    <w:p>
      <w:pPr>
        <w:pStyle w:val="19"/>
        <w:widowControl/>
        <w:rPr>
          <w:color w:val="auto"/>
          <w:highlight w:val="none"/>
        </w:rPr>
      </w:pPr>
      <w:r>
        <w:rPr>
          <w:rFonts w:ascii="Calibri" w:hAnsi="Calibri" w:cs="Calibri"/>
          <w:color w:val="auto"/>
          <w:sz w:val="21"/>
          <w:szCs w:val="21"/>
          <w:highlight w:val="none"/>
        </w:rPr>
        <w:t> </w:t>
      </w:r>
    </w:p>
    <w:p>
      <w:pPr>
        <w:pStyle w:val="19"/>
        <w:widowControl/>
        <w:rPr>
          <w:color w:val="auto"/>
          <w:highlight w:val="none"/>
        </w:rPr>
      </w:pPr>
      <w:r>
        <w:rPr>
          <w:rFonts w:hint="eastAsia" w:ascii="宋体" w:hAnsi="宋体" w:cs="宋体"/>
          <w:color w:val="auto"/>
          <w:sz w:val="21"/>
          <w:szCs w:val="21"/>
          <w:highlight w:val="none"/>
        </w:rPr>
        <w:t>※注意：</w:t>
      </w:r>
    </w:p>
    <w:p>
      <w:pPr>
        <w:pStyle w:val="19"/>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9"/>
        <w:widowControl/>
        <w:rPr>
          <w:color w:val="auto"/>
          <w:highlight w:val="none"/>
        </w:rPr>
      </w:pPr>
      <w:r>
        <w:rPr>
          <w:rFonts w:hint="eastAsia" w:ascii="宋体" w:hAnsi="宋体" w:cs="宋体"/>
          <w:color w:val="auto"/>
          <w:sz w:val="21"/>
          <w:szCs w:val="21"/>
          <w:highlight w:val="none"/>
        </w:rPr>
        <w:t>2、投标人提供的社会保险凭据复印件应符合下列规定：</w:t>
      </w:r>
    </w:p>
    <w:p>
      <w:pPr>
        <w:pStyle w:val="19"/>
        <w:widowControl/>
        <w:rPr>
          <w:color w:val="auto"/>
          <w:highlight w:val="none"/>
        </w:rPr>
      </w:pPr>
      <w:r>
        <w:rPr>
          <w:rFonts w:hint="eastAsia" w:ascii="宋体" w:hAnsi="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19"/>
        <w:widowControl/>
        <w:rPr>
          <w:color w:val="auto"/>
          <w:highlight w:val="none"/>
        </w:rPr>
      </w:pPr>
      <w:r>
        <w:rPr>
          <w:rFonts w:hint="eastAsia" w:ascii="宋体" w:hAnsi="宋体" w:cs="宋体"/>
          <w:color w:val="auto"/>
          <w:sz w:val="21"/>
          <w:szCs w:val="21"/>
          <w:highlight w:val="none"/>
        </w:rPr>
        <w:t>2.2投标截止时间的当月成立且已依法缴纳社会保障资金的投标人，提供投标截止时间当月的社会保险凭据复印件。</w:t>
      </w:r>
    </w:p>
    <w:p>
      <w:pPr>
        <w:pStyle w:val="19"/>
        <w:widowControl/>
        <w:rPr>
          <w:color w:val="auto"/>
          <w:highlight w:val="none"/>
        </w:rPr>
      </w:pPr>
      <w:r>
        <w:rPr>
          <w:rFonts w:hint="eastAsia" w:ascii="宋体" w:hAnsi="宋体" w:cs="宋体"/>
          <w:color w:val="auto"/>
          <w:sz w:val="21"/>
          <w:szCs w:val="21"/>
          <w:highlight w:val="none"/>
        </w:rPr>
        <w:t>2.3投标截止时间的当月成立但因税务机关</w:t>
      </w:r>
      <w:r>
        <w:rPr>
          <w:rFonts w:ascii="Calibri" w:hAnsi="Calibri" w:cs="Calibri"/>
          <w:color w:val="auto"/>
          <w:sz w:val="21"/>
          <w:szCs w:val="21"/>
          <w:highlight w:val="none"/>
        </w:rPr>
        <w:t>/</w:t>
      </w:r>
      <w:r>
        <w:rPr>
          <w:rFonts w:hint="eastAsia" w:ascii="宋体" w:hAnsi="宋体" w:cs="宋体"/>
          <w:color w:val="auto"/>
          <w:sz w:val="21"/>
          <w:szCs w:val="21"/>
          <w:highlight w:val="none"/>
        </w:rPr>
        <w:t>社会保障资金管理机关原因导致其尚未依法缴纳社会保障资金的投标人，提供依法缴纳社会保障资金承诺书（格式自拟），该承诺书视同社会保险凭据。</w:t>
      </w:r>
    </w:p>
    <w:p>
      <w:pPr>
        <w:pStyle w:val="19"/>
        <w:widowControl/>
        <w:rPr>
          <w:color w:val="auto"/>
          <w:highlight w:val="none"/>
        </w:rPr>
      </w:pPr>
    </w:p>
    <w:p>
      <w:pPr>
        <w:pStyle w:val="19"/>
        <w:widowControl/>
        <w:rPr>
          <w:color w:val="auto"/>
          <w:highlight w:val="none"/>
        </w:rPr>
      </w:pPr>
      <w:r>
        <w:rPr>
          <w:rFonts w:ascii="Calibri" w:hAnsi="Calibri" w:cs="Calibri"/>
          <w:color w:val="auto"/>
          <w:sz w:val="21"/>
          <w:szCs w:val="21"/>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rPr>
          <w:color w:val="auto"/>
          <w:highlight w:val="none"/>
        </w:rPr>
      </w:pPr>
      <w:r>
        <w:rPr>
          <w:rFonts w:hint="eastAsia" w:ascii="宋体" w:hAnsi="宋体" w:cs="宋体"/>
          <w:color w:val="auto"/>
          <w:sz w:val="21"/>
          <w:szCs w:val="21"/>
          <w:highlight w:val="none"/>
        </w:rPr>
        <w:t> </w:t>
      </w:r>
    </w:p>
    <w:p>
      <w:pPr>
        <w:pStyle w:val="19"/>
        <w:widowControl/>
        <w:spacing w:line="480" w:lineRule="exact"/>
        <w:jc w:val="center"/>
        <w:rPr>
          <w:rStyle w:val="27"/>
          <w:rFonts w:ascii="宋体" w:hAnsi="宋体" w:cs="宋体"/>
          <w:color w:val="auto"/>
          <w:sz w:val="21"/>
          <w:szCs w:val="21"/>
          <w:highlight w:val="none"/>
        </w:rPr>
      </w:pPr>
    </w:p>
    <w:p>
      <w:pPr>
        <w:rPr>
          <w:rStyle w:val="27"/>
          <w:rFonts w:ascii="宋体" w:hAnsi="宋体" w:cs="宋体"/>
          <w:color w:val="auto"/>
          <w:szCs w:val="21"/>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spacing w:line="480" w:lineRule="exact"/>
        <w:jc w:val="center"/>
        <w:rPr>
          <w:rFonts w:ascii="宋体" w:hAnsi="宋体" w:cs="宋体"/>
          <w:color w:val="auto"/>
          <w:sz w:val="28"/>
          <w:szCs w:val="28"/>
          <w:highlight w:val="none"/>
        </w:rPr>
      </w:pPr>
      <w:r>
        <w:rPr>
          <w:rStyle w:val="27"/>
          <w:rFonts w:hint="eastAsia" w:ascii="宋体" w:hAnsi="宋体" w:cs="宋体"/>
          <w:color w:val="auto"/>
          <w:sz w:val="21"/>
          <w:szCs w:val="21"/>
          <w:highlight w:val="none"/>
        </w:rPr>
        <w:t>二-6 具备履行合同所必需设备和专业技术能力的声明函（若有）</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 （采购人或采购代理机构）</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特此声明。</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※注意：</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1、招标文件未要求投标人提供“具备履行合同所必需的设备和专业技术能力专项证明材料”的，投标人应提供本声明函。</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2、招标文件要求投标人提供“具备履行合同所必需的设备和专业技术能力专项证明材料”的，投标人可不提供本声明函。</w:t>
      </w:r>
    </w:p>
    <w:p>
      <w:pPr>
        <w:pStyle w:val="19"/>
        <w:widowControl/>
        <w:spacing w:line="480" w:lineRule="exact"/>
        <w:ind w:firstLine="420"/>
        <w:rPr>
          <w:rFonts w:ascii="宋体" w:hAnsi="宋体" w:cs="宋体"/>
          <w:color w:val="auto"/>
          <w:highlight w:val="none"/>
        </w:rPr>
      </w:pPr>
      <w:r>
        <w:rPr>
          <w:rFonts w:hint="eastAsia" w:ascii="宋体" w:hAnsi="宋体" w:cs="宋体"/>
          <w:color w:val="auto"/>
          <w:highlight w:val="none"/>
        </w:rPr>
        <w:t>3、请投标人根据实际情况如实声明，否则视为提供虚假材料。</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9"/>
        <w:widowControl/>
        <w:spacing w:line="480" w:lineRule="exact"/>
        <w:jc w:val="center"/>
        <w:rPr>
          <w:rFonts w:ascii="宋体" w:hAnsi="宋体" w:cs="宋体"/>
          <w:color w:val="auto"/>
          <w:highlight w:val="none"/>
        </w:rPr>
      </w:pPr>
      <w:r>
        <w:rPr>
          <w:rFonts w:hint="eastAsia" w:ascii="宋体" w:hAnsi="宋体" w:cs="宋体"/>
          <w:color w:val="auto"/>
          <w:highlight w:val="none"/>
        </w:rPr>
        <w:t>二</w:t>
      </w:r>
      <w:r>
        <w:rPr>
          <w:rStyle w:val="27"/>
          <w:rFonts w:hint="eastAsia" w:ascii="宋体" w:hAnsi="宋体" w:cs="宋体"/>
          <w:color w:val="auto"/>
          <w:highlight w:val="none"/>
        </w:rPr>
        <w:t>-7参加采购活动前三年内在经营活动中没有重大违法记录书面声明</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特此声明。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请投标人根据实际情况如实声明，否则</w:t>
      </w:r>
      <w:r>
        <w:rPr>
          <w:rFonts w:hint="eastAsia" w:ascii="宋体" w:hAnsi="宋体" w:cs="宋体"/>
          <w:b/>
          <w:bCs/>
          <w:color w:val="auto"/>
          <w:kern w:val="0"/>
          <w:sz w:val="24"/>
          <w:highlight w:val="none"/>
        </w:rPr>
        <w:t>视为提供虚假材料。</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r>
        <w:rPr>
          <w:rFonts w:hint="eastAsia" w:ascii="宋体" w:hAnsi="宋体" w:cs="宋体"/>
          <w:color w:val="auto"/>
          <w:highlight w:val="none"/>
        </w:rPr>
        <w:t>二</w:t>
      </w:r>
      <w:r>
        <w:rPr>
          <w:rStyle w:val="27"/>
          <w:rFonts w:hint="eastAsia" w:ascii="宋体" w:hAnsi="宋体" w:cs="宋体"/>
          <w:color w:val="auto"/>
          <w:highlight w:val="none"/>
        </w:rPr>
        <w:t>-8信用记录查询结果</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1、由资格审查小组通过网站查询并打印投标人的信用记录。</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pStyle w:val="19"/>
        <w:widowControl/>
        <w:spacing w:line="480" w:lineRule="exact"/>
        <w:rPr>
          <w:rFonts w:ascii="宋体" w:hAnsi="宋体" w:cs="宋体"/>
          <w:color w:val="auto"/>
          <w:highlight w:val="none"/>
        </w:rPr>
      </w:pPr>
    </w:p>
    <w:p>
      <w:pPr>
        <w:spacing w:line="400" w:lineRule="exact"/>
        <w:jc w:val="center"/>
        <w:rPr>
          <w:rFonts w:ascii="宋体" w:hAnsi="宋体" w:cs="宋体"/>
          <w:b/>
          <w:color w:val="auto"/>
          <w:sz w:val="24"/>
          <w:highlight w:val="none"/>
          <w:shd w:val="clear" w:color="auto" w:fill="FFFFFF"/>
        </w:rPr>
      </w:pPr>
      <w:r>
        <w:rPr>
          <w:rStyle w:val="27"/>
          <w:rFonts w:hint="eastAsia" w:ascii="宋体" w:hAnsi="宋体" w:cs="宋体"/>
          <w:color w:val="auto"/>
          <w:sz w:val="24"/>
          <w:highlight w:val="none"/>
        </w:rPr>
        <w:t>二-9</w:t>
      </w:r>
      <w:r>
        <w:rPr>
          <w:rFonts w:hint="eastAsia" w:ascii="宋体" w:hAnsi="宋体" w:cs="宋体"/>
          <w:b/>
          <w:color w:val="auto"/>
          <w:sz w:val="24"/>
          <w:highlight w:val="none"/>
          <w:shd w:val="clear" w:color="auto" w:fill="FFFFFF"/>
        </w:rPr>
        <w:t>无行贿犯罪记录承诺函</w:t>
      </w:r>
    </w:p>
    <w:p>
      <w:pPr>
        <w:autoSpaceDN w:val="0"/>
        <w:spacing w:beforeAutospacing="1" w:afterAutospacing="1"/>
        <w:rPr>
          <w:rFonts w:ascii="宋体" w:hAnsi="宋体" w:cs="宋体"/>
          <w:color w:val="auto"/>
          <w:sz w:val="24"/>
          <w:highlight w:val="none"/>
        </w:rPr>
      </w:pPr>
      <w:r>
        <w:rPr>
          <w:rFonts w:hint="eastAsia" w:ascii="宋体" w:hAnsi="宋体" w:cs="宋体"/>
          <w:color w:val="auto"/>
          <w:sz w:val="24"/>
          <w:highlight w:val="none"/>
        </w:rPr>
        <w:t>致：</w:t>
      </w:r>
    </w:p>
    <w:p>
      <w:pPr>
        <w:autoSpaceDN w:val="0"/>
        <w:spacing w:beforeAutospacing="1" w:afterAutospacing="1"/>
        <w:ind w:firstLine="420"/>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 xml:space="preserve"> 公司名称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法定代表人 </w:t>
      </w:r>
      <w:r>
        <w:rPr>
          <w:rFonts w:hint="eastAsia" w:ascii="宋体" w:hAnsi="宋体" w:cs="宋体"/>
          <w:color w:val="auto"/>
          <w:sz w:val="24"/>
          <w:highlight w:val="none"/>
        </w:rPr>
        <w:t>）及（</w:t>
      </w:r>
      <w:r>
        <w:rPr>
          <w:rFonts w:hint="eastAsia" w:ascii="宋体" w:hAnsi="宋体" w:cs="宋体"/>
          <w:color w:val="auto"/>
          <w:sz w:val="24"/>
          <w:highlight w:val="none"/>
          <w:u w:val="single"/>
        </w:rPr>
        <w:t xml:space="preserve">  投标代表 </w:t>
      </w:r>
      <w:r>
        <w:rPr>
          <w:rFonts w:hint="eastAsia" w:ascii="宋体" w:hAnsi="宋体" w:cs="宋体"/>
          <w:color w:val="auto"/>
          <w:sz w:val="24"/>
          <w:highlight w:val="none"/>
        </w:rPr>
        <w:t>）承诺在参加采购经营活动中没有行贿犯罪记录，否则产生不利后果由我方承担责任。</w:t>
      </w:r>
    </w:p>
    <w:p>
      <w:pPr>
        <w:autoSpaceDN w:val="0"/>
        <w:spacing w:beforeAutospacing="1" w:afterAutospacing="1"/>
        <w:ind w:firstLine="420"/>
        <w:rPr>
          <w:rFonts w:ascii="宋体" w:hAnsi="宋体" w:cs="宋体"/>
          <w:color w:val="auto"/>
          <w:sz w:val="24"/>
          <w:highlight w:val="none"/>
        </w:rPr>
      </w:pPr>
      <w:r>
        <w:rPr>
          <w:rFonts w:hint="eastAsia" w:ascii="宋体" w:hAnsi="宋体" w:cs="宋体"/>
          <w:color w:val="auto"/>
          <w:sz w:val="24"/>
          <w:highlight w:val="none"/>
        </w:rPr>
        <w:t>特此承诺。</w:t>
      </w:r>
    </w:p>
    <w:p>
      <w:pPr>
        <w:autoSpaceDN w:val="0"/>
        <w:spacing w:beforeAutospacing="1" w:afterAutospacing="1"/>
        <w:rPr>
          <w:rFonts w:ascii="宋体" w:hAnsi="宋体" w:cs="宋体"/>
          <w:color w:val="auto"/>
          <w:sz w:val="24"/>
          <w:highlight w:val="none"/>
        </w:rPr>
      </w:pP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★注意：</w:t>
      </w: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1、纸质响应文件正本中的本材料应为原件。</w:t>
      </w: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2、请</w:t>
      </w:r>
      <w:r>
        <w:rPr>
          <w:rFonts w:hint="eastAsia" w:ascii="宋体" w:hAnsi="宋体" w:cs="宋体"/>
          <w:color w:val="auto"/>
          <w:sz w:val="24"/>
          <w:highlight w:val="none"/>
        </w:rPr>
        <w:t>投标人</w:t>
      </w:r>
      <w:r>
        <w:rPr>
          <w:rFonts w:hint="eastAsia" w:ascii="宋体" w:hAnsi="宋体" w:cs="宋体"/>
          <w:color w:val="auto"/>
          <w:sz w:val="24"/>
          <w:highlight w:val="none"/>
          <w:shd w:val="clear" w:color="auto" w:fill="FFFFFF"/>
        </w:rPr>
        <w:t>根据实际情况如实声明，否则</w:t>
      </w:r>
      <w:r>
        <w:rPr>
          <w:rFonts w:hint="eastAsia" w:ascii="宋体" w:hAnsi="宋体" w:cs="宋体"/>
          <w:b/>
          <w:color w:val="auto"/>
          <w:sz w:val="24"/>
          <w:highlight w:val="none"/>
          <w:shd w:val="clear" w:color="auto" w:fill="FFFFFF"/>
        </w:rPr>
        <w:t>视为提供虚假材料。</w:t>
      </w:r>
    </w:p>
    <w:p>
      <w:pPr>
        <w:pStyle w:val="19"/>
        <w:widowControl/>
        <w:spacing w:line="480" w:lineRule="exact"/>
        <w:jc w:val="center"/>
        <w:rPr>
          <w:rFonts w:ascii="宋体" w:hAnsi="宋体" w:cs="宋体"/>
          <w:color w:val="auto"/>
          <w:highlight w:val="none"/>
        </w:rPr>
      </w:pPr>
    </w:p>
    <w:p>
      <w:pPr>
        <w:pStyle w:val="19"/>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9"/>
        <w:widowControl/>
        <w:spacing w:line="480" w:lineRule="exact"/>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jc w:val="center"/>
        <w:rPr>
          <w:rFonts w:ascii="宋体" w:hAnsi="宋体" w:cs="宋体"/>
          <w:color w:val="auto"/>
          <w:highlight w:val="none"/>
        </w:rPr>
      </w:pPr>
    </w:p>
    <w:p>
      <w:pPr>
        <w:pStyle w:val="19"/>
        <w:widowControl/>
        <w:spacing w:line="480" w:lineRule="exact"/>
        <w:rPr>
          <w:rFonts w:ascii="宋体" w:hAnsi="宋体" w:cs="宋体"/>
          <w:color w:val="auto"/>
          <w:highlight w:val="none"/>
        </w:rPr>
      </w:pPr>
    </w:p>
    <w:p>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widowControl/>
        <w:spacing w:before="150" w:after="150"/>
        <w:jc w:val="center"/>
        <w:outlineLvl w:val="3"/>
        <w:rPr>
          <w:rFonts w:ascii="宋体" w:hAnsi="宋体" w:cs="宋体"/>
          <w:b/>
          <w:bCs/>
          <w:color w:val="auto"/>
          <w:kern w:val="0"/>
          <w:sz w:val="24"/>
          <w:highlight w:val="none"/>
        </w:rPr>
      </w:pPr>
      <w:r>
        <w:rPr>
          <w:rFonts w:hint="eastAsia" w:ascii="宋体" w:hAnsi="宋体" w:cs="宋体"/>
          <w:b/>
          <w:bCs/>
          <w:color w:val="auto"/>
          <w:kern w:val="0"/>
          <w:sz w:val="24"/>
          <w:highlight w:val="none"/>
        </w:rPr>
        <w:t>二-10中小企业声明函</w:t>
      </w:r>
    </w:p>
    <w:p>
      <w:pPr>
        <w:widowControl/>
        <w:spacing w:before="100" w:beforeAutospacing="1" w:after="240"/>
        <w:jc w:val="center"/>
        <w:rPr>
          <w:rFonts w:ascii="宋体" w:hAnsi="宋体" w:cs="宋体"/>
          <w:color w:val="auto"/>
          <w:kern w:val="0"/>
          <w:sz w:val="24"/>
          <w:highlight w:val="none"/>
        </w:rPr>
      </w:pPr>
      <w:r>
        <w:rPr>
          <w:rFonts w:hint="eastAsia" w:ascii="宋体" w:hAnsi="宋体" w:cs="宋体"/>
          <w:b/>
          <w:bCs/>
          <w:color w:val="auto"/>
          <w:kern w:val="0"/>
          <w:sz w:val="24"/>
          <w:highlight w:val="none"/>
        </w:rPr>
        <w:t>（以资格条件落实中小企业扶持政策时适用，若有）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中小企业声明函（货物）</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（采购文件中明确的所属行业）行业</w:t>
      </w:r>
      <w:r>
        <w:rPr>
          <w:rFonts w:hint="eastAsia" w:ascii="宋体" w:hAnsi="宋体" w:cs="宋体"/>
          <w:color w:val="auto"/>
          <w:kern w:val="0"/>
          <w:sz w:val="24"/>
          <w:highlight w:val="none"/>
        </w:rPr>
        <w:t>；制造商为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Cs w:val="21"/>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 （采购文件中明确的所属行业 ）行业；</w:t>
      </w:r>
      <w:r>
        <w:rPr>
          <w:rFonts w:hint="eastAsia" w:ascii="宋体" w:hAnsi="宋体" w:cs="宋体"/>
          <w:color w:val="auto"/>
          <w:kern w:val="0"/>
          <w:sz w:val="24"/>
          <w:highlight w:val="none"/>
        </w:rPr>
        <w:t>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企业名称（盖章）：</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240"/>
        <w:jc w:val="left"/>
        <w:rPr>
          <w:rFonts w:ascii="宋体" w:hAnsi="宋体" w:cs="宋体"/>
          <w:color w:val="auto"/>
          <w:kern w:val="0"/>
          <w:sz w:val="24"/>
          <w:highlight w:val="none"/>
        </w:rPr>
      </w:pPr>
    </w:p>
    <w:p>
      <w:pPr>
        <w:pageBreakBefore/>
        <w:widowControl/>
        <w:spacing w:before="150" w:after="150"/>
        <w:jc w:val="center"/>
        <w:outlineLvl w:val="4"/>
        <w:rPr>
          <w:rFonts w:ascii="宋体" w:hAnsi="宋体" w:cs="宋体"/>
          <w:b/>
          <w:bCs/>
          <w:color w:val="auto"/>
          <w:kern w:val="0"/>
          <w:sz w:val="20"/>
          <w:szCs w:val="20"/>
          <w:highlight w:val="none"/>
        </w:rPr>
      </w:pPr>
      <w:r>
        <w:rPr>
          <w:rFonts w:hint="eastAsia" w:ascii="宋体" w:hAnsi="宋体" w:cs="宋体"/>
          <w:b/>
          <w:bCs/>
          <w:color w:val="auto"/>
          <w:kern w:val="0"/>
          <w:sz w:val="24"/>
          <w:highlight w:val="none"/>
        </w:rPr>
        <w:t>中小企业声明函（工程、服务）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Cs w:val="21"/>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2. </w:t>
      </w:r>
      <w:r>
        <w:rPr>
          <w:rFonts w:hint="eastAsia" w:ascii="宋体" w:hAnsi="宋体" w:cs="宋体"/>
          <w:color w:val="auto"/>
          <w:kern w:val="0"/>
          <w:szCs w:val="21"/>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以上企业，不属于大企业的分支机构，不存在控股股东为大企业的情形，也不存在与大企业的负责人为同一人的情形。</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本企业对上述声明内容的真实性负责。如有虚假，将依法承担相应责任。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Cs w:val="21"/>
          <w:highlight w:val="none"/>
        </w:rPr>
      </w:pP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残疾人福利性单位声明函</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（以资格条件落实中小企业扶持政策时适用，若有）</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kern w:val="0"/>
          <w:szCs w:val="21"/>
          <w:highlight w:val="none"/>
          <w:u w:val="single"/>
        </w:rPr>
        <w:t>（填写“项目名称”）</w:t>
      </w:r>
      <w:r>
        <w:rPr>
          <w:rFonts w:hint="eastAsia" w:ascii="宋体" w:hAnsi="宋体" w:cs="宋体"/>
          <w:color w:val="auto"/>
          <w:kern w:val="0"/>
          <w:sz w:val="24"/>
          <w:highlight w:val="none"/>
        </w:rPr>
        <w:t>项目采购活动：</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）提供本投标人制造的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 w:val="24"/>
          <w:highlight w:val="none"/>
        </w:rPr>
        <w:t>货物，或提供其他残疾人福利性单位制造的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 w:val="24"/>
          <w:highlight w:val="none"/>
        </w:rPr>
        <w:t>货物（不包括使用非残疾人福利性单位注册商标的货物）。（说明：只有部分货物由残疾人福利企业制造的，在该货物后标※）</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）由本投标人承建的（填写“所投采购包、品目号”）工程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）由本投标人承接的（填写“所投采购包、品目号”）服务；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本投标人对上述声明的真实性负责。如有虚假，将依法承担相应责任。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备注：</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1、请投标人按照实际情况编制填写本声明函，并在相应的（）中打“√”。</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2、若《残疾人福利性单位声明函》内容不真实，</w:t>
      </w:r>
      <w:r>
        <w:rPr>
          <w:rFonts w:hint="eastAsia" w:ascii="宋体" w:hAnsi="宋体" w:cs="宋体"/>
          <w:b/>
          <w:bCs/>
          <w:color w:val="auto"/>
          <w:kern w:val="0"/>
          <w:sz w:val="24"/>
          <w:highlight w:val="none"/>
        </w:rPr>
        <w:t>视为提供虚假材料。</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widowControl/>
        <w:spacing w:before="75" w:after="75"/>
        <w:jc w:val="left"/>
        <w:rPr>
          <w:rFonts w:ascii="宋体" w:hAnsi="宋体" w:cs="宋体"/>
          <w:color w:val="auto"/>
          <w:kern w:val="0"/>
          <w:sz w:val="24"/>
          <w:highlight w:val="none"/>
        </w:rPr>
      </w:pP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20"/>
        <w:rPr>
          <w:rFonts w:ascii="宋体" w:hAnsi="宋体" w:cs="宋体"/>
          <w:color w:val="auto"/>
          <w:sz w:val="24"/>
          <w:szCs w:val="24"/>
          <w:highlight w:val="none"/>
        </w:rPr>
      </w:pPr>
    </w:p>
    <w:p>
      <w:pPr>
        <w:rPr>
          <w:rFonts w:ascii="宋体" w:hAnsi="宋体" w:cs="宋体"/>
          <w:color w:val="auto"/>
          <w:kern w:val="0"/>
          <w:sz w:val="24"/>
          <w:highlight w:val="none"/>
        </w:rPr>
      </w:pPr>
    </w:p>
    <w:p>
      <w:pPr>
        <w:pStyle w:val="20"/>
        <w:rPr>
          <w:rFonts w:ascii="宋体" w:hAnsi="宋体" w:cs="宋体"/>
          <w:color w:val="auto"/>
          <w:sz w:val="24"/>
          <w:szCs w:val="24"/>
          <w:highlight w:val="none"/>
        </w:rPr>
      </w:pPr>
    </w:p>
    <w:p>
      <w:pPr>
        <w:rPr>
          <w:rFonts w:ascii="宋体" w:hAnsi="宋体" w:cs="宋体"/>
          <w:color w:val="auto"/>
          <w:kern w:val="0"/>
          <w:sz w:val="24"/>
          <w:highlight w:val="none"/>
        </w:rPr>
      </w:pPr>
    </w:p>
    <w:p>
      <w:pPr>
        <w:pStyle w:val="20"/>
        <w:rPr>
          <w:rFonts w:ascii="宋体" w:hAnsi="宋体" w:cs="宋体"/>
          <w:color w:val="auto"/>
          <w:sz w:val="24"/>
          <w:szCs w:val="24"/>
          <w:highlight w:val="none"/>
        </w:rPr>
      </w:pPr>
    </w:p>
    <w:p>
      <w:pPr>
        <w:rPr>
          <w:rFonts w:ascii="宋体" w:hAnsi="宋体" w:cs="宋体"/>
          <w:color w:val="auto"/>
          <w:kern w:val="0"/>
          <w:sz w:val="24"/>
          <w:highlight w:val="none"/>
        </w:rPr>
      </w:pPr>
    </w:p>
    <w:p>
      <w:pPr>
        <w:pStyle w:val="20"/>
        <w:rPr>
          <w:rFonts w:ascii="宋体" w:hAnsi="宋体" w:cs="宋体"/>
          <w:color w:val="auto"/>
          <w:highlight w:val="none"/>
        </w:rPr>
      </w:pP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                          </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监狱企业证明材料</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投标人为监狱企业，提供本单位制造的货物（承接的服务），并在投标文件中提供省级以上监狱管理局、戒毒管理局（含新疆生产建设兵团）出具的属于监狱企业的证明文件。</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二-11联合体协议</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兹有</w:t>
      </w:r>
      <w:r>
        <w:rPr>
          <w:rFonts w:hint="eastAsia" w:ascii="宋体" w:hAnsi="宋体" w:cs="宋体"/>
          <w:color w:val="auto"/>
          <w:kern w:val="0"/>
          <w:szCs w:val="21"/>
          <w:highlight w:val="none"/>
          <w:u w:val="single"/>
        </w:rPr>
        <w:t>（填写“联合体中各方的全称”，各方的全称之间请用“、”分割）</w:t>
      </w:r>
      <w:r>
        <w:rPr>
          <w:rFonts w:hint="eastAsia" w:ascii="宋体" w:hAnsi="宋体" w:cs="宋体"/>
          <w:color w:val="auto"/>
          <w:kern w:val="0"/>
          <w:szCs w:val="21"/>
          <w:highlight w:val="none"/>
        </w:rPr>
        <w:t>自愿组成联合体，共同参加</w:t>
      </w:r>
      <w:r>
        <w:rPr>
          <w:rFonts w:hint="eastAsia" w:ascii="宋体" w:hAnsi="宋体" w:cs="宋体"/>
          <w:color w:val="auto"/>
          <w:kern w:val="0"/>
          <w:szCs w:val="21"/>
          <w:highlight w:val="none"/>
          <w:u w:val="single"/>
        </w:rPr>
        <w:t xml:space="preserve">（填写“项目名称”）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）的投标。现就联合体参加本项目投标的有关事宜达成下列协议：</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一、联合体各方应承担的工作和义务具体如下：</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1、牵头方（</w:t>
      </w:r>
      <w:r>
        <w:rPr>
          <w:rFonts w:hint="eastAsia" w:ascii="宋体" w:hAnsi="宋体" w:cs="宋体"/>
          <w:color w:val="auto"/>
          <w:kern w:val="0"/>
          <w:szCs w:val="21"/>
          <w:highlight w:val="none"/>
          <w:u w:val="single"/>
        </w:rPr>
        <w:t>全称</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（填写“工作及义务的具体内容”） </w:t>
      </w: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2、成员方：</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u w:val="single"/>
        </w:rPr>
        <w:t>（成员一的全称）</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（填写“工作及义务的具体内容”） </w:t>
      </w: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75" w:after="75" w:line="360" w:lineRule="auto"/>
        <w:ind w:firstLine="435"/>
        <w:jc w:val="left"/>
        <w:rPr>
          <w:rFonts w:ascii="宋体" w:hAnsi="宋体" w:cs="宋体"/>
          <w:color w:val="auto"/>
          <w:kern w:val="0"/>
          <w:sz w:val="24"/>
          <w:highlight w:val="none"/>
        </w:rPr>
      </w:pPr>
      <w:r>
        <w:rPr>
          <w:rFonts w:hint="eastAsia" w:ascii="宋体" w:hAnsi="宋体" w:cs="宋体"/>
          <w:color w:val="auto"/>
          <w:kern w:val="0"/>
          <w:sz w:val="24"/>
          <w:highlight w:val="none"/>
        </w:rPr>
        <w:t>二、联合体各方的合同金额占比，具体如下：</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1.牵头方（</w:t>
      </w:r>
      <w:r>
        <w:rPr>
          <w:rFonts w:hint="eastAsia" w:ascii="宋体" w:hAnsi="宋体" w:cs="宋体"/>
          <w:color w:val="auto"/>
          <w:kern w:val="0"/>
          <w:szCs w:val="21"/>
          <w:highlight w:val="none"/>
          <w:u w:val="single"/>
        </w:rPr>
        <w:t xml:space="preserve">  全称 </w:t>
      </w:r>
      <w:r>
        <w:rPr>
          <w:rFonts w:hint="eastAsia" w:ascii="宋体" w:hAnsi="宋体" w:cs="宋体"/>
          <w:color w:val="auto"/>
          <w:kern w:val="0"/>
          <w:szCs w:val="21"/>
          <w:highlight w:val="none"/>
        </w:rPr>
        <w:t>）的合同金额占合同总额的＿%；</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2.成员方：</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u w:val="single"/>
        </w:rPr>
        <w:t xml:space="preserve"> 成员1的全称 </w:t>
      </w:r>
      <w:r>
        <w:rPr>
          <w:rFonts w:hint="eastAsia" w:ascii="宋体" w:hAnsi="宋体" w:cs="宋体"/>
          <w:color w:val="auto"/>
          <w:kern w:val="0"/>
          <w:szCs w:val="21"/>
          <w:highlight w:val="none"/>
        </w:rPr>
        <w:t>）的合同金额占合同总额的＿%；</w:t>
      </w:r>
    </w:p>
    <w:p>
      <w:pPr>
        <w:widowControl/>
        <w:spacing w:before="75" w:after="75"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三、联合体各方约定：</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1、由</w:t>
      </w:r>
      <w:r>
        <w:rPr>
          <w:rFonts w:hint="eastAsia" w:ascii="宋体" w:hAnsi="宋体" w:cs="宋体"/>
          <w:color w:val="auto"/>
          <w:kern w:val="0"/>
          <w:szCs w:val="21"/>
          <w:highlight w:val="none"/>
          <w:u w:val="single"/>
        </w:rPr>
        <w:t>（填写“牵头方的全称”）</w:t>
      </w:r>
      <w:r>
        <w:rPr>
          <w:rFonts w:hint="eastAsia" w:ascii="宋体" w:hAnsi="宋体" w:cs="宋体"/>
          <w:color w:val="auto"/>
          <w:kern w:val="0"/>
          <w:szCs w:val="21"/>
          <w:highlight w:val="none"/>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2、联合体各方约定由</w:t>
      </w:r>
      <w:r>
        <w:rPr>
          <w:rFonts w:hint="eastAsia" w:ascii="宋体" w:hAnsi="宋体" w:cs="宋体"/>
          <w:color w:val="auto"/>
          <w:kern w:val="0"/>
          <w:szCs w:val="21"/>
          <w:highlight w:val="none"/>
          <w:u w:val="single"/>
        </w:rPr>
        <w:t>（填写“牵头方的全称”）</w:t>
      </w:r>
      <w:r>
        <w:rPr>
          <w:rFonts w:hint="eastAsia" w:ascii="宋体" w:hAnsi="宋体" w:cs="宋体"/>
          <w:color w:val="auto"/>
          <w:kern w:val="0"/>
          <w:szCs w:val="21"/>
          <w:highlight w:val="none"/>
        </w:rPr>
        <w:t>代表联合体办理投标保证金事宜。</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3、</w:t>
      </w:r>
      <w:r>
        <w:rPr>
          <w:rFonts w:hint="eastAsia" w:ascii="宋体" w:hAnsi="宋体" w:cs="宋体"/>
          <w:color w:val="auto"/>
          <w:kern w:val="0"/>
          <w:sz w:val="24"/>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kern w:val="0"/>
          <w:szCs w:val="21"/>
          <w:highlight w:val="none"/>
          <w:u w:val="single"/>
        </w:rPr>
        <w:t>（应填写“其中一方的全称”，如：联合体确定以成员一的条件参与商务部分的评标，则填写“成员一的全称”…；否则填写“无”）</w:t>
      </w:r>
      <w:r>
        <w:rPr>
          <w:rFonts w:hint="eastAsia" w:ascii="宋体" w:hAnsi="宋体" w:cs="宋体"/>
          <w:color w:val="auto"/>
          <w:kern w:val="0"/>
          <w:szCs w:val="21"/>
          <w:highlight w:val="none"/>
        </w:rPr>
        <w:t>的条件参与商务部分的评标。</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五、本协议自签署之日起生效，政府采购合同履行完毕后自动失效。</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六、本协议一式</w:t>
      </w:r>
      <w:r>
        <w:rPr>
          <w:rFonts w:hint="eastAsia" w:ascii="宋体" w:hAnsi="宋体" w:cs="宋体"/>
          <w:color w:val="auto"/>
          <w:kern w:val="0"/>
          <w:szCs w:val="21"/>
          <w:highlight w:val="none"/>
          <w:u w:val="single"/>
        </w:rPr>
        <w:t>（填写具体份数）</w:t>
      </w:r>
      <w:r>
        <w:rPr>
          <w:rFonts w:hint="eastAsia" w:ascii="宋体" w:hAnsi="宋体" w:cs="宋体"/>
          <w:color w:val="auto"/>
          <w:kern w:val="0"/>
          <w:szCs w:val="21"/>
          <w:highlight w:val="none"/>
        </w:rPr>
        <w:t>份，联合体各方各执一份，投标文件中提交一份。</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（以下无正文）</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牵头方：</w:t>
      </w:r>
      <w:r>
        <w:rPr>
          <w:rFonts w:hint="eastAsia" w:ascii="宋体" w:hAnsi="宋体" w:cs="宋体"/>
          <w:color w:val="auto"/>
          <w:kern w:val="0"/>
          <w:szCs w:val="21"/>
          <w:highlight w:val="none"/>
          <w:u w:val="single"/>
        </w:rPr>
        <w:t>（全称并加盖单位公章）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成员一：</w:t>
      </w:r>
      <w:r>
        <w:rPr>
          <w:rFonts w:hint="eastAsia" w:ascii="宋体" w:hAnsi="宋体" w:cs="宋体"/>
          <w:color w:val="auto"/>
          <w:kern w:val="0"/>
          <w:szCs w:val="21"/>
          <w:highlight w:val="none"/>
          <w:u w:val="single"/>
        </w:rPr>
        <w:t>（全称并加盖成员一的单位公章）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成员**：</w:t>
      </w:r>
      <w:r>
        <w:rPr>
          <w:rFonts w:hint="eastAsia" w:ascii="宋体" w:hAnsi="宋体" w:cs="宋体"/>
          <w:color w:val="auto"/>
          <w:kern w:val="0"/>
          <w:szCs w:val="21"/>
          <w:highlight w:val="none"/>
          <w:u w:val="single"/>
        </w:rPr>
        <w:t>（全称并加盖成员**的单位公章）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签署日期：</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日</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1、招标文件接受联合体投标且投标人为联合体的，投标人应提供本协议；否则无须提供。</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2、本协议由委托代理人签字或盖章的，应按照本章载明的格式提供“单位授权书”。</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3、在以联合体形式落实中小企业预留份额项目中，投标人除了要提供《中小企业声明函》，还需提供本协议。 </w:t>
      </w:r>
    </w:p>
    <w:p>
      <w:pPr>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pPr>
        <w:widowControl/>
        <w:spacing w:before="100" w:beforeAutospacing="1" w:after="100" w:afterAutospacing="1"/>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二-12分包意向协议</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甲方（总包方）：</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（即本项目的投标人）</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乙方（分包方）：</w:t>
      </w:r>
      <w:r>
        <w:rPr>
          <w:rFonts w:hint="eastAsia" w:ascii="宋体" w:hAnsi="宋体" w:cs="宋体"/>
          <w:color w:val="auto"/>
          <w:kern w:val="0"/>
          <w:szCs w:val="21"/>
          <w:highlight w:val="none"/>
          <w:u w:val="single"/>
        </w:rPr>
        <w:t>             </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兹有甲方参加</w:t>
      </w:r>
      <w:r>
        <w:rPr>
          <w:rFonts w:hint="eastAsia" w:ascii="宋体" w:hAnsi="宋体" w:cs="宋体"/>
          <w:color w:val="auto"/>
          <w:kern w:val="0"/>
          <w:szCs w:val="21"/>
          <w:highlight w:val="none"/>
          <w:u w:val="single"/>
        </w:rPr>
        <w:t xml:space="preserve">（填写“项目名称”）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）的政府采购活动。甲方期望将采购项目的部分采购标的分包给乙方完成，而乙方保证能够向甲方提供本</w:t>
      </w:r>
      <w:r>
        <w:rPr>
          <w:rFonts w:hint="eastAsia" w:ascii="宋体" w:hAnsi="宋体" w:cs="宋体"/>
          <w:color w:val="auto"/>
          <w:kern w:val="0"/>
          <w:sz w:val="24"/>
          <w:highlight w:val="none"/>
        </w:rPr>
        <w:t>协议</w:t>
      </w:r>
      <w:r>
        <w:rPr>
          <w:rFonts w:hint="eastAsia" w:ascii="宋体" w:hAnsi="宋体" w:cs="宋体"/>
          <w:color w:val="auto"/>
          <w:kern w:val="0"/>
          <w:szCs w:val="21"/>
          <w:highlight w:val="none"/>
        </w:rPr>
        <w:t>项下的</w:t>
      </w:r>
      <w:r>
        <w:rPr>
          <w:rFonts w:hint="eastAsia" w:ascii="宋体" w:hAnsi="宋体" w:cs="宋体"/>
          <w:color w:val="auto"/>
          <w:kern w:val="0"/>
          <w:sz w:val="24"/>
          <w:highlight w:val="none"/>
        </w:rPr>
        <w:t>采购标的，甲、乙双方就合同分包的有关事宜达成下列协议：</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一、分包标的</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u w:val="single"/>
        </w:rPr>
        <w:t>（根据双方的意向填写，可以是表格或文字描述）</w:t>
      </w:r>
      <w:r>
        <w:rPr>
          <w:rFonts w:hint="eastAsia" w:ascii="宋体" w:hAnsi="宋体" w:cs="宋体"/>
          <w:color w:val="auto"/>
          <w:kern w:val="0"/>
          <w:szCs w:val="21"/>
          <w:highlight w:val="none"/>
        </w:rPr>
        <w:t>。</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二、分包合同金额占比</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分包合同价占投标总价的比例：　　%</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三、其他条款</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3"/>
        <w:tblW w:w="84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 甲方：</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住所：</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单</w:t>
            </w:r>
            <w:r>
              <w:rPr>
                <w:rFonts w:hint="eastAsia" w:ascii="宋体" w:hAnsi="宋体" w:cs="宋体"/>
                <w:color w:val="auto"/>
                <w:spacing w:val="-15"/>
                <w:kern w:val="0"/>
                <w:szCs w:val="21"/>
                <w:highlight w:val="none"/>
              </w:rPr>
              <w:t>位负责人或委托代理人：</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单</w:t>
            </w:r>
            <w:r>
              <w:rPr>
                <w:rFonts w:hint="eastAsia" w:ascii="宋体" w:hAnsi="宋体" w:cs="宋体"/>
                <w:color w:val="auto"/>
                <w:spacing w:val="-15"/>
                <w:kern w:val="0"/>
                <w:szCs w:val="21"/>
                <w:highlight w:val="none"/>
              </w:rPr>
              <w:t>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联系方法：</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开户银行：</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账号：</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340" w:type="dxa"/>
            <w:gridSpan w:val="2"/>
            <w:tcMar>
              <w:top w:w="0" w:type="dxa"/>
              <w:left w:w="105" w:type="dxa"/>
              <w:bottom w:w="0" w:type="dxa"/>
              <w:right w:w="105" w:type="dxa"/>
            </w:tcMar>
          </w:tcPr>
          <w:p>
            <w:pPr>
              <w:widowControl/>
              <w:spacing w:line="400" w:lineRule="exact"/>
              <w:ind w:left="3045"/>
              <w:jc w:val="left"/>
              <w:rPr>
                <w:rFonts w:ascii="宋体" w:hAnsi="宋体" w:cs="宋体"/>
                <w:color w:val="auto"/>
                <w:kern w:val="0"/>
                <w:sz w:val="24"/>
                <w:highlight w:val="none"/>
              </w:rPr>
            </w:pPr>
            <w:r>
              <w:rPr>
                <w:rFonts w:hint="eastAsia" w:ascii="宋体" w:hAnsi="宋体" w:cs="宋体"/>
                <w:color w:val="auto"/>
                <w:kern w:val="0"/>
                <w:szCs w:val="21"/>
                <w:highlight w:val="none"/>
              </w:rPr>
              <w:t>签订地点：</w:t>
            </w:r>
            <w:r>
              <w:rPr>
                <w:rFonts w:hint="eastAsia" w:ascii="宋体" w:hAnsi="宋体" w:cs="宋体"/>
                <w:color w:val="auto"/>
                <w:kern w:val="0"/>
                <w:szCs w:val="21"/>
                <w:highlight w:val="none"/>
                <w:u w:val="single"/>
              </w:rPr>
              <w:t>                </w:t>
            </w:r>
          </w:p>
          <w:p>
            <w:pPr>
              <w:widowControl/>
              <w:spacing w:line="400" w:lineRule="exact"/>
              <w:ind w:left="3045"/>
              <w:jc w:val="left"/>
              <w:rPr>
                <w:rFonts w:ascii="宋体" w:hAnsi="宋体" w:cs="宋体"/>
                <w:color w:val="auto"/>
                <w:kern w:val="0"/>
                <w:sz w:val="24"/>
                <w:highlight w:val="none"/>
              </w:rPr>
            </w:pPr>
            <w:r>
              <w:rPr>
                <w:rFonts w:hint="eastAsia" w:ascii="宋体" w:hAnsi="宋体" w:cs="宋体"/>
                <w:color w:val="auto"/>
                <w:kern w:val="0"/>
                <w:szCs w:val="21"/>
                <w:highlight w:val="none"/>
              </w:rPr>
              <w:t>签订日期：    年   月   日</w:t>
            </w:r>
          </w:p>
        </w:tc>
      </w:tr>
    </w:tbl>
    <w:p>
      <w:pPr>
        <w:widowControl/>
        <w:spacing w:line="400" w:lineRule="exact"/>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b/>
          <w:bCs/>
          <w:color w:val="auto"/>
          <w:kern w:val="0"/>
          <w:szCs w:val="21"/>
          <w:highlight w:val="none"/>
        </w:rPr>
        <w:t>1.招标文件接受合同分包且投标人拟将合同分包的，应提供本协议；否则无须提供。</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b/>
          <w:bCs/>
          <w:color w:val="auto"/>
          <w:kern w:val="0"/>
          <w:szCs w:val="21"/>
          <w:highlight w:val="none"/>
        </w:rPr>
        <w:t>2.本协议由委托代理人签字或盖章的，应按照本章载明的格式提供“单位授权书”。</w:t>
      </w:r>
    </w:p>
    <w:p>
      <w:pPr>
        <w:widowControl/>
        <w:spacing w:line="400" w:lineRule="exact"/>
        <w:ind w:firstLine="435"/>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3.在以合同分包形式落实中小企业预留份额项目中，投标人除了要提供《中小企业声明函》，还需提供本协议。 </w:t>
      </w:r>
    </w:p>
    <w:p>
      <w:pPr>
        <w:pStyle w:val="20"/>
        <w:rPr>
          <w:rFonts w:ascii="宋体" w:hAnsi="宋体" w:cs="宋体"/>
          <w:color w:val="auto"/>
          <w:szCs w:val="21"/>
          <w:highlight w:val="none"/>
        </w:rPr>
      </w:pPr>
    </w:p>
    <w:p>
      <w:pPr>
        <w:rPr>
          <w:rFonts w:ascii="宋体" w:hAnsi="宋体" w:cs="宋体"/>
          <w:b/>
          <w:bCs/>
          <w:color w:val="auto"/>
          <w:kern w:val="0"/>
          <w:szCs w:val="21"/>
          <w:highlight w:val="none"/>
        </w:rPr>
      </w:pPr>
    </w:p>
    <w:p>
      <w:pPr>
        <w:pStyle w:val="20"/>
        <w:rPr>
          <w:rFonts w:ascii="宋体" w:hAnsi="宋体" w:cs="宋体"/>
          <w:color w:val="auto"/>
          <w:highlight w:val="none"/>
        </w:rPr>
      </w:pPr>
    </w:p>
    <w:p>
      <w:pPr>
        <w:rPr>
          <w:rFonts w:ascii="宋体" w:hAnsi="宋体" w:cs="宋体"/>
          <w:b/>
          <w:bCs/>
          <w:color w:val="auto"/>
          <w:kern w:val="0"/>
          <w:szCs w:val="21"/>
          <w:highlight w:val="none"/>
        </w:rPr>
      </w:pPr>
      <w:r>
        <w:rPr>
          <w:rFonts w:hint="eastAsia" w:ascii="宋体" w:hAnsi="宋体" w:cs="宋体"/>
          <w:b/>
          <w:bCs/>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二-13其他资格证明文件（若有）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二</w:t>
      </w:r>
      <w:r>
        <w:rPr>
          <w:rFonts w:hint="eastAsia" w:ascii="宋体" w:hAnsi="宋体" w:cs="宋体"/>
          <w:b/>
          <w:bCs/>
          <w:color w:val="auto"/>
          <w:kern w:val="0"/>
          <w:szCs w:val="21"/>
          <w:highlight w:val="none"/>
        </w:rPr>
        <w:t>-13-①具备履行合同所必需设备和专业技术能力专项证明材料（若有）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9"/>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二-13-②招标文件规定的其他资格证明文件（若有）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三、投标保证金</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1、在此项下提交的</w:t>
      </w:r>
      <w:r>
        <w:rPr>
          <w:rFonts w:hint="eastAsia" w:ascii="宋体" w:hAnsi="宋体" w:cs="宋体"/>
          <w:b/>
          <w:bCs/>
          <w:color w:val="auto"/>
          <w:kern w:val="0"/>
          <w:szCs w:val="21"/>
          <w:highlight w:val="none"/>
        </w:rPr>
        <w:t>“投标保证金”</w:t>
      </w:r>
      <w:r>
        <w:rPr>
          <w:rFonts w:hint="eastAsia" w:ascii="宋体" w:hAnsi="宋体" w:cs="宋体"/>
          <w:color w:val="auto"/>
          <w:kern w:val="0"/>
          <w:szCs w:val="21"/>
          <w:highlight w:val="none"/>
        </w:rPr>
        <w:t>材料可使用转账凭证复印件。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2、投标保证金是否已提交的认定按照招标文件第三章规定执行。</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75" w:after="75"/>
        <w:rPr>
          <w:rFonts w:ascii="宋体" w:hAnsi="宋体" w:cs="宋体"/>
          <w:b/>
          <w:bCs/>
          <w:color w:val="auto"/>
          <w:kern w:val="0"/>
          <w:sz w:val="24"/>
          <w:highlight w:val="none"/>
        </w:rPr>
      </w:pPr>
      <w:r>
        <w:rPr>
          <w:rFonts w:hint="eastAsia" w:ascii="宋体" w:hAnsi="宋体" w:cs="宋体"/>
          <w:b/>
          <w:bCs/>
          <w:color w:val="auto"/>
          <w:kern w:val="0"/>
          <w:sz w:val="24"/>
          <w:highlight w:val="none"/>
        </w:rPr>
        <w:t>封面格式</w:t>
      </w:r>
    </w:p>
    <w:p>
      <w:pPr>
        <w:pStyle w:val="36"/>
        <w:rPr>
          <w:rFonts w:ascii="宋体" w:hAnsi="宋体" w:cs="宋体"/>
          <w:b/>
          <w:bCs/>
          <w:color w:val="auto"/>
          <w:sz w:val="24"/>
          <w:highlight w:val="none"/>
        </w:rPr>
      </w:pPr>
    </w:p>
    <w:p>
      <w:pPr>
        <w:pStyle w:val="8"/>
        <w:rPr>
          <w:rFonts w:ascii="宋体" w:hAnsi="宋体" w:cs="宋体"/>
          <w:color w:val="auto"/>
          <w:highlight w:val="none"/>
        </w:rPr>
      </w:pPr>
    </w:p>
    <w:p>
      <w:pPr>
        <w:widowControl/>
        <w:spacing w:before="75" w:after="75"/>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投标文件</w:t>
      </w:r>
    </w:p>
    <w:p>
      <w:pPr>
        <w:widowControl/>
        <w:spacing w:before="75" w:after="75"/>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（报价部分）</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（填写正本或副本）</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项目名称：（由投标人填写）</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项目编号：（由投标人填写）</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所投合同包：（由投标人填写）</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投标人：（填写“全称”）</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（由投标人填写）年（由投标人填写）月</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pStyle w:val="6"/>
        <w:rPr>
          <w:rFonts w:ascii="宋体" w:hAnsi="宋体" w:cs="宋体"/>
          <w:color w:val="auto"/>
          <w:kern w:val="0"/>
          <w:sz w:val="32"/>
          <w:szCs w:val="32"/>
          <w:highlight w:val="none"/>
        </w:rPr>
      </w:pPr>
    </w:p>
    <w:p>
      <w:pPr>
        <w:rPr>
          <w:rFonts w:ascii="宋体" w:hAnsi="宋体" w:cs="宋体"/>
          <w:color w:val="auto"/>
          <w:highlight w:val="none"/>
        </w:rPr>
      </w:pPr>
    </w:p>
    <w:p>
      <w:pPr>
        <w:rPr>
          <w:rFonts w:ascii="宋体" w:hAnsi="宋体" w:cs="宋体"/>
          <w:color w:val="auto"/>
          <w:highlight w:val="none"/>
        </w:rPr>
      </w:pPr>
    </w:p>
    <w:p>
      <w:pPr>
        <w:rPr>
          <w:rStyle w:val="27"/>
          <w:rFonts w:ascii="宋体" w:hAnsi="宋体" w:cs="宋体"/>
          <w:color w:val="auto"/>
          <w:szCs w:val="21"/>
          <w:highlight w:val="none"/>
        </w:rPr>
      </w:pPr>
      <w:r>
        <w:rPr>
          <w:rStyle w:val="27"/>
          <w:rFonts w:hint="eastAsia" w:ascii="宋体" w:hAnsi="宋体" w:cs="宋体"/>
          <w:color w:val="auto"/>
          <w:szCs w:val="21"/>
          <w:highlight w:val="none"/>
        </w:rPr>
        <w:br w:type="page"/>
      </w:r>
    </w:p>
    <w:p>
      <w:pPr>
        <w:pStyle w:val="19"/>
        <w:widowControl/>
        <w:jc w:val="center"/>
        <w:rPr>
          <w:rFonts w:ascii="宋体" w:hAnsi="宋体" w:cs="宋体"/>
          <w:color w:val="auto"/>
          <w:highlight w:val="none"/>
        </w:rPr>
      </w:pPr>
      <w:r>
        <w:rPr>
          <w:rStyle w:val="27"/>
          <w:rFonts w:hint="eastAsia" w:ascii="宋体" w:hAnsi="宋体" w:cs="宋体"/>
          <w:color w:val="auto"/>
          <w:sz w:val="21"/>
          <w:szCs w:val="21"/>
          <w:highlight w:val="none"/>
        </w:rPr>
        <w:t>一、开标一览表</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pPr>
        <w:pStyle w:val="19"/>
        <w:widowControl/>
        <w:jc w:val="right"/>
        <w:rPr>
          <w:rFonts w:ascii="宋体" w:hAnsi="宋体" w:cs="宋体"/>
          <w:color w:val="auto"/>
          <w:sz w:val="21"/>
          <w:szCs w:val="21"/>
          <w:highlight w:val="none"/>
        </w:rPr>
      </w:pPr>
      <w:r>
        <w:rPr>
          <w:rFonts w:hint="eastAsia" w:ascii="宋体" w:hAnsi="宋体" w:cs="宋体"/>
          <w:color w:val="auto"/>
          <w:sz w:val="21"/>
          <w:szCs w:val="21"/>
          <w:highlight w:val="none"/>
        </w:rPr>
        <w:t>货币及单位：人民币元</w:t>
      </w:r>
    </w:p>
    <w:tbl>
      <w:tblPr>
        <w:tblStyle w:val="23"/>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58"/>
        <w:gridCol w:w="1200"/>
        <w:gridCol w:w="1730"/>
        <w:gridCol w:w="854"/>
        <w:gridCol w:w="935"/>
        <w:gridCol w:w="118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atLeast"/>
        </w:trPr>
        <w:tc>
          <w:tcPr>
            <w:tcW w:w="583" w:type="dxa"/>
            <w:noWrap/>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合同包</w:t>
            </w:r>
          </w:p>
        </w:tc>
        <w:tc>
          <w:tcPr>
            <w:tcW w:w="1558"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200"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单价</w:t>
            </w:r>
          </w:p>
        </w:tc>
        <w:tc>
          <w:tcPr>
            <w:tcW w:w="1730"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投标报价总价</w:t>
            </w:r>
          </w:p>
        </w:tc>
        <w:tc>
          <w:tcPr>
            <w:tcW w:w="854"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w:t>
            </w:r>
          </w:p>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地点</w:t>
            </w:r>
          </w:p>
        </w:tc>
        <w:tc>
          <w:tcPr>
            <w:tcW w:w="935"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w:t>
            </w:r>
          </w:p>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时间</w:t>
            </w:r>
          </w:p>
        </w:tc>
        <w:tc>
          <w:tcPr>
            <w:tcW w:w="1188"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1004" w:type="dxa"/>
            <w:noWrap/>
            <w:vAlign w:val="center"/>
          </w:tcPr>
          <w:p>
            <w:pPr>
              <w:pStyle w:val="19"/>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583" w:type="dxa"/>
            <w:noWrap/>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58" w:type="dxa"/>
            <w:noWrap/>
            <w:vAlign w:val="center"/>
          </w:tcPr>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sz w:val="21"/>
                <w:szCs w:val="21"/>
                <w:highlight w:val="none"/>
              </w:rPr>
            </w:pPr>
          </w:p>
        </w:tc>
        <w:tc>
          <w:tcPr>
            <w:tcW w:w="1200" w:type="dxa"/>
            <w:noWrap/>
            <w:vAlign w:val="center"/>
          </w:tcPr>
          <w:p>
            <w:pPr>
              <w:pStyle w:val="19"/>
              <w:widowControl/>
              <w:jc w:val="center"/>
              <w:rPr>
                <w:rFonts w:ascii="宋体" w:hAnsi="宋体" w:cs="宋体"/>
                <w:color w:val="auto"/>
                <w:sz w:val="21"/>
                <w:szCs w:val="21"/>
                <w:highlight w:val="none"/>
              </w:rPr>
            </w:pPr>
          </w:p>
        </w:tc>
        <w:tc>
          <w:tcPr>
            <w:tcW w:w="1730" w:type="dxa"/>
            <w:noWrap/>
            <w:vAlign w:val="center"/>
          </w:tcPr>
          <w:p>
            <w:pPr>
              <w:pStyle w:val="19"/>
              <w:widowControl/>
              <w:jc w:val="center"/>
              <w:rPr>
                <w:rFonts w:ascii="宋体" w:hAnsi="宋体" w:cs="宋体"/>
                <w:color w:val="auto"/>
                <w:sz w:val="21"/>
                <w:szCs w:val="21"/>
                <w:highlight w:val="none"/>
              </w:rPr>
            </w:pPr>
          </w:p>
        </w:tc>
        <w:tc>
          <w:tcPr>
            <w:tcW w:w="854" w:type="dxa"/>
            <w:noWrap/>
            <w:vAlign w:val="center"/>
          </w:tcPr>
          <w:p>
            <w:pPr>
              <w:pStyle w:val="19"/>
              <w:widowControl/>
              <w:jc w:val="center"/>
              <w:rPr>
                <w:rFonts w:ascii="宋体" w:hAnsi="宋体" w:cs="宋体"/>
                <w:color w:val="auto"/>
                <w:sz w:val="21"/>
                <w:szCs w:val="21"/>
                <w:highlight w:val="none"/>
              </w:rPr>
            </w:pPr>
          </w:p>
        </w:tc>
        <w:tc>
          <w:tcPr>
            <w:tcW w:w="935" w:type="dxa"/>
            <w:noWrap/>
            <w:vAlign w:val="center"/>
          </w:tcPr>
          <w:p>
            <w:pPr>
              <w:pStyle w:val="19"/>
              <w:widowControl/>
              <w:jc w:val="center"/>
              <w:rPr>
                <w:rFonts w:ascii="宋体" w:hAnsi="宋体" w:cs="宋体"/>
                <w:color w:val="auto"/>
                <w:sz w:val="21"/>
                <w:szCs w:val="21"/>
                <w:highlight w:val="none"/>
              </w:rPr>
            </w:pPr>
          </w:p>
        </w:tc>
        <w:tc>
          <w:tcPr>
            <w:tcW w:w="1188" w:type="dxa"/>
            <w:noWrap/>
            <w:vAlign w:val="center"/>
          </w:tcPr>
          <w:p>
            <w:pPr>
              <w:pStyle w:val="19"/>
              <w:widowControl/>
              <w:jc w:val="center"/>
              <w:rPr>
                <w:rFonts w:ascii="宋体" w:hAnsi="宋体" w:cs="宋体"/>
                <w:color w:val="auto"/>
                <w:sz w:val="21"/>
                <w:szCs w:val="21"/>
                <w:highlight w:val="none"/>
              </w:rPr>
            </w:pPr>
          </w:p>
        </w:tc>
        <w:tc>
          <w:tcPr>
            <w:tcW w:w="1004" w:type="dxa"/>
            <w:noWrap/>
            <w:vAlign w:val="center"/>
          </w:tcPr>
          <w:p>
            <w:pPr>
              <w:pStyle w:val="19"/>
              <w:widowControl/>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583" w:type="dxa"/>
            <w:noWrap/>
            <w:vAlign w:val="center"/>
          </w:tcPr>
          <w:p>
            <w:pPr>
              <w:spacing w:line="500" w:lineRule="exact"/>
              <w:jc w:val="center"/>
              <w:rPr>
                <w:rFonts w:ascii="宋体" w:hAnsi="宋体" w:cs="宋体"/>
                <w:color w:val="auto"/>
                <w:sz w:val="24"/>
                <w:highlight w:val="none"/>
              </w:rPr>
            </w:pPr>
          </w:p>
        </w:tc>
        <w:tc>
          <w:tcPr>
            <w:tcW w:w="1558" w:type="dxa"/>
            <w:noWrap/>
            <w:vAlign w:val="center"/>
          </w:tcPr>
          <w:p>
            <w:pPr>
              <w:spacing w:line="500" w:lineRule="exact"/>
              <w:jc w:val="center"/>
              <w:rPr>
                <w:rFonts w:ascii="宋体" w:hAnsi="宋体" w:cs="宋体"/>
                <w:color w:val="auto"/>
                <w:sz w:val="24"/>
                <w:highlight w:val="none"/>
              </w:rPr>
            </w:pPr>
          </w:p>
        </w:tc>
        <w:tc>
          <w:tcPr>
            <w:tcW w:w="1200" w:type="dxa"/>
            <w:noWrap/>
            <w:vAlign w:val="center"/>
          </w:tcPr>
          <w:p>
            <w:pPr>
              <w:spacing w:line="500" w:lineRule="exact"/>
              <w:jc w:val="center"/>
              <w:rPr>
                <w:rFonts w:ascii="宋体" w:hAnsi="宋体" w:cs="宋体"/>
                <w:color w:val="auto"/>
                <w:sz w:val="24"/>
                <w:highlight w:val="none"/>
              </w:rPr>
            </w:pPr>
          </w:p>
        </w:tc>
        <w:tc>
          <w:tcPr>
            <w:tcW w:w="1730" w:type="dxa"/>
            <w:noWrap/>
            <w:vAlign w:val="center"/>
          </w:tcPr>
          <w:p>
            <w:pPr>
              <w:spacing w:line="500" w:lineRule="exact"/>
              <w:jc w:val="center"/>
              <w:rPr>
                <w:rFonts w:ascii="宋体" w:hAnsi="宋体" w:cs="宋体"/>
                <w:color w:val="auto"/>
                <w:sz w:val="24"/>
                <w:highlight w:val="none"/>
              </w:rPr>
            </w:pPr>
          </w:p>
        </w:tc>
        <w:tc>
          <w:tcPr>
            <w:tcW w:w="854" w:type="dxa"/>
            <w:noWrap/>
            <w:vAlign w:val="center"/>
          </w:tcPr>
          <w:p>
            <w:pPr>
              <w:spacing w:line="500" w:lineRule="exact"/>
              <w:rPr>
                <w:rFonts w:ascii="宋体" w:hAnsi="宋体" w:cs="宋体"/>
                <w:color w:val="auto"/>
                <w:sz w:val="24"/>
                <w:highlight w:val="none"/>
              </w:rPr>
            </w:pPr>
          </w:p>
        </w:tc>
        <w:tc>
          <w:tcPr>
            <w:tcW w:w="935" w:type="dxa"/>
            <w:noWrap/>
            <w:vAlign w:val="center"/>
          </w:tcPr>
          <w:p>
            <w:pPr>
              <w:spacing w:line="500" w:lineRule="exact"/>
              <w:rPr>
                <w:rFonts w:ascii="宋体" w:hAnsi="宋体" w:cs="宋体"/>
                <w:color w:val="auto"/>
                <w:sz w:val="24"/>
                <w:highlight w:val="none"/>
              </w:rPr>
            </w:pPr>
          </w:p>
        </w:tc>
        <w:tc>
          <w:tcPr>
            <w:tcW w:w="1188" w:type="dxa"/>
            <w:noWrap/>
            <w:vAlign w:val="center"/>
          </w:tcPr>
          <w:p>
            <w:pPr>
              <w:spacing w:line="500" w:lineRule="exact"/>
              <w:rPr>
                <w:rFonts w:ascii="宋体" w:hAnsi="宋体" w:cs="宋体"/>
                <w:color w:val="auto"/>
                <w:sz w:val="24"/>
                <w:highlight w:val="none"/>
              </w:rPr>
            </w:pPr>
          </w:p>
        </w:tc>
        <w:tc>
          <w:tcPr>
            <w:tcW w:w="1004" w:type="dxa"/>
            <w:noWrap/>
            <w:vAlign w:val="center"/>
          </w:tcPr>
          <w:p>
            <w:pPr>
              <w:spacing w:line="5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583" w:type="dxa"/>
            <w:noWrap/>
            <w:vAlign w:val="center"/>
          </w:tcPr>
          <w:p>
            <w:pPr>
              <w:spacing w:line="500" w:lineRule="exact"/>
              <w:jc w:val="center"/>
              <w:rPr>
                <w:rFonts w:ascii="宋体" w:hAnsi="宋体" w:cs="宋体"/>
                <w:color w:val="auto"/>
                <w:sz w:val="24"/>
                <w:highlight w:val="none"/>
              </w:rPr>
            </w:pPr>
          </w:p>
        </w:tc>
        <w:tc>
          <w:tcPr>
            <w:tcW w:w="1558" w:type="dxa"/>
            <w:noWrap/>
            <w:vAlign w:val="center"/>
          </w:tcPr>
          <w:p>
            <w:pPr>
              <w:spacing w:line="500" w:lineRule="exact"/>
              <w:jc w:val="center"/>
              <w:rPr>
                <w:rFonts w:ascii="宋体" w:hAnsi="宋体" w:cs="宋体"/>
                <w:color w:val="auto"/>
                <w:sz w:val="24"/>
                <w:highlight w:val="none"/>
              </w:rPr>
            </w:pPr>
          </w:p>
        </w:tc>
        <w:tc>
          <w:tcPr>
            <w:tcW w:w="1200" w:type="dxa"/>
            <w:noWrap/>
            <w:vAlign w:val="center"/>
          </w:tcPr>
          <w:p>
            <w:pPr>
              <w:spacing w:line="500" w:lineRule="exact"/>
              <w:jc w:val="center"/>
              <w:rPr>
                <w:rFonts w:ascii="宋体" w:hAnsi="宋体" w:cs="宋体"/>
                <w:color w:val="auto"/>
                <w:sz w:val="24"/>
                <w:highlight w:val="none"/>
              </w:rPr>
            </w:pPr>
          </w:p>
        </w:tc>
        <w:tc>
          <w:tcPr>
            <w:tcW w:w="1730" w:type="dxa"/>
            <w:noWrap/>
            <w:vAlign w:val="center"/>
          </w:tcPr>
          <w:p>
            <w:pPr>
              <w:spacing w:line="500" w:lineRule="exact"/>
              <w:jc w:val="center"/>
              <w:rPr>
                <w:rFonts w:ascii="宋体" w:hAnsi="宋体" w:cs="宋体"/>
                <w:color w:val="auto"/>
                <w:sz w:val="24"/>
                <w:highlight w:val="none"/>
              </w:rPr>
            </w:pPr>
          </w:p>
        </w:tc>
        <w:tc>
          <w:tcPr>
            <w:tcW w:w="854" w:type="dxa"/>
            <w:noWrap/>
            <w:vAlign w:val="center"/>
          </w:tcPr>
          <w:p>
            <w:pPr>
              <w:spacing w:line="500" w:lineRule="exact"/>
              <w:rPr>
                <w:rFonts w:ascii="宋体" w:hAnsi="宋体" w:cs="宋体"/>
                <w:color w:val="auto"/>
                <w:sz w:val="24"/>
                <w:highlight w:val="none"/>
              </w:rPr>
            </w:pPr>
          </w:p>
        </w:tc>
        <w:tc>
          <w:tcPr>
            <w:tcW w:w="935" w:type="dxa"/>
            <w:noWrap/>
            <w:vAlign w:val="center"/>
          </w:tcPr>
          <w:p>
            <w:pPr>
              <w:spacing w:line="500" w:lineRule="exact"/>
              <w:rPr>
                <w:rFonts w:ascii="宋体" w:hAnsi="宋体" w:cs="宋体"/>
                <w:color w:val="auto"/>
                <w:sz w:val="24"/>
                <w:highlight w:val="none"/>
              </w:rPr>
            </w:pPr>
          </w:p>
        </w:tc>
        <w:tc>
          <w:tcPr>
            <w:tcW w:w="1188" w:type="dxa"/>
            <w:noWrap/>
            <w:vAlign w:val="center"/>
          </w:tcPr>
          <w:p>
            <w:pPr>
              <w:spacing w:line="500" w:lineRule="exact"/>
              <w:rPr>
                <w:rFonts w:ascii="宋体" w:hAnsi="宋体" w:cs="宋体"/>
                <w:color w:val="auto"/>
                <w:sz w:val="24"/>
                <w:highlight w:val="none"/>
              </w:rPr>
            </w:pPr>
          </w:p>
        </w:tc>
        <w:tc>
          <w:tcPr>
            <w:tcW w:w="1004" w:type="dxa"/>
            <w:noWrap/>
            <w:vAlign w:val="center"/>
          </w:tcPr>
          <w:p>
            <w:pPr>
              <w:spacing w:line="500" w:lineRule="exact"/>
              <w:rPr>
                <w:rFonts w:ascii="宋体" w:hAnsi="宋体" w:cs="宋体"/>
                <w:color w:val="auto"/>
                <w:sz w:val="24"/>
                <w:highlight w:val="none"/>
              </w:rPr>
            </w:pPr>
          </w:p>
        </w:tc>
      </w:tr>
    </w:tbl>
    <w:p>
      <w:pPr>
        <w:pStyle w:val="19"/>
        <w:widowControl/>
        <w:jc w:val="right"/>
        <w:rPr>
          <w:rFonts w:ascii="宋体" w:hAnsi="宋体" w:cs="宋体"/>
          <w:color w:val="auto"/>
          <w:sz w:val="21"/>
          <w:szCs w:val="21"/>
          <w:highlight w:val="none"/>
        </w:rPr>
      </w:pPr>
    </w:p>
    <w:p>
      <w:pPr>
        <w:pStyle w:val="19"/>
        <w:widowControl/>
        <w:rPr>
          <w:rFonts w:ascii="宋体" w:hAnsi="宋体" w:cs="宋体"/>
          <w:color w:val="auto"/>
          <w:highlight w:val="none"/>
        </w:rPr>
      </w:pPr>
      <w:r>
        <w:rPr>
          <w:rFonts w:hint="eastAsia" w:ascii="宋体" w:hAnsi="宋体" w:cs="宋体"/>
          <w:color w:val="auto"/>
          <w:sz w:val="21"/>
          <w:szCs w:val="21"/>
          <w:highlight w:val="none"/>
        </w:rPr>
        <w:t>★注意：</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1、本表应按照下列规定填写：</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1.1投标人应按照本表格式填写所投的合同包的“投标报价”。</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1.2本表中列示的“合同包”应与《投标分项报价表》中列示的“合同包”保持一致，即：若本表中列示的“合同包”为“1”时，《投标分项报价表》中列示的“合同包”亦应为“1”，以此类推。</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1.3“大写金额”指“投标报价”应用“壹、贰、叁、肆、伍、陆、柒、捌、玖、拾、佰、仟、万、亿、元、角、分、零”等进行填写。</w:t>
      </w:r>
    </w:p>
    <w:p>
      <w:pPr>
        <w:pStyle w:val="19"/>
        <w:widowControl/>
        <w:rPr>
          <w:rFonts w:ascii="宋体" w:hAnsi="宋体" w:cs="宋体"/>
          <w:color w:val="auto"/>
          <w:highlight w:val="none"/>
        </w:rPr>
      </w:pP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Style w:val="27"/>
          <w:rFonts w:ascii="宋体" w:hAnsi="宋体" w:cs="宋体"/>
          <w:color w:val="auto"/>
          <w:sz w:val="21"/>
          <w:szCs w:val="21"/>
          <w:highlight w:val="none"/>
        </w:rPr>
      </w:pPr>
    </w:p>
    <w:p>
      <w:pPr>
        <w:pStyle w:val="19"/>
        <w:widowControl/>
        <w:jc w:val="center"/>
        <w:rPr>
          <w:rFonts w:ascii="宋体" w:hAnsi="宋体" w:cs="宋体"/>
          <w:color w:val="auto"/>
          <w:highlight w:val="none"/>
        </w:rPr>
      </w:pPr>
      <w:r>
        <w:rPr>
          <w:rStyle w:val="27"/>
          <w:rFonts w:hint="eastAsia" w:ascii="宋体" w:hAnsi="宋体" w:cs="宋体"/>
          <w:color w:val="auto"/>
          <w:sz w:val="21"/>
          <w:szCs w:val="21"/>
          <w:highlight w:val="none"/>
        </w:rPr>
        <w:t>二、投标分项报价表</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w:t>
      </w:r>
    </w:p>
    <w:p>
      <w:pPr>
        <w:pStyle w:val="19"/>
        <w:widowControl/>
        <w:spacing w:line="340" w:lineRule="exact"/>
        <w:jc w:val="right"/>
        <w:rPr>
          <w:rFonts w:ascii="宋体" w:hAnsi="宋体" w:cs="宋体"/>
          <w:color w:val="auto"/>
          <w:highlight w:val="none"/>
        </w:rPr>
      </w:pPr>
      <w:r>
        <w:rPr>
          <w:rFonts w:hint="eastAsia" w:ascii="宋体" w:hAnsi="宋体" w:cs="宋体"/>
          <w:color w:val="auto"/>
          <w:sz w:val="21"/>
          <w:szCs w:val="21"/>
          <w:highlight w:val="none"/>
        </w:rPr>
        <w:t>货币及单位：人民币元</w:t>
      </w:r>
    </w:p>
    <w:tbl>
      <w:tblPr>
        <w:tblStyle w:val="23"/>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合同包</w:t>
            </w:r>
          </w:p>
        </w:tc>
        <w:tc>
          <w:tcPr>
            <w:tcW w:w="926"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品目号</w:t>
            </w:r>
          </w:p>
        </w:tc>
        <w:tc>
          <w:tcPr>
            <w:tcW w:w="1468"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投标标的</w:t>
            </w:r>
          </w:p>
        </w:tc>
        <w:tc>
          <w:tcPr>
            <w:tcW w:w="1206"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规格</w:t>
            </w:r>
          </w:p>
        </w:tc>
        <w:tc>
          <w:tcPr>
            <w:tcW w:w="821"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来源地</w:t>
            </w:r>
          </w:p>
        </w:tc>
        <w:tc>
          <w:tcPr>
            <w:tcW w:w="962"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单价</w:t>
            </w:r>
          </w:p>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（现场）</w:t>
            </w:r>
          </w:p>
        </w:tc>
        <w:tc>
          <w:tcPr>
            <w:tcW w:w="559"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数量</w:t>
            </w:r>
          </w:p>
        </w:tc>
        <w:tc>
          <w:tcPr>
            <w:tcW w:w="1058"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总价</w:t>
            </w:r>
          </w:p>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（现场）</w:t>
            </w:r>
          </w:p>
        </w:tc>
        <w:tc>
          <w:tcPr>
            <w:tcW w:w="780"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restart"/>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p>
            <w:pPr>
              <w:spacing w:line="340" w:lineRule="exact"/>
              <w:rPr>
                <w:rFonts w:ascii="宋体" w:hAnsi="宋体" w:cs="宋体"/>
                <w:color w:val="auto"/>
                <w:highlight w:val="none"/>
              </w:rPr>
            </w:pPr>
          </w:p>
          <w:p>
            <w:pPr>
              <w:pStyle w:val="36"/>
              <w:spacing w:line="340" w:lineRule="exact"/>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1468" w:type="dxa"/>
            <w:shd w:val="clear" w:color="auto" w:fill="auto"/>
            <w:tcMar>
              <w:top w:w="0" w:type="dxa"/>
              <w:left w:w="105" w:type="dxa"/>
              <w:bottom w:w="0" w:type="dxa"/>
              <w:right w:w="105" w:type="dxa"/>
            </w:tcMar>
            <w:vAlign w:val="center"/>
          </w:tcPr>
          <w:p>
            <w:pPr>
              <w:pStyle w:val="19"/>
              <w:widowControl/>
              <w:spacing w:line="340" w:lineRule="exact"/>
              <w:rPr>
                <w:rFonts w:ascii="宋体" w:hAnsi="宋体" w:cs="宋体"/>
                <w:color w:val="auto"/>
                <w:sz w:val="21"/>
                <w:szCs w:val="21"/>
                <w:highlight w:val="none"/>
              </w:rPr>
            </w:pPr>
          </w:p>
        </w:tc>
        <w:tc>
          <w:tcPr>
            <w:tcW w:w="1206"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821"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962"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559"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1058"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780"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926"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sz w:val="21"/>
                <w:szCs w:val="21"/>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36"/>
              <w:spacing w:line="340" w:lineRule="exact"/>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9"/>
              <w:widowControl/>
              <w:spacing w:line="340" w:lineRule="exact"/>
              <w:jc w:val="center"/>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r>
              <w:rPr>
                <w:rFonts w:hint="eastAsia" w:ascii="宋体" w:hAnsi="宋体" w:cs="宋体"/>
                <w:color w:val="auto"/>
                <w:highlight w:val="none"/>
              </w:rPr>
              <w:t>合计</w:t>
            </w: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bl>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★注意：</w:t>
      </w:r>
    </w:p>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1、本表应按照下列规定填写：</w:t>
      </w:r>
    </w:p>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1.2“投标标的”为货物的：</w:t>
      </w:r>
      <w:r>
        <w:rPr>
          <w:rStyle w:val="27"/>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项下应填写货物制造厂商赋予的品牌（属于节能、环保清单产品的货物，填写的品牌名称应与清单载明的品牌名称保持一致）及具体型号。</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p>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1.3“投标标的”为服务的：</w:t>
      </w:r>
      <w:r>
        <w:rPr>
          <w:rStyle w:val="27"/>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27"/>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p>
    <w:p>
      <w:pPr>
        <w:pStyle w:val="19"/>
        <w:widowControl/>
        <w:spacing w:line="340" w:lineRule="exact"/>
        <w:rPr>
          <w:rFonts w:ascii="宋体" w:hAnsi="宋体" w:cs="宋体"/>
          <w:color w:val="auto"/>
          <w:highlight w:val="none"/>
        </w:rPr>
      </w:pPr>
      <w:r>
        <w:rPr>
          <w:rFonts w:hint="eastAsia" w:ascii="宋体" w:hAnsi="宋体" w:cs="宋体"/>
          <w:color w:val="auto"/>
          <w:sz w:val="21"/>
          <w:szCs w:val="21"/>
          <w:highlight w:val="none"/>
        </w:rPr>
        <w:t>1.4同一合同包中，</w:t>
      </w:r>
      <w:r>
        <w:rPr>
          <w:rStyle w:val="27"/>
          <w:rFonts w:hint="eastAsia" w:ascii="宋体" w:hAnsi="宋体" w:cs="宋体"/>
          <w:color w:val="auto"/>
          <w:sz w:val="21"/>
          <w:szCs w:val="21"/>
          <w:highlight w:val="none"/>
        </w:rPr>
        <w:t>“单价（现场）”</w:t>
      </w:r>
      <w:r>
        <w:rPr>
          <w:rFonts w:hint="eastAsia" w:ascii="宋体" w:hAnsi="宋体" w:cs="宋体"/>
          <w:color w:val="auto"/>
          <w:sz w:val="21"/>
          <w:szCs w:val="21"/>
          <w:highlight w:val="none"/>
        </w:rPr>
        <w:t>×</w:t>
      </w:r>
      <w:r>
        <w:rPr>
          <w:rStyle w:val="27"/>
          <w:rFonts w:hint="eastAsia" w:ascii="宋体" w:hAnsi="宋体" w:cs="宋体"/>
          <w:color w:val="auto"/>
          <w:sz w:val="21"/>
          <w:szCs w:val="21"/>
          <w:highlight w:val="none"/>
        </w:rPr>
        <w:t>“数量”</w:t>
      </w:r>
      <w:r>
        <w:rPr>
          <w:rFonts w:hint="eastAsia" w:ascii="宋体" w:hAnsi="宋体" w:cs="宋体"/>
          <w:color w:val="auto"/>
          <w:sz w:val="21"/>
          <w:szCs w:val="21"/>
          <w:highlight w:val="none"/>
        </w:rPr>
        <w:t>=</w:t>
      </w:r>
      <w:r>
        <w:rPr>
          <w:rStyle w:val="27"/>
          <w:rFonts w:hint="eastAsia" w:ascii="宋体" w:hAnsi="宋体" w:cs="宋体"/>
          <w:color w:val="auto"/>
          <w:sz w:val="21"/>
          <w:szCs w:val="21"/>
          <w:highlight w:val="none"/>
        </w:rPr>
        <w:t>“总价（现场）”</w:t>
      </w:r>
      <w:r>
        <w:rPr>
          <w:rFonts w:hint="eastAsia" w:ascii="宋体" w:hAnsi="宋体" w:cs="宋体"/>
          <w:color w:val="auto"/>
          <w:sz w:val="21"/>
          <w:szCs w:val="21"/>
          <w:highlight w:val="none"/>
        </w:rPr>
        <w:t>，全部品目号</w:t>
      </w:r>
      <w:r>
        <w:rPr>
          <w:rStyle w:val="27"/>
          <w:rFonts w:hint="eastAsia" w:ascii="宋体" w:hAnsi="宋体" w:cs="宋体"/>
          <w:color w:val="auto"/>
          <w:sz w:val="21"/>
          <w:szCs w:val="21"/>
          <w:highlight w:val="none"/>
        </w:rPr>
        <w:t>“总价（现场）”</w:t>
      </w:r>
      <w:r>
        <w:rPr>
          <w:rFonts w:hint="eastAsia" w:ascii="宋体" w:hAnsi="宋体" w:cs="宋体"/>
          <w:color w:val="auto"/>
          <w:sz w:val="21"/>
          <w:szCs w:val="21"/>
          <w:highlight w:val="none"/>
        </w:rPr>
        <w:t>的合计金额应与《开标一览表》中相应合同包列示的</w:t>
      </w:r>
      <w:r>
        <w:rPr>
          <w:rStyle w:val="27"/>
          <w:rFonts w:hint="eastAsia" w:ascii="宋体" w:hAnsi="宋体" w:cs="宋体"/>
          <w:color w:val="auto"/>
          <w:sz w:val="21"/>
          <w:szCs w:val="21"/>
          <w:highlight w:val="none"/>
        </w:rPr>
        <w:t>“投标总价”</w:t>
      </w:r>
      <w:r>
        <w:rPr>
          <w:rFonts w:hint="eastAsia" w:ascii="宋体" w:hAnsi="宋体" w:cs="宋体"/>
          <w:color w:val="auto"/>
          <w:sz w:val="21"/>
          <w:szCs w:val="21"/>
          <w:highlight w:val="none"/>
        </w:rPr>
        <w:t>保持一致。</w:t>
      </w:r>
    </w:p>
    <w:p>
      <w:pPr>
        <w:pStyle w:val="19"/>
        <w:widowControl/>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27"/>
          <w:rFonts w:hint="eastAsia" w:ascii="宋体" w:hAnsi="宋体" w:cs="宋体"/>
          <w:color w:val="auto"/>
          <w:sz w:val="21"/>
          <w:szCs w:val="21"/>
          <w:highlight w:val="none"/>
        </w:rPr>
        <w:t>“备注”</w:t>
      </w:r>
      <w:r>
        <w:rPr>
          <w:rFonts w:hint="eastAsia" w:ascii="宋体" w:hAnsi="宋体" w:cs="宋体"/>
          <w:color w:val="auto"/>
          <w:sz w:val="21"/>
          <w:szCs w:val="21"/>
          <w:highlight w:val="none"/>
        </w:rPr>
        <w:t>项下填写。</w:t>
      </w:r>
    </w:p>
    <w:p>
      <w:pPr>
        <w:pStyle w:val="19"/>
        <w:widowControl/>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2、纸质投标文件正本中的本表应为原件。</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三、招标文件规定的价格扣除证明材料（若有）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三-1优先类节能产品、环境标志产品价格扣除证明材料（若有）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三-1-①优先类节能产品、环境标志产品统计表（价格扣除适用，若有）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项目编号：</w:t>
      </w:r>
      <w:r>
        <w:rPr>
          <w:rFonts w:hint="eastAsia" w:ascii="宋体" w:hAnsi="宋体" w:cs="宋体"/>
          <w:color w:val="auto"/>
          <w:kern w:val="0"/>
          <w:szCs w:val="21"/>
          <w:highlight w:val="none"/>
          <w:u w:val="singl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货币及单位：人民币元</w:t>
      </w:r>
    </w:p>
    <w:tbl>
      <w:tblPr>
        <w:tblStyle w:val="23"/>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7256"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货物名称</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单价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总价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c>
          <w:tcPr>
            <w:tcW w:w="7256"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a.采购包内属于节能、环境标志产品的报价总金额：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b.采购包投标总价（报价总金额）：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c.“采购包内属于节能、环境标志产品的报价总金额”占“采购包投标总价（报价总金额）”的比例（以%列示）：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tc>
      </w:tr>
    </w:tbl>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1、对节能、环境标志产品计算价格扣除时，只依据投标文件</w:t>
      </w:r>
      <w:r>
        <w:rPr>
          <w:rFonts w:hint="eastAsia" w:ascii="宋体" w:hAnsi="宋体" w:cs="宋体"/>
          <w:b/>
          <w:bCs/>
          <w:color w:val="auto"/>
          <w:kern w:val="0"/>
          <w:szCs w:val="21"/>
          <w:highlight w:val="none"/>
        </w:rPr>
        <w:t>“三-1-②优先类节能产品、环境标志产品证明材料（价格扣除适用，若有）”。</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2、本表以采购包为单位，不同采购包请分别填写；同一采购包请按照其品目号顺序分别填写。</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3、具体统计、计算：</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3.2计算结果若除不尽，可四舍五入保留到小数点后两位。</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3.3投标人应按照招标文件要求认真统计、计算，否则评标委员会不予认定。</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3.4若无节能、环境标志产品，不填写本表，否则，</w:t>
      </w:r>
      <w:r>
        <w:rPr>
          <w:rFonts w:hint="eastAsia" w:ascii="宋体" w:hAnsi="宋体" w:cs="宋体"/>
          <w:b/>
          <w:bCs/>
          <w:color w:val="auto"/>
          <w:kern w:val="0"/>
          <w:szCs w:val="21"/>
          <w:highlight w:val="none"/>
        </w:rPr>
        <w:t>视为提供虚假材料。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三-2小型、微型企业产品等价格扣除证明材料（若有）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 w:val="24"/>
          <w:highlight w:val="none"/>
        </w:rPr>
        <w:t>三-2-①中小企业声明函（价格扣除适用，若有）</w:t>
      </w:r>
    </w:p>
    <w:p>
      <w:pPr>
        <w:widowControl/>
        <w:spacing w:before="150" w:after="150"/>
        <w:jc w:val="center"/>
        <w:outlineLvl w:val="5"/>
        <w:rPr>
          <w:rFonts w:ascii="宋体" w:hAnsi="宋体" w:cs="宋体"/>
          <w:b/>
          <w:bCs/>
          <w:color w:val="auto"/>
          <w:kern w:val="0"/>
          <w:sz w:val="15"/>
          <w:szCs w:val="15"/>
          <w:highlight w:val="none"/>
        </w:rPr>
      </w:pPr>
      <w:r>
        <w:rPr>
          <w:rFonts w:hint="eastAsia" w:ascii="宋体" w:hAnsi="宋体" w:cs="宋体"/>
          <w:b/>
          <w:bCs/>
          <w:color w:val="auto"/>
          <w:kern w:val="0"/>
          <w:sz w:val="24"/>
          <w:highlight w:val="none"/>
        </w:rPr>
        <w:t>中小企业声明函（货物）</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行业；制造商为（企业名称），从业人员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 属于</w:t>
      </w:r>
      <w:r>
        <w:rPr>
          <w:rFonts w:hint="eastAsia" w:ascii="宋体" w:hAnsi="宋体" w:cs="宋体"/>
          <w:color w:val="auto"/>
          <w:kern w:val="0"/>
          <w:szCs w:val="21"/>
          <w:highlight w:val="none"/>
          <w:u w:val="single"/>
        </w:rPr>
        <w:t> （采购文件中明确的所属行业 ）</w:t>
      </w:r>
      <w:r>
        <w:rPr>
          <w:rFonts w:hint="eastAsia" w:ascii="宋体" w:hAnsi="宋体" w:cs="宋体"/>
          <w:color w:val="auto"/>
          <w:kern w:val="0"/>
          <w:sz w:val="24"/>
          <w:highlight w:val="none"/>
        </w:rPr>
        <w:t>行业；制造商为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Cs w:val="21"/>
          <w:highlight w:val="none"/>
        </w:rPr>
        <w:t>日期：</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ageBreakBefore/>
        <w:widowControl/>
        <w:spacing w:before="150" w:after="150"/>
        <w:jc w:val="center"/>
        <w:outlineLvl w:val="5"/>
        <w:rPr>
          <w:rFonts w:ascii="宋体" w:hAnsi="宋体" w:cs="宋体"/>
          <w:b/>
          <w:bCs/>
          <w:color w:val="auto"/>
          <w:kern w:val="0"/>
          <w:sz w:val="15"/>
          <w:szCs w:val="15"/>
          <w:highlight w:val="none"/>
        </w:rPr>
      </w:pPr>
      <w:r>
        <w:rPr>
          <w:rFonts w:hint="eastAsia" w:ascii="宋体" w:hAnsi="宋体" w:cs="宋体"/>
          <w:b/>
          <w:bCs/>
          <w:color w:val="auto"/>
          <w:kern w:val="0"/>
          <w:sz w:val="24"/>
          <w:highlight w:val="none"/>
        </w:rPr>
        <w:t>中小企业声明函（工程、服务</w:t>
      </w:r>
      <w:r>
        <w:rPr>
          <w:rFonts w:hint="eastAsia" w:ascii="宋体" w:hAnsi="宋体" w:cs="宋体"/>
          <w:b/>
          <w:bCs/>
          <w:color w:val="auto"/>
          <w:kern w:val="0"/>
          <w:szCs w:val="21"/>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Cs w:val="21"/>
          <w:highlight w:val="none"/>
          <w:u w:val="single"/>
        </w:rPr>
        <w:t> （标的名称）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2.</w:t>
      </w:r>
      <w:r>
        <w:rPr>
          <w:rFonts w:hint="eastAsia" w:ascii="宋体" w:hAnsi="宋体" w:cs="宋体"/>
          <w:color w:val="auto"/>
          <w:kern w:val="0"/>
          <w:szCs w:val="21"/>
          <w:highlight w:val="none"/>
          <w:u w:val="single"/>
        </w:rPr>
        <w:t> （标的名称）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以上企业，不属于大企业的分支机构，不存在控股股东为大企业的情形，也不存在与大企业的负责人为同一人的情形。</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本企业对上述声明内容的真实性负责。如有虚假，将依法承担相应责任。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w:t>
      </w:r>
    </w:p>
    <w:p>
      <w:pPr>
        <w:widowControl/>
        <w:spacing w:before="75" w:after="75"/>
        <w:jc w:val="center"/>
        <w:rPr>
          <w:rFonts w:ascii="宋体" w:hAnsi="宋体" w:cs="宋体"/>
          <w:color w:val="auto"/>
          <w:kern w:val="0"/>
          <w:sz w:val="24"/>
          <w:highlight w:val="none"/>
        </w:rPr>
      </w:pPr>
      <w:r>
        <w:rPr>
          <w:rFonts w:hint="eastAsia" w:ascii="宋体" w:hAnsi="宋体" w:cs="宋体"/>
          <w:color w:val="auto"/>
          <w:kern w:val="0"/>
          <w:sz w:val="24"/>
          <w:highlight w:val="none"/>
        </w:rPr>
        <w:t>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三-2-</w:t>
      </w:r>
      <w:r>
        <w:rPr>
          <w:rFonts w:hint="eastAsia" w:ascii="宋体" w:hAnsi="宋体" w:cs="宋体"/>
          <w:b/>
          <w:bCs/>
          <w:color w:val="auto"/>
          <w:kern w:val="0"/>
          <w:sz w:val="24"/>
          <w:highlight w:val="none"/>
        </w:rPr>
        <w:t>②</w:t>
      </w:r>
      <w:r>
        <w:rPr>
          <w:rFonts w:hint="eastAsia" w:ascii="宋体" w:hAnsi="宋体" w:cs="宋体"/>
          <w:b/>
          <w:bCs/>
          <w:color w:val="auto"/>
          <w:kern w:val="0"/>
          <w:szCs w:val="21"/>
          <w:highlight w:val="none"/>
        </w:rPr>
        <w:t>小型、微型企业等证明材料（价格扣除适用，若有）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pStyle w:val="22"/>
        <w:ind w:left="420" w:firstLine="480"/>
        <w:rPr>
          <w:rFonts w:ascii="宋体" w:hAnsi="宋体" w:cs="宋体"/>
          <w:color w:val="auto"/>
          <w:highlight w:val="none"/>
        </w:rPr>
      </w:pP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附：</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残疾人福利性单位声明函（价格扣除适用，若有）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kern w:val="0"/>
          <w:szCs w:val="21"/>
          <w:highlight w:val="none"/>
          <w:u w:val="single"/>
        </w:rPr>
        <w:t>（填写“项目名称”）</w:t>
      </w:r>
      <w:r>
        <w:rPr>
          <w:rFonts w:hint="eastAsia" w:ascii="宋体" w:hAnsi="宋体" w:cs="宋体"/>
          <w:color w:val="auto"/>
          <w:kern w:val="0"/>
          <w:szCs w:val="21"/>
          <w:highlight w:val="none"/>
        </w:rPr>
        <w:t>项目采购活动：</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）提供本投标人制造的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货物，或提供其他残疾人福利性单位制造的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货物（不包括使用非残疾人福利性单位注册商标的货物）。（说明：只有部分货物由残疾人福利企业制造的，在该货物后标</w:t>
      </w:r>
      <w:r>
        <w:rPr>
          <w:rFonts w:hint="eastAsia" w:ascii="宋体" w:hAnsi="宋体" w:cs="宋体"/>
          <w:color w:val="auto"/>
          <w:kern w:val="0"/>
          <w:sz w:val="24"/>
          <w:highlight w:val="none"/>
        </w:rPr>
        <w:t>★</w:t>
      </w:r>
      <w:r>
        <w:rPr>
          <w:rFonts w:hint="eastAsia" w:ascii="宋体" w:hAnsi="宋体" w:cs="宋体"/>
          <w:color w:val="auto"/>
          <w:kern w:val="0"/>
          <w:szCs w:val="21"/>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）由本投标人承建的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工程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）由本投标人承接的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本投标人对上述声明的真实性负责。如有虚假，将依法承担相应责任。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备注：</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1、请投标人按照实际情况编制填写本声明函，并在相应的（）中打“√”。</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2、若《残疾人福利性单位声明函》内容不真实，</w:t>
      </w:r>
      <w:r>
        <w:rPr>
          <w:rFonts w:hint="eastAsia" w:ascii="宋体" w:hAnsi="宋体" w:cs="宋体"/>
          <w:b/>
          <w:bCs/>
          <w:color w:val="auto"/>
          <w:kern w:val="0"/>
          <w:szCs w:val="21"/>
          <w:highlight w:val="none"/>
        </w:rPr>
        <w:t>视为提供虚假材料。</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ind w:firstLine="420"/>
        <w:jc w:val="left"/>
        <w:rPr>
          <w:rFonts w:ascii="宋体" w:hAnsi="宋体" w:cs="宋体"/>
          <w:color w:val="auto"/>
          <w:kern w:val="0"/>
          <w:sz w:val="24"/>
          <w:highlight w:val="none"/>
        </w:rPr>
      </w:pPr>
    </w:p>
    <w:p>
      <w:pPr>
        <w:widowControl/>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监狱企业证明材料</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投标人为监狱企业，提供本单位制造的货物（承接的服务），并在投标文件中提供省级以上监狱管理局、戒毒管理局（含新疆生产建设兵团）出具的属于监狱企业的证明文件。</w:t>
      </w:r>
    </w:p>
    <w:p>
      <w:pPr>
        <w:widowControl/>
        <w:spacing w:before="75"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kern w:val="0"/>
          <w:szCs w:val="21"/>
          <w:highlight w:val="none"/>
        </w:rPr>
        <w:br w:type="textWrapping"/>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三-3招标文件规定的其他价格扣除证明材料（若有）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若投标人可享受招标文件规定的除</w:t>
      </w:r>
      <w:r>
        <w:rPr>
          <w:rFonts w:hint="eastAsia" w:ascii="宋体" w:hAnsi="宋体" w:cs="宋体"/>
          <w:b/>
          <w:bCs/>
          <w:color w:val="auto"/>
          <w:kern w:val="0"/>
          <w:szCs w:val="21"/>
          <w:highlight w:val="none"/>
        </w:rPr>
        <w:t>“节能（非强制类）、环境标志产品价格扣除”及“小型、微型企业产品等价格扣除”</w:t>
      </w:r>
      <w:r>
        <w:rPr>
          <w:rFonts w:hint="eastAsia" w:ascii="宋体" w:hAnsi="宋体" w:cs="宋体"/>
          <w:color w:val="auto"/>
          <w:kern w:val="0"/>
          <w:szCs w:val="21"/>
          <w:highlight w:val="none"/>
        </w:rPr>
        <w:t>外的其他价格扣除优惠，则投标人应按照招标文件要求提供相应证明材料。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t>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四、招标文件规定的加分证明材料（若有）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四-1优先类节能产品、环境标志产品加分证明材料（若有）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四-1-①优先类节能产品、环境标志产品统计表（加分适用，若有）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项目编号：</w:t>
      </w:r>
      <w:r>
        <w:rPr>
          <w:rFonts w:hint="eastAsia" w:ascii="宋体" w:hAnsi="宋体" w:cs="宋体"/>
          <w:color w:val="auto"/>
          <w:kern w:val="0"/>
          <w:szCs w:val="21"/>
          <w:highlight w:val="none"/>
          <w:u w:val="singl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货币及单位：人民币元</w:t>
      </w:r>
    </w:p>
    <w:tbl>
      <w:tblPr>
        <w:tblStyle w:val="23"/>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7256"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货物名称</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单价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7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总价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18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7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18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c>
          <w:tcPr>
            <w:tcW w:w="7256"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a.采购包内属于节能、环境标志产品的报价总金额：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b.采购包投标总价（报价总金额）：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c.“采购包内属于节能、环境标志产品的报价总金额”占“采购包投标总价（报价总金额）”的比例（以%列示）：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tc>
      </w:tr>
    </w:tbl>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1、对节能、环境标志产品计算加分时，只依据投标文件</w:t>
      </w:r>
      <w:r>
        <w:rPr>
          <w:rFonts w:hint="eastAsia" w:ascii="宋体" w:hAnsi="宋体" w:cs="宋体"/>
          <w:b/>
          <w:bCs/>
          <w:color w:val="auto"/>
          <w:kern w:val="0"/>
          <w:szCs w:val="21"/>
          <w:highlight w:val="none"/>
        </w:rPr>
        <w:t>“四-1-②优先类节能产品、环境标志产品加分证明材料（加分适用，若有）”。</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2、本表以采购包为单位，不同采购包请分别填写；同一采购包请按照其品目号顺序分别填写。</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3、具体统计、计算：</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3.1 若节能、环境标志产品仅是构成投标产品的部件、组件或零件，则该投标产品不享受鼓励优惠政策。同一品目中各认证证书不重复计算加分。强制类节能产品不享受加分。</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3.2计算结果若除不尽，可四舍五入保留到小数点后两位。</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3.3投标人应按照招标文件要求认真统计、计算，否则评标委员会不予认定。</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3.4若无节能、环境标志产品，不填写本表，否则，</w:t>
      </w:r>
      <w:r>
        <w:rPr>
          <w:rFonts w:hint="eastAsia" w:ascii="宋体" w:hAnsi="宋体" w:cs="宋体"/>
          <w:b/>
          <w:bCs/>
          <w:color w:val="auto"/>
          <w:kern w:val="0"/>
          <w:szCs w:val="21"/>
          <w:highlight w:val="none"/>
        </w:rPr>
        <w:t>视为提供虚假材料</w:t>
      </w:r>
      <w:r>
        <w:rPr>
          <w:rFonts w:hint="eastAsia" w:ascii="宋体" w:hAnsi="宋体" w:cs="宋体"/>
          <w:color w:val="auto"/>
          <w:kern w:val="0"/>
          <w:szCs w:val="21"/>
          <w:highlight w:val="none"/>
        </w:rPr>
        <w:t>。</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rPr>
          <w:rFonts w:ascii="宋体" w:hAnsi="宋体" w:cs="宋体"/>
          <w:b/>
          <w:bCs/>
          <w:color w:val="auto"/>
          <w:kern w:val="0"/>
          <w:szCs w:val="21"/>
          <w:highlight w:val="none"/>
        </w:rPr>
      </w:pPr>
    </w:p>
    <w:p>
      <w:pPr>
        <w:pStyle w:val="22"/>
        <w:ind w:left="420" w:firstLine="480"/>
        <w:rPr>
          <w:rFonts w:ascii="宋体" w:hAnsi="宋体" w:cs="宋体"/>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四-1-②优先类节能产品、环境标志产品证明材料（加分适用，若有）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四</w:t>
      </w:r>
      <w:r>
        <w:rPr>
          <w:rFonts w:hint="eastAsia" w:ascii="宋体" w:hAnsi="宋体" w:cs="宋体"/>
          <w:b/>
          <w:bCs/>
          <w:color w:val="auto"/>
          <w:kern w:val="0"/>
          <w:szCs w:val="21"/>
          <w:highlight w:val="none"/>
        </w:rPr>
        <w:t>-2招标文件规定的其他加分证明材料（若有）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若投标人可享受招标文件规定的除</w:t>
      </w:r>
      <w:r>
        <w:rPr>
          <w:rFonts w:hint="eastAsia" w:ascii="宋体" w:hAnsi="宋体" w:cs="宋体"/>
          <w:b/>
          <w:bCs/>
          <w:color w:val="auto"/>
          <w:kern w:val="0"/>
          <w:szCs w:val="21"/>
          <w:highlight w:val="none"/>
        </w:rPr>
        <w:t>“优先类节能产品、环境标志产品加分”</w:t>
      </w:r>
      <w:r>
        <w:rPr>
          <w:rFonts w:hint="eastAsia" w:ascii="宋体" w:hAnsi="宋体" w:cs="宋体"/>
          <w:color w:val="auto"/>
          <w:kern w:val="0"/>
          <w:szCs w:val="21"/>
          <w:highlight w:val="none"/>
        </w:rPr>
        <w:t>外的其他加分优惠，则投标人应按照招标文件要求提供相应证明材料。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9"/>
        <w:widowControl/>
        <w:rPr>
          <w:rFonts w:ascii="宋体" w:hAnsi="宋体" w:cs="宋体"/>
          <w:color w:val="auto"/>
          <w:sz w:val="21"/>
          <w:szCs w:val="21"/>
          <w:highlight w:val="none"/>
        </w:rPr>
      </w:pP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jc w:val="center"/>
        <w:rPr>
          <w:rFonts w:ascii="宋体" w:hAnsi="宋体" w:cs="宋体"/>
          <w:color w:val="auto"/>
          <w:highlight w:val="none"/>
        </w:rPr>
      </w:pPr>
      <w:r>
        <w:rPr>
          <w:rStyle w:val="27"/>
          <w:rFonts w:hint="eastAsia" w:ascii="宋体" w:hAnsi="宋体" w:cs="宋体"/>
          <w:color w:val="auto"/>
          <w:sz w:val="28"/>
          <w:szCs w:val="28"/>
          <w:highlight w:val="none"/>
        </w:rPr>
        <w:t>封面格式</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jc w:val="center"/>
        <w:rPr>
          <w:rFonts w:ascii="宋体" w:hAnsi="宋体" w:cs="宋体"/>
          <w:color w:val="auto"/>
          <w:highlight w:val="none"/>
        </w:rPr>
      </w:pPr>
      <w:r>
        <w:rPr>
          <w:rStyle w:val="27"/>
          <w:rFonts w:hint="eastAsia" w:ascii="宋体" w:hAnsi="宋体" w:cs="宋体"/>
          <w:color w:val="auto"/>
          <w:sz w:val="48"/>
          <w:szCs w:val="48"/>
          <w:highlight w:val="none"/>
        </w:rPr>
        <w:t>福建省政府采购投标文件</w:t>
      </w:r>
    </w:p>
    <w:p>
      <w:pPr>
        <w:pStyle w:val="19"/>
        <w:widowControl/>
        <w:jc w:val="center"/>
        <w:rPr>
          <w:rFonts w:ascii="宋体" w:hAnsi="宋体" w:cs="宋体"/>
          <w:color w:val="auto"/>
          <w:highlight w:val="none"/>
        </w:rPr>
      </w:pPr>
      <w:r>
        <w:rPr>
          <w:rStyle w:val="27"/>
          <w:rFonts w:hint="eastAsia" w:ascii="宋体" w:hAnsi="宋体" w:cs="宋体"/>
          <w:color w:val="auto"/>
          <w:sz w:val="48"/>
          <w:szCs w:val="48"/>
          <w:highlight w:val="none"/>
        </w:rPr>
        <w:t>（技术商务部分）</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jc w:val="center"/>
        <w:rPr>
          <w:rFonts w:ascii="宋体" w:hAnsi="宋体" w:cs="宋体"/>
          <w:color w:val="auto"/>
          <w:highlight w:val="none"/>
        </w:rPr>
      </w:pPr>
      <w:r>
        <w:rPr>
          <w:rStyle w:val="27"/>
          <w:rFonts w:hint="eastAsia" w:ascii="宋体" w:hAnsi="宋体" w:cs="宋体"/>
          <w:color w:val="auto"/>
          <w:sz w:val="36"/>
          <w:szCs w:val="36"/>
          <w:highlight w:val="none"/>
          <w:u w:val="single"/>
        </w:rPr>
        <w:t>（填写正本或副本）</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ind w:firstLine="1920"/>
        <w:rPr>
          <w:rFonts w:ascii="宋体" w:hAnsi="宋体" w:cs="宋体"/>
          <w:color w:val="auto"/>
          <w:highlight w:val="none"/>
        </w:rPr>
      </w:pPr>
      <w:r>
        <w:rPr>
          <w:rStyle w:val="27"/>
          <w:rFonts w:hint="eastAsia" w:ascii="宋体" w:hAnsi="宋体" w:cs="宋体"/>
          <w:color w:val="auto"/>
          <w:sz w:val="31"/>
          <w:szCs w:val="31"/>
          <w:highlight w:val="none"/>
        </w:rPr>
        <w:t>项目名称：</w:t>
      </w:r>
      <w:r>
        <w:rPr>
          <w:rStyle w:val="27"/>
          <w:rFonts w:hint="eastAsia" w:ascii="宋体" w:hAnsi="宋体" w:cs="宋体"/>
          <w:color w:val="auto"/>
          <w:sz w:val="31"/>
          <w:szCs w:val="31"/>
          <w:highlight w:val="none"/>
          <w:u w:val="single"/>
        </w:rPr>
        <w:t>（由投标人填写）</w:t>
      </w:r>
    </w:p>
    <w:p>
      <w:pPr>
        <w:pStyle w:val="19"/>
        <w:widowControl/>
        <w:ind w:firstLine="1920"/>
        <w:rPr>
          <w:rFonts w:ascii="宋体" w:hAnsi="宋体" w:cs="宋体"/>
          <w:color w:val="auto"/>
          <w:highlight w:val="none"/>
        </w:rPr>
      </w:pPr>
      <w:r>
        <w:rPr>
          <w:rStyle w:val="27"/>
          <w:rFonts w:hint="eastAsia" w:ascii="宋体" w:hAnsi="宋体" w:cs="宋体"/>
          <w:color w:val="auto"/>
          <w:sz w:val="31"/>
          <w:szCs w:val="31"/>
          <w:highlight w:val="none"/>
        </w:rPr>
        <w:t>项目编号：</w:t>
      </w:r>
      <w:r>
        <w:rPr>
          <w:rStyle w:val="27"/>
          <w:rFonts w:hint="eastAsia" w:ascii="宋体" w:hAnsi="宋体" w:cs="宋体"/>
          <w:color w:val="auto"/>
          <w:sz w:val="31"/>
          <w:szCs w:val="31"/>
          <w:highlight w:val="none"/>
          <w:u w:val="single"/>
        </w:rPr>
        <w:t>（由投标人填写）</w:t>
      </w:r>
    </w:p>
    <w:p>
      <w:pPr>
        <w:pStyle w:val="19"/>
        <w:widowControl/>
        <w:ind w:firstLine="1920"/>
        <w:rPr>
          <w:rFonts w:ascii="宋体" w:hAnsi="宋体" w:cs="宋体"/>
          <w:color w:val="auto"/>
          <w:highlight w:val="none"/>
        </w:rPr>
      </w:pPr>
      <w:r>
        <w:rPr>
          <w:rStyle w:val="27"/>
          <w:rFonts w:hint="eastAsia" w:ascii="宋体" w:hAnsi="宋体" w:cs="宋体"/>
          <w:color w:val="auto"/>
          <w:sz w:val="31"/>
          <w:szCs w:val="31"/>
          <w:highlight w:val="none"/>
        </w:rPr>
        <w:t>所投合同包：</w:t>
      </w:r>
      <w:r>
        <w:rPr>
          <w:rStyle w:val="27"/>
          <w:rFonts w:hint="eastAsia" w:ascii="宋体" w:hAnsi="宋体" w:cs="宋体"/>
          <w:color w:val="auto"/>
          <w:sz w:val="31"/>
          <w:szCs w:val="31"/>
          <w:highlight w:val="none"/>
          <w:u w:val="single"/>
        </w:rPr>
        <w:t>（由投标人填写）</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rPr>
          <w:rFonts w:ascii="宋体" w:hAnsi="宋体" w:cs="宋体"/>
          <w:color w:val="auto"/>
          <w:highlight w:val="none"/>
        </w:rPr>
      </w:pPr>
      <w:r>
        <w:rPr>
          <w:rFonts w:hint="eastAsia" w:ascii="宋体" w:hAnsi="宋体" w:cs="宋体"/>
          <w:color w:val="auto"/>
          <w:sz w:val="36"/>
          <w:szCs w:val="36"/>
          <w:highlight w:val="none"/>
        </w:rPr>
        <w:t> </w:t>
      </w:r>
    </w:p>
    <w:p>
      <w:pPr>
        <w:pStyle w:val="19"/>
        <w:widowControl/>
        <w:jc w:val="center"/>
        <w:rPr>
          <w:rFonts w:ascii="宋体" w:hAnsi="宋体" w:cs="宋体"/>
          <w:color w:val="auto"/>
          <w:highlight w:val="none"/>
        </w:rPr>
      </w:pPr>
      <w:r>
        <w:rPr>
          <w:rStyle w:val="27"/>
          <w:rFonts w:hint="eastAsia" w:ascii="宋体" w:hAnsi="宋体" w:cs="宋体"/>
          <w:color w:val="auto"/>
          <w:sz w:val="31"/>
          <w:szCs w:val="31"/>
          <w:highlight w:val="none"/>
        </w:rPr>
        <w:t>投标人：</w:t>
      </w:r>
      <w:r>
        <w:rPr>
          <w:rStyle w:val="27"/>
          <w:rFonts w:hint="eastAsia" w:ascii="宋体" w:hAnsi="宋体" w:cs="宋体"/>
          <w:color w:val="auto"/>
          <w:sz w:val="31"/>
          <w:szCs w:val="31"/>
          <w:highlight w:val="none"/>
          <w:u w:val="single"/>
        </w:rPr>
        <w:t>（填写“全称”）</w:t>
      </w:r>
    </w:p>
    <w:p>
      <w:pPr>
        <w:pStyle w:val="19"/>
        <w:widowControl/>
        <w:jc w:val="center"/>
        <w:rPr>
          <w:rFonts w:ascii="宋体" w:hAnsi="宋体" w:cs="宋体"/>
          <w:color w:val="auto"/>
          <w:highlight w:val="none"/>
        </w:rPr>
      </w:pP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年</w:t>
      </w:r>
      <w:r>
        <w:rPr>
          <w:rStyle w:val="27"/>
          <w:rFonts w:hint="eastAsia" w:ascii="宋体" w:hAnsi="宋体" w:cs="宋体"/>
          <w:color w:val="auto"/>
          <w:sz w:val="31"/>
          <w:szCs w:val="31"/>
          <w:highlight w:val="none"/>
          <w:u w:val="single"/>
        </w:rPr>
        <w:t>（由投标人填写）</w:t>
      </w:r>
      <w:r>
        <w:rPr>
          <w:rStyle w:val="27"/>
          <w:rFonts w:hint="eastAsia" w:ascii="宋体" w:hAnsi="宋体" w:cs="宋体"/>
          <w:color w:val="auto"/>
          <w:sz w:val="31"/>
          <w:szCs w:val="31"/>
          <w:highlight w:val="none"/>
        </w:rPr>
        <w:t>月</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7"/>
          <w:rFonts w:hint="eastAsia" w:ascii="宋体" w:hAnsi="宋体" w:cs="宋体"/>
          <w:color w:val="auto"/>
          <w:sz w:val="28"/>
          <w:szCs w:val="28"/>
          <w:highlight w:val="none"/>
        </w:rPr>
        <w:t>索引</w:t>
      </w:r>
    </w:p>
    <w:p>
      <w:pPr>
        <w:pStyle w:val="19"/>
        <w:widowControl/>
        <w:rPr>
          <w:rFonts w:ascii="宋体" w:hAnsi="宋体" w:cs="宋体"/>
          <w:color w:val="auto"/>
          <w:sz w:val="21"/>
          <w:szCs w:val="21"/>
          <w:highlight w:val="none"/>
        </w:rPr>
      </w:pPr>
      <w:r>
        <w:rPr>
          <w:rFonts w:hint="eastAsia" w:ascii="宋体" w:hAnsi="宋体" w:cs="宋体"/>
          <w:color w:val="auto"/>
          <w:sz w:val="22"/>
          <w:szCs w:val="22"/>
          <w:highlight w:val="none"/>
        </w:rPr>
        <w:t>一、标的说明一览表</w:t>
      </w:r>
    </w:p>
    <w:p>
      <w:pPr>
        <w:pStyle w:val="19"/>
        <w:widowControl/>
        <w:rPr>
          <w:rFonts w:ascii="宋体" w:hAnsi="宋体" w:cs="宋体"/>
          <w:color w:val="auto"/>
          <w:sz w:val="21"/>
          <w:szCs w:val="21"/>
          <w:highlight w:val="none"/>
        </w:rPr>
      </w:pPr>
      <w:r>
        <w:rPr>
          <w:rFonts w:hint="eastAsia" w:ascii="宋体" w:hAnsi="宋体" w:cs="宋体"/>
          <w:color w:val="auto"/>
          <w:sz w:val="22"/>
          <w:szCs w:val="22"/>
          <w:highlight w:val="none"/>
        </w:rPr>
        <w:t>二、技术和服务要求响应表</w:t>
      </w:r>
    </w:p>
    <w:p>
      <w:pPr>
        <w:pStyle w:val="19"/>
        <w:widowControl/>
        <w:rPr>
          <w:rFonts w:ascii="宋体" w:hAnsi="宋体" w:cs="宋体"/>
          <w:color w:val="auto"/>
          <w:sz w:val="21"/>
          <w:szCs w:val="21"/>
          <w:highlight w:val="none"/>
        </w:rPr>
      </w:pPr>
      <w:r>
        <w:rPr>
          <w:rFonts w:hint="eastAsia" w:ascii="宋体" w:hAnsi="宋体" w:cs="宋体"/>
          <w:color w:val="auto"/>
          <w:sz w:val="22"/>
          <w:szCs w:val="22"/>
          <w:highlight w:val="none"/>
        </w:rPr>
        <w:t>三、商务条件响应表</w:t>
      </w:r>
    </w:p>
    <w:p>
      <w:pPr>
        <w:pStyle w:val="19"/>
        <w:widowControl/>
        <w:rPr>
          <w:rFonts w:ascii="宋体" w:hAnsi="宋体" w:cs="宋体"/>
          <w:color w:val="auto"/>
          <w:sz w:val="21"/>
          <w:szCs w:val="21"/>
          <w:highlight w:val="none"/>
        </w:rPr>
      </w:pPr>
      <w:r>
        <w:rPr>
          <w:rFonts w:hint="eastAsia" w:ascii="宋体" w:hAnsi="宋体" w:cs="宋体"/>
          <w:color w:val="auto"/>
          <w:sz w:val="22"/>
          <w:szCs w:val="22"/>
          <w:highlight w:val="none"/>
        </w:rPr>
        <w:t>四、投标人提交的其他资料（若有）</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pStyle w:val="19"/>
        <w:widowControl/>
        <w:jc w:val="center"/>
        <w:rPr>
          <w:rFonts w:ascii="宋体" w:hAnsi="宋体" w:cs="宋体"/>
          <w:color w:val="auto"/>
          <w:highlight w:val="none"/>
        </w:rPr>
      </w:pPr>
      <w:r>
        <w:rPr>
          <w:rFonts w:hint="eastAsia" w:ascii="宋体" w:hAnsi="宋体" w:cs="宋体"/>
          <w:color w:val="auto"/>
          <w:sz w:val="21"/>
          <w:szCs w:val="21"/>
          <w:highlight w:val="none"/>
        </w:rPr>
        <w:t>★注意</w:t>
      </w:r>
    </w:p>
    <w:p>
      <w:pPr>
        <w:pStyle w:val="19"/>
        <w:widowControl/>
        <w:ind w:firstLine="420"/>
        <w:rPr>
          <w:rFonts w:ascii="宋体" w:hAnsi="宋体" w:cs="宋体"/>
          <w:color w:val="auto"/>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27"/>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pPr>
        <w:pStyle w:val="19"/>
        <w:widowControl/>
        <w:ind w:firstLine="420"/>
        <w:rPr>
          <w:rFonts w:ascii="宋体" w:hAnsi="宋体" w:cs="宋体"/>
          <w:color w:val="auto"/>
          <w:highlight w:val="none"/>
        </w:rPr>
      </w:pPr>
      <w:r>
        <w:rPr>
          <w:rFonts w:hint="eastAsia" w:ascii="宋体" w:hAnsi="宋体" w:cs="宋体"/>
          <w:color w:val="auto"/>
          <w:sz w:val="21"/>
          <w:szCs w:val="21"/>
          <w:highlight w:val="none"/>
        </w:rPr>
        <w:t> </w:t>
      </w:r>
    </w:p>
    <w:p>
      <w:pPr>
        <w:pStyle w:val="19"/>
        <w:widowControl/>
        <w:ind w:firstLine="420"/>
        <w:rPr>
          <w:rFonts w:ascii="宋体" w:hAnsi="宋体" w:cs="宋体"/>
          <w:color w:val="auto"/>
          <w:highlight w:val="none"/>
        </w:rPr>
      </w:pPr>
      <w:r>
        <w:rPr>
          <w:rFonts w:hint="eastAsia" w:ascii="宋体" w:hAnsi="宋体" w:cs="宋体"/>
          <w:color w:val="auto"/>
          <w:sz w:val="21"/>
          <w:szCs w:val="21"/>
          <w:highlight w:val="none"/>
        </w:rPr>
        <w:t> </w:t>
      </w:r>
    </w:p>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7"/>
          <w:rFonts w:hint="eastAsia" w:ascii="宋体" w:hAnsi="宋体" w:cs="宋体"/>
          <w:color w:val="auto"/>
          <w:sz w:val="21"/>
          <w:szCs w:val="21"/>
          <w:highlight w:val="none"/>
        </w:rPr>
        <w:t>一、标的说明一览表</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3"/>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80"/>
        <w:gridCol w:w="869"/>
        <w:gridCol w:w="1663"/>
        <w:gridCol w:w="864"/>
        <w:gridCol w:w="1146"/>
        <w:gridCol w:w="1135"/>
        <w:gridCol w:w="18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3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63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投标标的</w:t>
            </w:r>
          </w:p>
        </w:tc>
        <w:tc>
          <w:tcPr>
            <w:tcW w:w="83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1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规格（品牌/型号）</w:t>
            </w:r>
          </w:p>
        </w:tc>
        <w:tc>
          <w:tcPr>
            <w:tcW w:w="110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来源地</w:t>
            </w:r>
          </w:p>
        </w:tc>
        <w:tc>
          <w:tcPr>
            <w:tcW w:w="18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3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633"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3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1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0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1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5"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3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633"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3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1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0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1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3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633"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3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1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0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1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1.1“采购包”、“品目号”、“投标标的”及“数量”应与招标文件《采购标的一览表》中的有关内容（“采购包”、“品目号”、“采购标的”及“数量”）保持一致。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1.2“投标标的”为货物的：</w:t>
      </w:r>
      <w:r>
        <w:rPr>
          <w:rFonts w:hint="eastAsia" w:ascii="宋体" w:hAnsi="宋体" w:cs="宋体"/>
          <w:b/>
          <w:bCs/>
          <w:color w:val="auto"/>
          <w:kern w:val="0"/>
          <w:szCs w:val="21"/>
          <w:highlight w:val="none"/>
        </w:rPr>
        <w:t>“规格”</w:t>
      </w:r>
      <w:r>
        <w:rPr>
          <w:rFonts w:hint="eastAsia" w:ascii="宋体" w:hAnsi="宋体" w:cs="宋体"/>
          <w:color w:val="auto"/>
          <w:kern w:val="0"/>
          <w:szCs w:val="21"/>
          <w:highlight w:val="none"/>
        </w:rPr>
        <w:t>项下应填写货物制造厂商赋予的品牌（属于节能、环保清单产品的货物，填写的品牌名称应与清单载明的品牌名称保持一致）及具体型号。</w:t>
      </w:r>
      <w:r>
        <w:rPr>
          <w:rFonts w:hint="eastAsia" w:ascii="宋体" w:hAnsi="宋体" w:cs="宋体"/>
          <w:b/>
          <w:bCs/>
          <w:color w:val="auto"/>
          <w:kern w:val="0"/>
          <w:szCs w:val="21"/>
          <w:highlight w:val="none"/>
        </w:rPr>
        <w:t>“来源地”</w:t>
      </w:r>
      <w:r>
        <w:rPr>
          <w:rFonts w:hint="eastAsia" w:ascii="宋体" w:hAnsi="宋体" w:cs="宋体"/>
          <w:color w:val="auto"/>
          <w:kern w:val="0"/>
          <w:szCs w:val="21"/>
          <w:highlight w:val="none"/>
        </w:rPr>
        <w:t>应填写货物的原产地。</w:t>
      </w:r>
      <w:r>
        <w:rPr>
          <w:rFonts w:hint="eastAsia" w:ascii="宋体" w:hAnsi="宋体" w:cs="宋体"/>
          <w:b/>
          <w:bCs/>
          <w:color w:val="auto"/>
          <w:kern w:val="0"/>
          <w:szCs w:val="21"/>
          <w:highlight w:val="none"/>
        </w:rPr>
        <w:t>“备注”</w:t>
      </w:r>
      <w:r>
        <w:rPr>
          <w:rFonts w:hint="eastAsia" w:ascii="宋体" w:hAnsi="宋体" w:cs="宋体"/>
          <w:color w:val="auto"/>
          <w:kern w:val="0"/>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1.3“投标标的”为服务的：</w:t>
      </w:r>
      <w:r>
        <w:rPr>
          <w:rFonts w:hint="eastAsia" w:ascii="宋体" w:hAnsi="宋体" w:cs="宋体"/>
          <w:b/>
          <w:bCs/>
          <w:color w:val="auto"/>
          <w:kern w:val="0"/>
          <w:szCs w:val="21"/>
          <w:highlight w:val="none"/>
        </w:rPr>
        <w:t>“规格”</w:t>
      </w:r>
      <w:r>
        <w:rPr>
          <w:rFonts w:hint="eastAsia" w:ascii="宋体" w:hAnsi="宋体" w:cs="宋体"/>
          <w:color w:val="auto"/>
          <w:kern w:val="0"/>
          <w:szCs w:val="21"/>
          <w:highlight w:val="none"/>
        </w:rPr>
        <w:t>项下应填写服务提供者提供的服务标准及品牌（若有）。</w:t>
      </w:r>
      <w:r>
        <w:rPr>
          <w:rFonts w:hint="eastAsia" w:ascii="宋体" w:hAnsi="宋体" w:cs="宋体"/>
          <w:b/>
          <w:bCs/>
          <w:color w:val="auto"/>
          <w:kern w:val="0"/>
          <w:szCs w:val="21"/>
          <w:highlight w:val="none"/>
        </w:rPr>
        <w:t>“来源地”</w:t>
      </w:r>
      <w:r>
        <w:rPr>
          <w:rFonts w:hint="eastAsia" w:ascii="宋体" w:hAnsi="宋体" w:cs="宋体"/>
          <w:color w:val="auto"/>
          <w:kern w:val="0"/>
          <w:szCs w:val="21"/>
          <w:highlight w:val="none"/>
        </w:rPr>
        <w:t>应填写服务提供者的所在地。</w:t>
      </w:r>
      <w:r>
        <w:rPr>
          <w:rFonts w:hint="eastAsia" w:ascii="宋体" w:hAnsi="宋体" w:cs="宋体"/>
          <w:b/>
          <w:bCs/>
          <w:color w:val="auto"/>
          <w:kern w:val="0"/>
          <w:szCs w:val="21"/>
          <w:highlight w:val="none"/>
        </w:rPr>
        <w:t>“备注”</w:t>
      </w:r>
      <w:r>
        <w:rPr>
          <w:rFonts w:hint="eastAsia" w:ascii="宋体" w:hAnsi="宋体" w:cs="宋体"/>
          <w:color w:val="auto"/>
          <w:kern w:val="0"/>
          <w:szCs w:val="21"/>
          <w:highlight w:val="none"/>
        </w:rPr>
        <w:t>项下应填写关于服务标准所涵盖的具体项目或内容的说明等。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3、投标文件中涉及</w:t>
      </w:r>
      <w:r>
        <w:rPr>
          <w:rFonts w:hint="eastAsia" w:ascii="宋体" w:hAnsi="宋体" w:cs="宋体"/>
          <w:b/>
          <w:bCs/>
          <w:color w:val="auto"/>
          <w:kern w:val="0"/>
          <w:szCs w:val="21"/>
          <w:highlight w:val="none"/>
        </w:rPr>
        <w:t>“投标标的”、“数量”、“规格”、“来源地”</w:t>
      </w:r>
      <w:r>
        <w:rPr>
          <w:rFonts w:hint="eastAsia" w:ascii="宋体" w:hAnsi="宋体" w:cs="宋体"/>
          <w:color w:val="auto"/>
          <w:kern w:val="0"/>
          <w:szCs w:val="21"/>
          <w:highlight w:val="none"/>
        </w:rPr>
        <w:t>的内容若不一致，</w:t>
      </w:r>
      <w:r>
        <w:rPr>
          <w:rFonts w:hint="eastAsia" w:ascii="宋体" w:hAnsi="宋体" w:cs="宋体"/>
          <w:b/>
          <w:bCs/>
          <w:color w:val="auto"/>
          <w:kern w:val="0"/>
          <w:szCs w:val="21"/>
          <w:highlight w:val="none"/>
        </w:rPr>
        <w:t>应以本表为准</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jc w:val="center"/>
        <w:rPr>
          <w:rStyle w:val="27"/>
          <w:rFonts w:ascii="宋体" w:hAnsi="宋体" w:cs="宋体"/>
          <w:color w:val="auto"/>
          <w:sz w:val="21"/>
          <w:szCs w:val="21"/>
          <w:highlight w:val="none"/>
        </w:rPr>
      </w:pPr>
      <w:r>
        <w:rPr>
          <w:rFonts w:hint="eastAsia" w:ascii="宋体" w:hAnsi="宋体" w:cs="宋体"/>
          <w:color w:val="auto"/>
          <w:sz w:val="21"/>
          <w:szCs w:val="21"/>
          <w:highlight w:val="none"/>
        </w:rPr>
        <w:t> </w:t>
      </w:r>
      <w:r>
        <w:rPr>
          <w:rStyle w:val="27"/>
          <w:rFonts w:hint="eastAsia" w:ascii="宋体" w:hAnsi="宋体" w:cs="宋体"/>
          <w:color w:val="auto"/>
          <w:sz w:val="21"/>
          <w:szCs w:val="21"/>
          <w:highlight w:val="none"/>
        </w:rPr>
        <w:br w:type="textWrapping"/>
      </w:r>
    </w:p>
    <w:p>
      <w:pPr>
        <w:pStyle w:val="19"/>
        <w:widowControl/>
        <w:jc w:val="center"/>
        <w:rPr>
          <w:rStyle w:val="27"/>
          <w:rFonts w:ascii="宋体" w:hAnsi="宋体" w:cs="宋体"/>
          <w:color w:val="auto"/>
          <w:sz w:val="21"/>
          <w:szCs w:val="21"/>
          <w:highlight w:val="none"/>
        </w:rPr>
      </w:pPr>
    </w:p>
    <w:p>
      <w:pPr>
        <w:pStyle w:val="19"/>
        <w:widowControl/>
        <w:jc w:val="center"/>
        <w:rPr>
          <w:rFonts w:ascii="宋体" w:hAnsi="宋体" w:cs="宋体"/>
          <w:color w:val="auto"/>
          <w:highlight w:val="none"/>
        </w:rPr>
      </w:pPr>
      <w:r>
        <w:rPr>
          <w:rStyle w:val="27"/>
          <w:rFonts w:hint="eastAsia" w:ascii="宋体" w:hAnsi="宋体" w:cs="宋体"/>
          <w:color w:val="auto"/>
          <w:sz w:val="21"/>
          <w:szCs w:val="21"/>
          <w:highlight w:val="none"/>
        </w:rPr>
        <w:t>二、技术和服务要求响应表</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3"/>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blCellSpacing w:w="15" w:type="dxa"/>
        </w:trPr>
        <w:tc>
          <w:tcPr>
            <w:tcW w:w="94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4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技术和服务要求</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1.1“技术和服务要求”项下填写的内容应与招标文件第五章“技术和服务要求”的内容保持一致。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1.3“是否偏离及说明”项下应按下列规定填写：优于的，填写“正偏离”；符合的，填写“无偏离”；低于的，填写“负偏离”。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pStyle w:val="19"/>
        <w:widowControl/>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p>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sz w:val="21"/>
          <w:szCs w:val="21"/>
          <w:highlight w:val="none"/>
        </w:rPr>
      </w:pPr>
    </w:p>
    <w:p>
      <w:pPr>
        <w:pStyle w:val="19"/>
        <w:widowControl/>
        <w:jc w:val="center"/>
        <w:rPr>
          <w:rFonts w:ascii="宋体" w:hAnsi="宋体" w:cs="宋体"/>
          <w:color w:val="auto"/>
          <w:highlight w:val="none"/>
        </w:rPr>
      </w:pPr>
      <w:r>
        <w:rPr>
          <w:rStyle w:val="27"/>
          <w:rFonts w:hint="eastAsia" w:ascii="宋体" w:hAnsi="宋体" w:cs="宋体"/>
          <w:color w:val="auto"/>
          <w:sz w:val="21"/>
          <w:szCs w:val="21"/>
          <w:highlight w:val="none"/>
        </w:rPr>
        <w:t>三、商务条件响应表</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3"/>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4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商务条件</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4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1.1“商务条件”项下填写的内容应与招标文件第五章“商务条件”的内容保持一致。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9"/>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9"/>
        <w:widowControl/>
        <w:rPr>
          <w:rFonts w:ascii="宋体" w:hAnsi="宋体" w:cs="宋体"/>
          <w:color w:val="auto"/>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9"/>
        <w:widowControl/>
        <w:rPr>
          <w:rFonts w:ascii="宋体" w:hAnsi="宋体" w:cs="宋体"/>
          <w:color w:val="auto"/>
          <w:sz w:val="21"/>
          <w:szCs w:val="21"/>
          <w:highlight w:val="none"/>
        </w:rPr>
      </w:pPr>
    </w:p>
    <w:p>
      <w:pPr>
        <w:pStyle w:val="19"/>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rPr>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四、投标人提交的其他资料（若有）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1、招标文件要求提交的除</w:t>
      </w:r>
      <w:r>
        <w:rPr>
          <w:rFonts w:hint="eastAsia" w:ascii="宋体" w:hAnsi="宋体" w:cs="宋体"/>
          <w:b/>
          <w:bCs/>
          <w:color w:val="auto"/>
          <w:kern w:val="0"/>
          <w:szCs w:val="21"/>
          <w:highlight w:val="none"/>
        </w:rPr>
        <w:t>“资格及资信证明部分”、“报价部分”</w:t>
      </w:r>
      <w:r>
        <w:rPr>
          <w:rFonts w:hint="eastAsia" w:ascii="宋体" w:hAnsi="宋体" w:cs="宋体"/>
          <w:color w:val="auto"/>
          <w:kern w:val="0"/>
          <w:szCs w:val="21"/>
          <w:highlight w:val="none"/>
        </w:rPr>
        <w:t>外的其他证明材料或资料加盖投标人的单位公章后应在此项下提交。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3、除招标文件另有规定外，投标人认为需要提交的其他证明材料或资料加盖投标人的单位公章后应在此项下提交。</w:t>
      </w:r>
    </w:p>
    <w:p>
      <w:pPr>
        <w:rPr>
          <w:rFonts w:ascii="宋体" w:hAnsi="宋体" w:cs="宋体"/>
          <w:color w:val="auto"/>
          <w:highlight w:val="none"/>
        </w:rPr>
      </w:pPr>
    </w:p>
    <w:p>
      <w:pPr>
        <w:pStyle w:val="36"/>
        <w:rPr>
          <w:rFonts w:ascii="宋体" w:hAnsi="宋体" w:cs="宋体"/>
          <w:color w:val="auto"/>
          <w:highlight w:val="none"/>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240" w:lineRule="atLeast"/>
      <w:jc w:val="center"/>
      <w:rPr>
        <w:rFonts w:asci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52</w:t>
    </w:r>
    <w:r>
      <w:rPr>
        <w:rFonts w:ascii="宋体" w:hAnsi="宋体"/>
        <w:sz w:val="21"/>
        <w:szCs w:val="21"/>
      </w:rPr>
      <w:fldChar w:fldCharType="end"/>
    </w:r>
    <w:r>
      <w:rPr>
        <w:rFonts w:hint="eastAsia" w:ascii="宋体" w:hAnsi="宋体"/>
        <w:sz w:val="21"/>
        <w:szCs w:val="21"/>
      </w:rPr>
      <w:t>页共</w:t>
    </w:r>
    <w:r>
      <w:rPr>
        <w:rFonts w:ascii="宋体" w:hAnsi="宋体"/>
        <w:sz w:val="21"/>
        <w:szCs w:val="21"/>
      </w:rPr>
      <w:fldChar w:fldCharType="begin"/>
    </w:r>
    <w:r>
      <w:rPr>
        <w:rFonts w:ascii="宋体" w:hAnsi="宋体"/>
        <w:sz w:val="21"/>
        <w:szCs w:val="21"/>
      </w:rPr>
      <w:instrText xml:space="preserve"> NUMPAGES </w:instrText>
    </w:r>
    <w:r>
      <w:rPr>
        <w:rFonts w:ascii="宋体" w:hAnsi="宋体"/>
        <w:sz w:val="21"/>
        <w:szCs w:val="21"/>
      </w:rPr>
      <w:fldChar w:fldCharType="separate"/>
    </w:r>
    <w:r>
      <w:rPr>
        <w:rFonts w:ascii="宋体" w:hAnsi="宋体"/>
        <w:sz w:val="21"/>
        <w:szCs w:val="21"/>
      </w:rPr>
      <w:t>101</w:t>
    </w:r>
    <w:r>
      <w:rPr>
        <w:rFonts w:ascii="宋体" w:hAnsi="宋体"/>
        <w:sz w:val="21"/>
        <w:szCs w:val="21"/>
      </w:rPr>
      <w:fldChar w:fldCharType="end"/>
    </w:r>
    <w:r>
      <w:rPr>
        <w:rFonts w:hint="eastAsia" w:ascii="宋体" w:hAnsi="宋体"/>
        <w:sz w:val="21"/>
        <w:szCs w:val="21"/>
      </w:rPr>
      <w:t>页</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rPr>
        <w:u w:val="single"/>
      </w:rPr>
    </w:pPr>
    <w:r>
      <w:rPr>
        <w:rFonts w:hint="eastAsia"/>
        <w:u w:val="single"/>
      </w:rPr>
      <w:t xml:space="preserve">招标文件                                                                   建融建设管理集团有限责任公司 </w:t>
    </w:r>
  </w:p>
  <w:p>
    <w:pPr>
      <w:pStyle w:val="1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873EF"/>
    <w:multiLevelType w:val="singleLevel"/>
    <w:tmpl w:val="A6D873EF"/>
    <w:lvl w:ilvl="0" w:tentative="0">
      <w:start w:val="3"/>
      <w:numFmt w:val="decimal"/>
      <w:suff w:val="nothing"/>
      <w:lvlText w:val="%1、"/>
      <w:lvlJc w:val="left"/>
    </w:lvl>
  </w:abstractNum>
  <w:abstractNum w:abstractNumId="1">
    <w:nsid w:val="DA9D3F08"/>
    <w:multiLevelType w:val="singleLevel"/>
    <w:tmpl w:val="DA9D3F08"/>
    <w:lvl w:ilvl="0" w:tentative="0">
      <w:start w:val="7"/>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rPr>
        <w:rFonts w:cs="Times New Roman"/>
      </w:rPr>
    </w:lvl>
  </w:abstractNum>
  <w:abstractNum w:abstractNumId="3">
    <w:nsid w:val="00000004"/>
    <w:multiLevelType w:val="multilevel"/>
    <w:tmpl w:val="00000004"/>
    <w:lvl w:ilvl="0" w:tentative="0">
      <w:start w:val="1"/>
      <w:numFmt w:val="decimalEnclosedCircle"/>
      <w:lvlText w:val="%1"/>
      <w:lvlJc w:val="left"/>
      <w:pPr>
        <w:ind w:left="360" w:hanging="36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08DFA91"/>
    <w:multiLevelType w:val="singleLevel"/>
    <w:tmpl w:val="108DFA91"/>
    <w:lvl w:ilvl="0" w:tentative="0">
      <w:start w:val="2"/>
      <w:numFmt w:val="chineseCounting"/>
      <w:suff w:val="nothing"/>
      <w:lvlText w:val="%1、"/>
      <w:lvlJc w:val="left"/>
      <w:rPr>
        <w:rFonts w:hint="eastAsia"/>
      </w:rPr>
    </w:lvl>
  </w:abstractNum>
  <w:abstractNum w:abstractNumId="5">
    <w:nsid w:val="72D935BF"/>
    <w:multiLevelType w:val="singleLevel"/>
    <w:tmpl w:val="72D935BF"/>
    <w:lvl w:ilvl="0" w:tentative="0">
      <w:start w:val="1"/>
      <w:numFmt w:val="lowerLetter"/>
      <w:lvlText w:val="%1."/>
      <w:lvlJc w:val="left"/>
      <w:pPr>
        <w:tabs>
          <w:tab w:val="left" w:pos="312"/>
        </w:tabs>
      </w:pPr>
    </w:lvl>
  </w:abstractNum>
  <w:abstractNum w:abstractNumId="6">
    <w:nsid w:val="7499EF16"/>
    <w:multiLevelType w:val="singleLevel"/>
    <w:tmpl w:val="7499EF16"/>
    <w:lvl w:ilvl="0" w:tentative="0">
      <w:start w:val="10"/>
      <w:numFmt w:val="decimal"/>
      <w:suff w:val="nothing"/>
      <w:lvlText w:val="%1、"/>
      <w:lvlJc w:val="left"/>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Mzc0ZjU3YWIwYWM4NzRkOGUyYTIyYzU3YzdmN2MifQ=="/>
  </w:docVars>
  <w:rsids>
    <w:rsidRoot w:val="00131D37"/>
    <w:rsid w:val="00004A0A"/>
    <w:rsid w:val="000242A5"/>
    <w:rsid w:val="000323D0"/>
    <w:rsid w:val="00054746"/>
    <w:rsid w:val="000924C9"/>
    <w:rsid w:val="000A36E9"/>
    <w:rsid w:val="000D71A3"/>
    <w:rsid w:val="00101D0D"/>
    <w:rsid w:val="001034FF"/>
    <w:rsid w:val="00130B85"/>
    <w:rsid w:val="00131D37"/>
    <w:rsid w:val="001E41EE"/>
    <w:rsid w:val="00200386"/>
    <w:rsid w:val="0020442A"/>
    <w:rsid w:val="00226793"/>
    <w:rsid w:val="00246FE7"/>
    <w:rsid w:val="00247808"/>
    <w:rsid w:val="00255368"/>
    <w:rsid w:val="002A30DF"/>
    <w:rsid w:val="002D23F0"/>
    <w:rsid w:val="00315E84"/>
    <w:rsid w:val="0032166C"/>
    <w:rsid w:val="00333C56"/>
    <w:rsid w:val="00334E5C"/>
    <w:rsid w:val="0034591F"/>
    <w:rsid w:val="00364129"/>
    <w:rsid w:val="003972CD"/>
    <w:rsid w:val="003C52B4"/>
    <w:rsid w:val="003E0C97"/>
    <w:rsid w:val="004104B3"/>
    <w:rsid w:val="00422873"/>
    <w:rsid w:val="0043053C"/>
    <w:rsid w:val="0045578B"/>
    <w:rsid w:val="004A316B"/>
    <w:rsid w:val="004D7C33"/>
    <w:rsid w:val="00561E9A"/>
    <w:rsid w:val="00576511"/>
    <w:rsid w:val="005833E2"/>
    <w:rsid w:val="005B4F04"/>
    <w:rsid w:val="0065270C"/>
    <w:rsid w:val="006A7FFE"/>
    <w:rsid w:val="006C0CC5"/>
    <w:rsid w:val="006F7848"/>
    <w:rsid w:val="007136D1"/>
    <w:rsid w:val="007900F2"/>
    <w:rsid w:val="0079251A"/>
    <w:rsid w:val="00854355"/>
    <w:rsid w:val="00876644"/>
    <w:rsid w:val="00885846"/>
    <w:rsid w:val="0088685E"/>
    <w:rsid w:val="008B6110"/>
    <w:rsid w:val="008C0A2C"/>
    <w:rsid w:val="008D1772"/>
    <w:rsid w:val="008E12E4"/>
    <w:rsid w:val="008E6AC0"/>
    <w:rsid w:val="0091722E"/>
    <w:rsid w:val="009222D1"/>
    <w:rsid w:val="00923BF4"/>
    <w:rsid w:val="00924014"/>
    <w:rsid w:val="0097261F"/>
    <w:rsid w:val="00981E4A"/>
    <w:rsid w:val="009B0D45"/>
    <w:rsid w:val="009D10C8"/>
    <w:rsid w:val="009D154C"/>
    <w:rsid w:val="00A134EA"/>
    <w:rsid w:val="00A45E1A"/>
    <w:rsid w:val="00A67901"/>
    <w:rsid w:val="00A730AA"/>
    <w:rsid w:val="00A75217"/>
    <w:rsid w:val="00A96A78"/>
    <w:rsid w:val="00A974FC"/>
    <w:rsid w:val="00AA3BE8"/>
    <w:rsid w:val="00AC68D6"/>
    <w:rsid w:val="00AF0A34"/>
    <w:rsid w:val="00B57FAD"/>
    <w:rsid w:val="00B8540B"/>
    <w:rsid w:val="00BA1634"/>
    <w:rsid w:val="00BA3183"/>
    <w:rsid w:val="00BF332A"/>
    <w:rsid w:val="00C24598"/>
    <w:rsid w:val="00C435BE"/>
    <w:rsid w:val="00CD019A"/>
    <w:rsid w:val="00CE20FB"/>
    <w:rsid w:val="00CE7150"/>
    <w:rsid w:val="00CF125D"/>
    <w:rsid w:val="00D038F8"/>
    <w:rsid w:val="00D24998"/>
    <w:rsid w:val="00D54671"/>
    <w:rsid w:val="00D546B1"/>
    <w:rsid w:val="00D9208A"/>
    <w:rsid w:val="00DB7DC4"/>
    <w:rsid w:val="00DE2A96"/>
    <w:rsid w:val="00E022C6"/>
    <w:rsid w:val="00E26C0E"/>
    <w:rsid w:val="00E75D35"/>
    <w:rsid w:val="00EE1AF8"/>
    <w:rsid w:val="00EE1BCE"/>
    <w:rsid w:val="00EE7D87"/>
    <w:rsid w:val="00F37933"/>
    <w:rsid w:val="00FD073B"/>
    <w:rsid w:val="01E07700"/>
    <w:rsid w:val="02114710"/>
    <w:rsid w:val="026063D0"/>
    <w:rsid w:val="02975E55"/>
    <w:rsid w:val="02DF1BD7"/>
    <w:rsid w:val="03231C1A"/>
    <w:rsid w:val="034E3DBB"/>
    <w:rsid w:val="038522FB"/>
    <w:rsid w:val="03FF71FF"/>
    <w:rsid w:val="040D174A"/>
    <w:rsid w:val="05513C6C"/>
    <w:rsid w:val="05875308"/>
    <w:rsid w:val="05A06538"/>
    <w:rsid w:val="05B02A8D"/>
    <w:rsid w:val="07211C63"/>
    <w:rsid w:val="07244EEA"/>
    <w:rsid w:val="079B29D5"/>
    <w:rsid w:val="083815D2"/>
    <w:rsid w:val="096C73A2"/>
    <w:rsid w:val="0A8D6DD4"/>
    <w:rsid w:val="0AAD26BB"/>
    <w:rsid w:val="0AB30C08"/>
    <w:rsid w:val="0ACA6A52"/>
    <w:rsid w:val="0B1E47D0"/>
    <w:rsid w:val="0B7D4237"/>
    <w:rsid w:val="0D665A94"/>
    <w:rsid w:val="0D7D5A4D"/>
    <w:rsid w:val="0DDD349A"/>
    <w:rsid w:val="0DDD741F"/>
    <w:rsid w:val="0E851045"/>
    <w:rsid w:val="0EA659B2"/>
    <w:rsid w:val="0F68275F"/>
    <w:rsid w:val="0F7B6128"/>
    <w:rsid w:val="10560258"/>
    <w:rsid w:val="107E66AF"/>
    <w:rsid w:val="10F94B72"/>
    <w:rsid w:val="10FA144F"/>
    <w:rsid w:val="113A3AB2"/>
    <w:rsid w:val="114A6898"/>
    <w:rsid w:val="121A5C3E"/>
    <w:rsid w:val="122334F7"/>
    <w:rsid w:val="122D35D7"/>
    <w:rsid w:val="1234262D"/>
    <w:rsid w:val="129D61E8"/>
    <w:rsid w:val="133F6391"/>
    <w:rsid w:val="13906809"/>
    <w:rsid w:val="147D6926"/>
    <w:rsid w:val="14DA6E07"/>
    <w:rsid w:val="15241A72"/>
    <w:rsid w:val="15584CF3"/>
    <w:rsid w:val="16393604"/>
    <w:rsid w:val="16AA0BDF"/>
    <w:rsid w:val="16C31C28"/>
    <w:rsid w:val="16F02A29"/>
    <w:rsid w:val="185724C3"/>
    <w:rsid w:val="18AD593E"/>
    <w:rsid w:val="18BD4944"/>
    <w:rsid w:val="18F64BCF"/>
    <w:rsid w:val="19935639"/>
    <w:rsid w:val="19CD11F3"/>
    <w:rsid w:val="19CF7B28"/>
    <w:rsid w:val="1A7725F1"/>
    <w:rsid w:val="1A950E37"/>
    <w:rsid w:val="1AC968BC"/>
    <w:rsid w:val="1ADC5644"/>
    <w:rsid w:val="1B5271EC"/>
    <w:rsid w:val="1B59696D"/>
    <w:rsid w:val="1C3D1211"/>
    <w:rsid w:val="1C88256F"/>
    <w:rsid w:val="1C9D43AC"/>
    <w:rsid w:val="1D765AC0"/>
    <w:rsid w:val="1E3459B8"/>
    <w:rsid w:val="1E464974"/>
    <w:rsid w:val="1E57504A"/>
    <w:rsid w:val="1F932A24"/>
    <w:rsid w:val="1FD20438"/>
    <w:rsid w:val="207B66B3"/>
    <w:rsid w:val="20D500D9"/>
    <w:rsid w:val="20F94314"/>
    <w:rsid w:val="21107608"/>
    <w:rsid w:val="21951161"/>
    <w:rsid w:val="21BE6B0D"/>
    <w:rsid w:val="22033982"/>
    <w:rsid w:val="220E23E6"/>
    <w:rsid w:val="223541CC"/>
    <w:rsid w:val="22A63918"/>
    <w:rsid w:val="23576978"/>
    <w:rsid w:val="248222C4"/>
    <w:rsid w:val="24D168CB"/>
    <w:rsid w:val="25402943"/>
    <w:rsid w:val="257E4A5A"/>
    <w:rsid w:val="259F7E84"/>
    <w:rsid w:val="25A85E59"/>
    <w:rsid w:val="274C70CB"/>
    <w:rsid w:val="277275FF"/>
    <w:rsid w:val="27EF2C7E"/>
    <w:rsid w:val="27F304AC"/>
    <w:rsid w:val="28516D09"/>
    <w:rsid w:val="28851357"/>
    <w:rsid w:val="28DC5586"/>
    <w:rsid w:val="28ED66C7"/>
    <w:rsid w:val="29081E10"/>
    <w:rsid w:val="291F00B2"/>
    <w:rsid w:val="298D53DE"/>
    <w:rsid w:val="29FD3F8F"/>
    <w:rsid w:val="2A550C84"/>
    <w:rsid w:val="2B4F3775"/>
    <w:rsid w:val="2B8167F4"/>
    <w:rsid w:val="2CAB6572"/>
    <w:rsid w:val="2CB45FFF"/>
    <w:rsid w:val="2CB479AD"/>
    <w:rsid w:val="2D282F4C"/>
    <w:rsid w:val="2D63047F"/>
    <w:rsid w:val="2DAA7A4E"/>
    <w:rsid w:val="2DF91A6A"/>
    <w:rsid w:val="2E04116B"/>
    <w:rsid w:val="2E3A0CA4"/>
    <w:rsid w:val="2E7C28D5"/>
    <w:rsid w:val="2E8D2D65"/>
    <w:rsid w:val="2F4D0BB5"/>
    <w:rsid w:val="2FDF58CC"/>
    <w:rsid w:val="314236BD"/>
    <w:rsid w:val="31DB4310"/>
    <w:rsid w:val="32E33D92"/>
    <w:rsid w:val="332533DF"/>
    <w:rsid w:val="332B7490"/>
    <w:rsid w:val="33492641"/>
    <w:rsid w:val="33D10B11"/>
    <w:rsid w:val="33EF2366"/>
    <w:rsid w:val="344C38B0"/>
    <w:rsid w:val="345C4460"/>
    <w:rsid w:val="34661131"/>
    <w:rsid w:val="346E16C0"/>
    <w:rsid w:val="34881A7C"/>
    <w:rsid w:val="34A24FB5"/>
    <w:rsid w:val="34CD2A72"/>
    <w:rsid w:val="34DE755E"/>
    <w:rsid w:val="34FA4DC2"/>
    <w:rsid w:val="34FD2B01"/>
    <w:rsid w:val="3554227B"/>
    <w:rsid w:val="357E5517"/>
    <w:rsid w:val="35C0022C"/>
    <w:rsid w:val="36881635"/>
    <w:rsid w:val="378013EB"/>
    <w:rsid w:val="37C37E80"/>
    <w:rsid w:val="37F866E3"/>
    <w:rsid w:val="384422C7"/>
    <w:rsid w:val="389B0845"/>
    <w:rsid w:val="38E065C6"/>
    <w:rsid w:val="394744BB"/>
    <w:rsid w:val="399D5BA3"/>
    <w:rsid w:val="3A5E3CBE"/>
    <w:rsid w:val="3A7C16A5"/>
    <w:rsid w:val="3A8C25D2"/>
    <w:rsid w:val="3AC71E21"/>
    <w:rsid w:val="3B563370"/>
    <w:rsid w:val="3CDA52CD"/>
    <w:rsid w:val="3D9F3221"/>
    <w:rsid w:val="3DCE485A"/>
    <w:rsid w:val="3DE54F7F"/>
    <w:rsid w:val="3E051487"/>
    <w:rsid w:val="3ECE3E1F"/>
    <w:rsid w:val="3EEF033C"/>
    <w:rsid w:val="3F5341FE"/>
    <w:rsid w:val="3F547DC4"/>
    <w:rsid w:val="3FBE3628"/>
    <w:rsid w:val="3FE97FBE"/>
    <w:rsid w:val="40403587"/>
    <w:rsid w:val="408365FB"/>
    <w:rsid w:val="4092311F"/>
    <w:rsid w:val="40F4229C"/>
    <w:rsid w:val="414746FD"/>
    <w:rsid w:val="415B7C5B"/>
    <w:rsid w:val="416C44F9"/>
    <w:rsid w:val="41764F49"/>
    <w:rsid w:val="4217368E"/>
    <w:rsid w:val="424B0F1C"/>
    <w:rsid w:val="424F527C"/>
    <w:rsid w:val="42CD054E"/>
    <w:rsid w:val="42F30F9F"/>
    <w:rsid w:val="438C79EA"/>
    <w:rsid w:val="440B25A5"/>
    <w:rsid w:val="441176EC"/>
    <w:rsid w:val="44B000D4"/>
    <w:rsid w:val="44E45ADE"/>
    <w:rsid w:val="459B4F7E"/>
    <w:rsid w:val="46AD7FCC"/>
    <w:rsid w:val="4790179A"/>
    <w:rsid w:val="479C2448"/>
    <w:rsid w:val="487D2327"/>
    <w:rsid w:val="48D333B8"/>
    <w:rsid w:val="495053BA"/>
    <w:rsid w:val="49D6477C"/>
    <w:rsid w:val="49FF5AE0"/>
    <w:rsid w:val="4A4D0FAC"/>
    <w:rsid w:val="4A731DB2"/>
    <w:rsid w:val="4AB81CBD"/>
    <w:rsid w:val="4ACC0C03"/>
    <w:rsid w:val="4AE12FA2"/>
    <w:rsid w:val="4BCC51E1"/>
    <w:rsid w:val="4C26098E"/>
    <w:rsid w:val="4C320D82"/>
    <w:rsid w:val="4C4738FC"/>
    <w:rsid w:val="4C753B85"/>
    <w:rsid w:val="4D766A75"/>
    <w:rsid w:val="4D9C02AD"/>
    <w:rsid w:val="4DBB1752"/>
    <w:rsid w:val="4DE6331E"/>
    <w:rsid w:val="4F352A98"/>
    <w:rsid w:val="4F7D50EE"/>
    <w:rsid w:val="4FDE656D"/>
    <w:rsid w:val="509167E7"/>
    <w:rsid w:val="51830DB0"/>
    <w:rsid w:val="51EC31C2"/>
    <w:rsid w:val="52443EA6"/>
    <w:rsid w:val="526108A7"/>
    <w:rsid w:val="5265577C"/>
    <w:rsid w:val="53DD5AB5"/>
    <w:rsid w:val="54055682"/>
    <w:rsid w:val="544C326A"/>
    <w:rsid w:val="554D3CEB"/>
    <w:rsid w:val="55A90FF1"/>
    <w:rsid w:val="55D02D79"/>
    <w:rsid w:val="56113878"/>
    <w:rsid w:val="57F81C76"/>
    <w:rsid w:val="58032FD6"/>
    <w:rsid w:val="58353AA0"/>
    <w:rsid w:val="583A254B"/>
    <w:rsid w:val="58BD703F"/>
    <w:rsid w:val="58C84833"/>
    <w:rsid w:val="590C4189"/>
    <w:rsid w:val="5A305411"/>
    <w:rsid w:val="5B3811D2"/>
    <w:rsid w:val="5B7A2728"/>
    <w:rsid w:val="5BF5015D"/>
    <w:rsid w:val="5C840CC0"/>
    <w:rsid w:val="5D037980"/>
    <w:rsid w:val="5DBC3248"/>
    <w:rsid w:val="5DD26CE9"/>
    <w:rsid w:val="5E4B45FA"/>
    <w:rsid w:val="5E8F47AA"/>
    <w:rsid w:val="5EA879E7"/>
    <w:rsid w:val="5ED10663"/>
    <w:rsid w:val="5EE85056"/>
    <w:rsid w:val="5F093B30"/>
    <w:rsid w:val="5F0D6BFF"/>
    <w:rsid w:val="5F1B3488"/>
    <w:rsid w:val="5FA04D35"/>
    <w:rsid w:val="60502671"/>
    <w:rsid w:val="60CA2299"/>
    <w:rsid w:val="60D21119"/>
    <w:rsid w:val="60D54722"/>
    <w:rsid w:val="623467C4"/>
    <w:rsid w:val="6258677E"/>
    <w:rsid w:val="62810010"/>
    <w:rsid w:val="628A54D9"/>
    <w:rsid w:val="634A07A3"/>
    <w:rsid w:val="6368403D"/>
    <w:rsid w:val="63990999"/>
    <w:rsid w:val="63D261E5"/>
    <w:rsid w:val="640C0814"/>
    <w:rsid w:val="64926BCA"/>
    <w:rsid w:val="649B194D"/>
    <w:rsid w:val="64FA7290"/>
    <w:rsid w:val="657A046B"/>
    <w:rsid w:val="65C467E5"/>
    <w:rsid w:val="65D825C1"/>
    <w:rsid w:val="66E77160"/>
    <w:rsid w:val="67172D8A"/>
    <w:rsid w:val="67544317"/>
    <w:rsid w:val="67872844"/>
    <w:rsid w:val="682D56F6"/>
    <w:rsid w:val="68A63209"/>
    <w:rsid w:val="6A334ED5"/>
    <w:rsid w:val="6AAA2077"/>
    <w:rsid w:val="6ADC3CDC"/>
    <w:rsid w:val="6B2C1CB2"/>
    <w:rsid w:val="6B404A3F"/>
    <w:rsid w:val="6B880C62"/>
    <w:rsid w:val="6BC42FB3"/>
    <w:rsid w:val="6C2B2226"/>
    <w:rsid w:val="6CF40DE6"/>
    <w:rsid w:val="6D426B21"/>
    <w:rsid w:val="6D7451C8"/>
    <w:rsid w:val="6E833B57"/>
    <w:rsid w:val="6EFF72D3"/>
    <w:rsid w:val="6F667FDA"/>
    <w:rsid w:val="6F674CA6"/>
    <w:rsid w:val="6FAE51FE"/>
    <w:rsid w:val="703B2A99"/>
    <w:rsid w:val="70536FA9"/>
    <w:rsid w:val="70B80970"/>
    <w:rsid w:val="70C76378"/>
    <w:rsid w:val="70DB392B"/>
    <w:rsid w:val="71E04B9A"/>
    <w:rsid w:val="72137709"/>
    <w:rsid w:val="725B1993"/>
    <w:rsid w:val="72C57698"/>
    <w:rsid w:val="72F55295"/>
    <w:rsid w:val="737814C4"/>
    <w:rsid w:val="740337EF"/>
    <w:rsid w:val="743C7237"/>
    <w:rsid w:val="746547B6"/>
    <w:rsid w:val="75005DA1"/>
    <w:rsid w:val="75114952"/>
    <w:rsid w:val="754E29FE"/>
    <w:rsid w:val="75906C53"/>
    <w:rsid w:val="75C346F4"/>
    <w:rsid w:val="75D00B0D"/>
    <w:rsid w:val="75FB3967"/>
    <w:rsid w:val="763E192F"/>
    <w:rsid w:val="773D49F2"/>
    <w:rsid w:val="77DF388C"/>
    <w:rsid w:val="78142F71"/>
    <w:rsid w:val="798C37D7"/>
    <w:rsid w:val="79E72193"/>
    <w:rsid w:val="7A65718C"/>
    <w:rsid w:val="7A942596"/>
    <w:rsid w:val="7A94551C"/>
    <w:rsid w:val="7AF5460A"/>
    <w:rsid w:val="7AFD7CA2"/>
    <w:rsid w:val="7B4E3F9F"/>
    <w:rsid w:val="7B8E304D"/>
    <w:rsid w:val="7B8F58E5"/>
    <w:rsid w:val="7BC75117"/>
    <w:rsid w:val="7BC93D3F"/>
    <w:rsid w:val="7C23124E"/>
    <w:rsid w:val="7C816A99"/>
    <w:rsid w:val="7CBB1745"/>
    <w:rsid w:val="7D02418A"/>
    <w:rsid w:val="7D3527E3"/>
    <w:rsid w:val="7DFD017C"/>
    <w:rsid w:val="7E4933EB"/>
    <w:rsid w:val="7E5D031B"/>
    <w:rsid w:val="7ED2539F"/>
    <w:rsid w:val="7F197FCF"/>
    <w:rsid w:val="7F3F653C"/>
    <w:rsid w:val="7F593736"/>
    <w:rsid w:val="7F704E71"/>
    <w:rsid w:val="7FE172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99"/>
    <w:pPr>
      <w:spacing w:beforeAutospacing="1" w:afterAutospacing="1"/>
      <w:jc w:val="left"/>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42"/>
    <w:qFormat/>
    <w:uiPriority w:val="99"/>
    <w:pPr>
      <w:spacing w:before="100" w:beforeAutospacing="1" w:after="100" w:afterAutospacing="1"/>
      <w:jc w:val="left"/>
      <w:outlineLvl w:val="2"/>
    </w:pPr>
    <w:rPr>
      <w:b/>
      <w:bCs/>
      <w:kern w:val="0"/>
      <w:sz w:val="32"/>
      <w:szCs w:val="32"/>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next w:val="1"/>
    <w:qFormat/>
    <w:uiPriority w:val="99"/>
    <w:pPr>
      <w:ind w:firstLine="420"/>
    </w:pPr>
  </w:style>
  <w:style w:type="paragraph" w:styleId="7">
    <w:name w:val="annotation text"/>
    <w:basedOn w:val="1"/>
    <w:link w:val="43"/>
    <w:qFormat/>
    <w:uiPriority w:val="99"/>
    <w:pPr>
      <w:jc w:val="left"/>
    </w:pPr>
    <w:rPr>
      <w:kern w:val="0"/>
      <w:sz w:val="24"/>
    </w:rPr>
  </w:style>
  <w:style w:type="paragraph" w:styleId="8">
    <w:name w:val="Body Text"/>
    <w:basedOn w:val="1"/>
    <w:next w:val="1"/>
    <w:link w:val="44"/>
    <w:qFormat/>
    <w:uiPriority w:val="99"/>
    <w:pPr>
      <w:spacing w:line="360" w:lineRule="auto"/>
    </w:pPr>
    <w:rPr>
      <w:kern w:val="0"/>
      <w:sz w:val="24"/>
    </w:rPr>
  </w:style>
  <w:style w:type="paragraph" w:styleId="9">
    <w:name w:val="Body Text Indent"/>
    <w:basedOn w:val="1"/>
    <w:next w:val="10"/>
    <w:link w:val="45"/>
    <w:qFormat/>
    <w:uiPriority w:val="99"/>
    <w:pPr>
      <w:ind w:left="420"/>
    </w:pPr>
    <w:rPr>
      <w:kern w:val="0"/>
      <w:sz w:val="24"/>
    </w:rPr>
  </w:style>
  <w:style w:type="paragraph" w:styleId="10">
    <w:name w:val="envelope return"/>
    <w:basedOn w:val="1"/>
    <w:qFormat/>
    <w:uiPriority w:val="0"/>
    <w:pPr>
      <w:snapToGrid w:val="0"/>
    </w:pPr>
    <w:rPr>
      <w:rFonts w:ascii="Arial" w:hAnsi="Arial"/>
    </w:rPr>
  </w:style>
  <w:style w:type="paragraph" w:styleId="11">
    <w:name w:val="Plain Text"/>
    <w:basedOn w:val="1"/>
    <w:link w:val="46"/>
    <w:qFormat/>
    <w:uiPriority w:val="99"/>
    <w:rPr>
      <w:rFonts w:ascii="宋体" w:hAnsi="Courier New"/>
      <w:kern w:val="0"/>
      <w:szCs w:val="21"/>
    </w:rPr>
  </w:style>
  <w:style w:type="paragraph" w:styleId="12">
    <w:name w:val="Date"/>
    <w:basedOn w:val="1"/>
    <w:next w:val="1"/>
    <w:qFormat/>
    <w:uiPriority w:val="0"/>
    <w:rPr>
      <w:sz w:val="28"/>
      <w:szCs w:val="20"/>
    </w:rPr>
  </w:style>
  <w:style w:type="paragraph" w:styleId="13">
    <w:name w:val="Body Text Indent 2"/>
    <w:basedOn w:val="1"/>
    <w:link w:val="47"/>
    <w:qFormat/>
    <w:uiPriority w:val="99"/>
    <w:pPr>
      <w:spacing w:line="360" w:lineRule="auto"/>
      <w:ind w:firstLine="507" w:firstLineChars="200"/>
    </w:pPr>
    <w:rPr>
      <w:kern w:val="0"/>
      <w:sz w:val="24"/>
    </w:rPr>
  </w:style>
  <w:style w:type="paragraph" w:styleId="14">
    <w:name w:val="Balloon Text"/>
    <w:basedOn w:val="1"/>
    <w:link w:val="68"/>
    <w:qFormat/>
    <w:uiPriority w:val="99"/>
    <w:rPr>
      <w:kern w:val="0"/>
      <w:sz w:val="2"/>
      <w:szCs w:val="20"/>
    </w:rPr>
  </w:style>
  <w:style w:type="paragraph" w:styleId="15">
    <w:name w:val="footer"/>
    <w:basedOn w:val="1"/>
    <w:link w:val="48"/>
    <w:qFormat/>
    <w:uiPriority w:val="99"/>
    <w:pPr>
      <w:tabs>
        <w:tab w:val="center" w:pos="4153"/>
        <w:tab w:val="right" w:pos="8306"/>
      </w:tabs>
      <w:snapToGrid w:val="0"/>
      <w:jc w:val="left"/>
    </w:pPr>
    <w:rPr>
      <w:kern w:val="0"/>
      <w:sz w:val="18"/>
      <w:szCs w:val="18"/>
    </w:rPr>
  </w:style>
  <w:style w:type="paragraph" w:styleId="16">
    <w:name w:val="header"/>
    <w:basedOn w:val="1"/>
    <w:next w:val="1"/>
    <w:link w:val="4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7">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8">
    <w:name w:val="toc 2"/>
    <w:basedOn w:val="1"/>
    <w:next w:val="1"/>
    <w:qFormat/>
    <w:uiPriority w:val="99"/>
    <w:pPr>
      <w:ind w:left="420" w:leftChars="200"/>
    </w:pPr>
  </w:style>
  <w:style w:type="paragraph" w:styleId="19">
    <w:name w:val="Normal (Web)"/>
    <w:basedOn w:val="1"/>
    <w:next w:val="1"/>
    <w:qFormat/>
    <w:uiPriority w:val="0"/>
    <w:pPr>
      <w:spacing w:line="300" w:lineRule="auto"/>
    </w:pPr>
    <w:rPr>
      <w:sz w:val="24"/>
    </w:rPr>
  </w:style>
  <w:style w:type="paragraph" w:styleId="20">
    <w:name w:val="Title"/>
    <w:basedOn w:val="1"/>
    <w:next w:val="1"/>
    <w:qFormat/>
    <w:uiPriority w:val="0"/>
    <w:pPr>
      <w:spacing w:line="360" w:lineRule="auto"/>
      <w:jc w:val="center"/>
      <w:outlineLvl w:val="0"/>
    </w:pPr>
    <w:rPr>
      <w:rFonts w:ascii="Cambria" w:hAnsi="Cambria"/>
      <w:b/>
      <w:bCs/>
      <w:kern w:val="0"/>
      <w:sz w:val="32"/>
      <w:szCs w:val="32"/>
    </w:rPr>
  </w:style>
  <w:style w:type="paragraph" w:styleId="21">
    <w:name w:val="Body Text First Indent"/>
    <w:basedOn w:val="8"/>
    <w:link w:val="50"/>
    <w:qFormat/>
    <w:uiPriority w:val="99"/>
    <w:pPr>
      <w:ind w:firstLine="420" w:firstLineChars="100"/>
    </w:pPr>
    <w:rPr>
      <w:bCs/>
    </w:rPr>
  </w:style>
  <w:style w:type="paragraph" w:styleId="22">
    <w:name w:val="Body Text First Indent 2"/>
    <w:basedOn w:val="9"/>
    <w:next w:val="1"/>
    <w:link w:val="51"/>
    <w:qFormat/>
    <w:uiPriority w:val="99"/>
    <w:pPr>
      <w:spacing w:after="120"/>
      <w:ind w:left="200" w:leftChars="200" w:firstLine="420" w:firstLineChars="200"/>
    </w:p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5">
    <w:name w:val="Table Elegant"/>
    <w:basedOn w:val="23"/>
    <w:qFormat/>
    <w:uiPriority w:val="0"/>
    <w:pPr>
      <w:widowControl w:val="0"/>
      <w:jc w:val="center"/>
    </w:pPr>
    <w:rPr>
      <w:sz w:val="21"/>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FFFFFF"/>
      <w:vAlign w:val="center"/>
    </w:tcPr>
    <w:tblStylePr w:type="firstRow">
      <w:rPr>
        <w:caps/>
        <w:color w:val="auto"/>
      </w:rPr>
      <w:tblPr>
        <w:tblLayout w:type="fixed"/>
      </w:tblPr>
      <w:tcPr>
        <w:shd w:val="clear" w:color="auto" w:fill="BFBFBF"/>
      </w:tcPr>
    </w:tblStylePr>
    <w:tblStylePr w:type="lastRow">
      <w:tcPr>
        <w:shd w:val="clear" w:color="auto" w:fill="FFFFFF"/>
      </w:tcPr>
    </w:tblStylePr>
    <w:tblStylePr w:type="band1Horz">
      <w:tcPr>
        <w:shd w:val="clear" w:color="auto" w:fill="FFFFFF"/>
      </w:tcPr>
    </w:tblStylePr>
  </w:style>
  <w:style w:type="character" w:styleId="27">
    <w:name w:val="Strong"/>
    <w:basedOn w:val="26"/>
    <w:qFormat/>
    <w:uiPriority w:val="99"/>
    <w:rPr>
      <w:rFonts w:cs="Times New Roman"/>
      <w:b/>
    </w:rPr>
  </w:style>
  <w:style w:type="character" w:styleId="28">
    <w:name w:val="page number"/>
    <w:qFormat/>
    <w:uiPriority w:val="99"/>
    <w:rPr>
      <w:rFonts w:cs="Times New Roman"/>
    </w:rPr>
  </w:style>
  <w:style w:type="character" w:styleId="29">
    <w:name w:val="FollowedHyperlink"/>
    <w:qFormat/>
    <w:uiPriority w:val="99"/>
    <w:rPr>
      <w:rFonts w:cs="Times New Roman"/>
      <w:color w:val="3366CC"/>
      <w:u w:val="none"/>
    </w:rPr>
  </w:style>
  <w:style w:type="character" w:styleId="30">
    <w:name w:val="Emphasis"/>
    <w:qFormat/>
    <w:uiPriority w:val="99"/>
    <w:rPr>
      <w:rFonts w:cs="Times New Roman"/>
      <w:color w:val="CC0000"/>
    </w:rPr>
  </w:style>
  <w:style w:type="character" w:styleId="31">
    <w:name w:val="HTML Definition"/>
    <w:qFormat/>
    <w:uiPriority w:val="99"/>
    <w:rPr>
      <w:rFonts w:cs="Times New Roman"/>
      <w:i/>
    </w:rPr>
  </w:style>
  <w:style w:type="character" w:styleId="32">
    <w:name w:val="Hyperlink"/>
    <w:qFormat/>
    <w:uiPriority w:val="99"/>
    <w:rPr>
      <w:rFonts w:cs="Times New Roman"/>
      <w:color w:val="000000"/>
      <w:u w:val="none"/>
    </w:rPr>
  </w:style>
  <w:style w:type="character" w:styleId="33">
    <w:name w:val="annotation reference"/>
    <w:qFormat/>
    <w:uiPriority w:val="99"/>
    <w:rPr>
      <w:rFonts w:cs="Times New Roman"/>
      <w:sz w:val="21"/>
      <w:szCs w:val="21"/>
    </w:rPr>
  </w:style>
  <w:style w:type="character" w:styleId="34">
    <w:name w:val="HTML Cite"/>
    <w:qFormat/>
    <w:uiPriority w:val="99"/>
    <w:rPr>
      <w:rFonts w:cs="Times New Roman"/>
      <w:color w:val="008000"/>
    </w:rPr>
  </w:style>
  <w:style w:type="paragraph" w:customStyle="1" w:styleId="35">
    <w:name w:val="样式 首行缩进:  2 字符"/>
    <w:basedOn w:val="1"/>
    <w:qFormat/>
    <w:uiPriority w:val="0"/>
    <w:pPr>
      <w:ind w:firstLine="560"/>
    </w:pPr>
    <w:rPr>
      <w:rFonts w:eastAsia="仿宋_GB2312" w:cs="宋体"/>
      <w:sz w:val="24"/>
    </w:rPr>
  </w:style>
  <w:style w:type="paragraph" w:customStyle="1" w:styleId="36">
    <w:name w:val="表格文字"/>
    <w:basedOn w:val="1"/>
    <w:next w:val="8"/>
    <w:qFormat/>
    <w:uiPriority w:val="99"/>
    <w:pPr>
      <w:adjustRightInd w:val="0"/>
      <w:spacing w:line="420" w:lineRule="atLeast"/>
      <w:jc w:val="left"/>
      <w:textAlignment w:val="baseline"/>
    </w:pPr>
    <w:rPr>
      <w:kern w:val="0"/>
      <w:szCs w:val="20"/>
    </w:rPr>
  </w:style>
  <w:style w:type="paragraph" w:customStyle="1" w:styleId="37">
    <w:name w:val="_Style 2"/>
    <w:basedOn w:val="1"/>
    <w:next w:val="1"/>
    <w:qFormat/>
    <w:uiPriority w:val="99"/>
    <w:pPr>
      <w:ind w:firstLine="420"/>
    </w:pPr>
    <w:rPr>
      <w:rFonts w:ascii="Cambria" w:hAnsi="Cambria"/>
    </w:rPr>
  </w:style>
  <w:style w:type="paragraph" w:customStyle="1" w:styleId="38">
    <w:name w:val="Char1"/>
    <w:basedOn w:val="1"/>
    <w:qFormat/>
    <w:uiPriority w:val="0"/>
    <w:pPr>
      <w:widowControl/>
      <w:suppressAutoHyphens/>
      <w:spacing w:after="160" w:line="240" w:lineRule="exact"/>
      <w:jc w:val="left"/>
    </w:pPr>
    <w:rPr>
      <w:rFonts w:ascii="Verdana" w:hAnsi="Verdana" w:eastAsia="Times New Roman"/>
      <w:kern w:val="0"/>
      <w:sz w:val="20"/>
      <w:szCs w:val="20"/>
      <w:lang w:eastAsia="en-US"/>
    </w:rPr>
  </w:style>
  <w:style w:type="paragraph" w:customStyle="1" w:styleId="39">
    <w:name w:val="Char"/>
    <w:basedOn w:val="1"/>
    <w:qFormat/>
    <w:uiPriority w:val="0"/>
    <w:rPr>
      <w:rFonts w:ascii="Tahoma" w:hAnsi="Tahoma"/>
      <w:sz w:val="24"/>
      <w:szCs w:val="20"/>
    </w:rPr>
  </w:style>
  <w:style w:type="paragraph" w:customStyle="1" w:styleId="40">
    <w:name w:val="_Style 3"/>
    <w:basedOn w:val="1"/>
    <w:qFormat/>
    <w:uiPriority w:val="0"/>
    <w:pPr>
      <w:spacing w:line="240" w:lineRule="atLeast"/>
      <w:ind w:left="420" w:firstLine="420"/>
    </w:pPr>
    <w:rPr>
      <w:rFonts w:ascii="Calibri" w:hAnsi="Calibri"/>
    </w:rPr>
  </w:style>
  <w:style w:type="character" w:customStyle="1" w:styleId="41">
    <w:name w:val="标题 1 字符"/>
    <w:qFormat/>
    <w:uiPriority w:val="99"/>
    <w:rPr>
      <w:rFonts w:cs="Times New Roman"/>
      <w:b/>
      <w:bCs/>
      <w:kern w:val="44"/>
      <w:sz w:val="44"/>
      <w:szCs w:val="44"/>
    </w:rPr>
  </w:style>
  <w:style w:type="character" w:customStyle="1" w:styleId="42">
    <w:name w:val="标题 3 字符"/>
    <w:link w:val="5"/>
    <w:qFormat/>
    <w:uiPriority w:val="99"/>
    <w:rPr>
      <w:rFonts w:cs="Times New Roman"/>
      <w:b/>
      <w:bCs/>
      <w:sz w:val="32"/>
      <w:szCs w:val="32"/>
    </w:rPr>
  </w:style>
  <w:style w:type="character" w:customStyle="1" w:styleId="43">
    <w:name w:val="批注文字 字符"/>
    <w:link w:val="7"/>
    <w:qFormat/>
    <w:uiPriority w:val="99"/>
    <w:rPr>
      <w:rFonts w:cs="Times New Roman"/>
      <w:sz w:val="24"/>
      <w:szCs w:val="24"/>
    </w:rPr>
  </w:style>
  <w:style w:type="character" w:customStyle="1" w:styleId="44">
    <w:name w:val="正文文本 字符"/>
    <w:link w:val="8"/>
    <w:qFormat/>
    <w:uiPriority w:val="99"/>
    <w:rPr>
      <w:rFonts w:cs="Times New Roman"/>
      <w:sz w:val="24"/>
      <w:szCs w:val="24"/>
    </w:rPr>
  </w:style>
  <w:style w:type="character" w:customStyle="1" w:styleId="45">
    <w:name w:val="正文文本缩进 字符"/>
    <w:link w:val="9"/>
    <w:qFormat/>
    <w:uiPriority w:val="99"/>
    <w:rPr>
      <w:rFonts w:cs="Times New Roman"/>
      <w:sz w:val="24"/>
      <w:szCs w:val="24"/>
    </w:rPr>
  </w:style>
  <w:style w:type="character" w:customStyle="1" w:styleId="46">
    <w:name w:val="纯文本 字符"/>
    <w:link w:val="11"/>
    <w:qFormat/>
    <w:uiPriority w:val="99"/>
    <w:rPr>
      <w:rFonts w:ascii="宋体" w:hAnsi="Courier New" w:cs="Courier New"/>
      <w:sz w:val="21"/>
      <w:szCs w:val="21"/>
    </w:rPr>
  </w:style>
  <w:style w:type="character" w:customStyle="1" w:styleId="47">
    <w:name w:val="正文文本缩进 2 字符"/>
    <w:link w:val="13"/>
    <w:qFormat/>
    <w:uiPriority w:val="99"/>
    <w:rPr>
      <w:rFonts w:cs="Times New Roman"/>
      <w:sz w:val="24"/>
      <w:szCs w:val="24"/>
    </w:rPr>
  </w:style>
  <w:style w:type="character" w:customStyle="1" w:styleId="48">
    <w:name w:val="页脚 字符"/>
    <w:link w:val="15"/>
    <w:qFormat/>
    <w:uiPriority w:val="99"/>
    <w:rPr>
      <w:rFonts w:cs="Times New Roman"/>
      <w:sz w:val="18"/>
      <w:szCs w:val="18"/>
    </w:rPr>
  </w:style>
  <w:style w:type="character" w:customStyle="1" w:styleId="49">
    <w:name w:val="页眉 字符"/>
    <w:link w:val="16"/>
    <w:qFormat/>
    <w:uiPriority w:val="99"/>
    <w:rPr>
      <w:rFonts w:cs="Times New Roman"/>
      <w:sz w:val="18"/>
      <w:szCs w:val="18"/>
    </w:rPr>
  </w:style>
  <w:style w:type="character" w:customStyle="1" w:styleId="50">
    <w:name w:val="正文文本首行缩进 字符"/>
    <w:link w:val="21"/>
    <w:qFormat/>
    <w:uiPriority w:val="99"/>
    <w:rPr>
      <w:rFonts w:cs="Times New Roman"/>
      <w:sz w:val="24"/>
      <w:szCs w:val="24"/>
    </w:rPr>
  </w:style>
  <w:style w:type="character" w:customStyle="1" w:styleId="51">
    <w:name w:val="正文文本首行缩进 2 字符"/>
    <w:link w:val="22"/>
    <w:qFormat/>
    <w:uiPriority w:val="99"/>
    <w:rPr>
      <w:rFonts w:cs="Times New Roman"/>
      <w:sz w:val="24"/>
      <w:szCs w:val="24"/>
    </w:rPr>
  </w:style>
  <w:style w:type="paragraph" w:customStyle="1" w:styleId="52">
    <w:name w:val="Char Char Char Char"/>
    <w:basedOn w:val="1"/>
    <w:qFormat/>
    <w:uiPriority w:val="99"/>
    <w:rPr>
      <w:rFonts w:ascii="Tahoma" w:hAnsi="Tahoma"/>
      <w:sz w:val="24"/>
      <w:szCs w:val="20"/>
    </w:rPr>
  </w:style>
  <w:style w:type="paragraph" w:customStyle="1" w:styleId="53">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4">
    <w:name w:val="样式3"/>
    <w:basedOn w:val="11"/>
    <w:qFormat/>
    <w:uiPriority w:val="99"/>
    <w:pPr>
      <w:spacing w:line="240" w:lineRule="atLeast"/>
      <w:outlineLvl w:val="0"/>
    </w:pPr>
    <w:rPr>
      <w:sz w:val="28"/>
      <w:szCs w:val="20"/>
    </w:rPr>
  </w:style>
  <w:style w:type="paragraph" w:customStyle="1" w:styleId="55">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6">
    <w:name w:val="c-icon"/>
    <w:qFormat/>
    <w:uiPriority w:val="99"/>
    <w:rPr>
      <w:rFonts w:cs="Times New Roman"/>
    </w:rPr>
  </w:style>
  <w:style w:type="character" w:customStyle="1" w:styleId="57">
    <w:name w:val="input_span1"/>
    <w:qFormat/>
    <w:uiPriority w:val="99"/>
    <w:rPr>
      <w:rFonts w:cs="Times New Roman"/>
      <w:bdr w:val="single" w:color="9B9B9B" w:sz="6" w:space="0"/>
    </w:rPr>
  </w:style>
  <w:style w:type="character" w:customStyle="1" w:styleId="58">
    <w:name w:val="col3"/>
    <w:qFormat/>
    <w:uiPriority w:val="99"/>
    <w:rPr>
      <w:rFonts w:cs="Times New Roman"/>
    </w:rPr>
  </w:style>
  <w:style w:type="character" w:customStyle="1" w:styleId="59">
    <w:name w:val="inputhighlight"/>
    <w:qFormat/>
    <w:uiPriority w:val="99"/>
    <w:rPr>
      <w:rFonts w:cs="Times New Roman"/>
    </w:rPr>
  </w:style>
  <w:style w:type="character" w:customStyle="1" w:styleId="60">
    <w:name w:val="col1"/>
    <w:qFormat/>
    <w:uiPriority w:val="99"/>
    <w:rPr>
      <w:rFonts w:cs="Times New Roman"/>
    </w:rPr>
  </w:style>
  <w:style w:type="character" w:customStyle="1" w:styleId="61">
    <w:name w:val="remainvalue"/>
    <w:qFormat/>
    <w:uiPriority w:val="99"/>
    <w:rPr>
      <w:rFonts w:ascii="微软雅黑" w:hAnsi="微软雅黑" w:eastAsia="微软雅黑" w:cs="微软雅黑"/>
      <w:b/>
      <w:color w:val="FF0000"/>
      <w:sz w:val="30"/>
      <w:szCs w:val="30"/>
    </w:rPr>
  </w:style>
  <w:style w:type="character" w:customStyle="1" w:styleId="62">
    <w:name w:val="gjfg"/>
    <w:qFormat/>
    <w:uiPriority w:val="99"/>
    <w:rPr>
      <w:rFonts w:cs="Times New Roman"/>
    </w:rPr>
  </w:style>
  <w:style w:type="character" w:customStyle="1" w:styleId="63">
    <w:name w:val="redfilefwwh"/>
    <w:qFormat/>
    <w:uiPriority w:val="99"/>
    <w:rPr>
      <w:rFonts w:cs="Times New Roman"/>
      <w:color w:val="BA2636"/>
      <w:sz w:val="18"/>
      <w:szCs w:val="18"/>
    </w:rPr>
  </w:style>
  <w:style w:type="character" w:customStyle="1" w:styleId="64">
    <w:name w:val="redfilenumber"/>
    <w:qFormat/>
    <w:uiPriority w:val="99"/>
    <w:rPr>
      <w:rFonts w:cs="Times New Roman"/>
      <w:color w:val="BA2636"/>
      <w:sz w:val="18"/>
      <w:szCs w:val="18"/>
    </w:rPr>
  </w:style>
  <w:style w:type="character" w:customStyle="1" w:styleId="65">
    <w:name w:val="qxdate"/>
    <w:qFormat/>
    <w:uiPriority w:val="99"/>
    <w:rPr>
      <w:rFonts w:cs="Times New Roman"/>
      <w:color w:val="333333"/>
      <w:sz w:val="18"/>
      <w:szCs w:val="18"/>
    </w:rPr>
  </w:style>
  <w:style w:type="character" w:customStyle="1" w:styleId="66">
    <w:name w:val="displayarti"/>
    <w:qFormat/>
    <w:uiPriority w:val="99"/>
    <w:rPr>
      <w:rFonts w:cs="Times New Roman"/>
      <w:color w:val="FFFFFF"/>
      <w:shd w:val="clear" w:color="auto" w:fill="A00000"/>
    </w:rPr>
  </w:style>
  <w:style w:type="character" w:customStyle="1" w:styleId="67">
    <w:name w:val="cfdate"/>
    <w:qFormat/>
    <w:uiPriority w:val="99"/>
    <w:rPr>
      <w:rFonts w:cs="Times New Roman"/>
      <w:color w:val="333333"/>
      <w:sz w:val="18"/>
      <w:szCs w:val="18"/>
    </w:rPr>
  </w:style>
  <w:style w:type="character" w:customStyle="1" w:styleId="68">
    <w:name w:val="批注框文本 字符"/>
    <w:link w:val="14"/>
    <w:qFormat/>
    <w:uiPriority w:val="99"/>
    <w:rPr>
      <w:rFonts w:cs="Times New Roman"/>
      <w:sz w:val="2"/>
    </w:rPr>
  </w:style>
  <w:style w:type="paragraph" w:customStyle="1" w:styleId="69">
    <w:name w:val="1正文-lcx"/>
    <w:basedOn w:val="1"/>
    <w:qFormat/>
    <w:uiPriority w:val="0"/>
    <w:pPr>
      <w:spacing w:line="480" w:lineRule="exact"/>
      <w:ind w:firstLine="200"/>
    </w:pPr>
    <w:rPr>
      <w:sz w:val="28"/>
      <w:szCs w:val="28"/>
    </w:rPr>
  </w:style>
  <w:style w:type="paragraph" w:customStyle="1" w:styleId="70">
    <w:name w:val="列出段落1"/>
    <w:basedOn w:val="1"/>
    <w:qFormat/>
    <w:uiPriority w:val="0"/>
    <w:pPr>
      <w:ind w:firstLine="420" w:firstLineChars="200"/>
    </w:pPr>
  </w:style>
  <w:style w:type="paragraph" w:styleId="71">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lang w:val="en-US" w:eastAsia="zh-CN" w:bidi="ar-SA"/>
    </w:rPr>
  </w:style>
  <w:style w:type="paragraph" w:customStyle="1" w:styleId="72">
    <w:name w:val="纯文本2"/>
    <w:basedOn w:val="1"/>
    <w:qFormat/>
    <w:uiPriority w:val="0"/>
    <w:rPr>
      <w:rFonts w:ascii="宋体" w:hAnsi="Courier New" w:cs="Courier New"/>
      <w:szCs w:val="21"/>
    </w:rPr>
  </w:style>
  <w:style w:type="character" w:customStyle="1" w:styleId="73">
    <w:name w:val="标题 1 字符1"/>
    <w:basedOn w:val="26"/>
    <w:link w:val="3"/>
    <w:qFormat/>
    <w:uiPriority w:val="0"/>
    <w:rPr>
      <w:rFonts w:hint="default" w:ascii="Times New Roman" w:hAnsi="Times New Roman" w:eastAsia="宋体" w:cs="Times New Roman"/>
      <w:b/>
      <w:kern w:val="44"/>
      <w:sz w:val="44"/>
      <w:szCs w:val="44"/>
    </w:rPr>
  </w:style>
  <w:style w:type="character" w:customStyle="1" w:styleId="74">
    <w:name w:val="15"/>
    <w:basedOn w:val="26"/>
    <w:qFormat/>
    <w:uiPriority w:val="0"/>
    <w:rPr>
      <w:rFonts w:hint="default" w:ascii="Times New Roman" w:hAnsi="Times New Roman" w:cs="Times New Roman"/>
    </w:rPr>
  </w:style>
  <w:style w:type="paragraph" w:customStyle="1" w:styleId="75">
    <w:name w:val="正文首缩两字"/>
    <w:basedOn w:val="1"/>
    <w:qFormat/>
    <w:uiPriority w:val="0"/>
    <w:pPr>
      <w:spacing w:line="360" w:lineRule="auto"/>
      <w:ind w:firstLine="200" w:firstLineChars="200"/>
    </w:pPr>
    <w:rPr>
      <w:rFonts w:ascii="Verdana" w:hAnsi="Verdana"/>
      <w:sz w:val="24"/>
    </w:rPr>
  </w:style>
  <w:style w:type="character" w:customStyle="1" w:styleId="76">
    <w:name w:val="font31"/>
    <w:basedOn w:val="26"/>
    <w:qFormat/>
    <w:uiPriority w:val="0"/>
    <w:rPr>
      <w:rFonts w:hint="eastAsia" w:ascii="宋体" w:hAnsi="宋体" w:eastAsia="宋体" w:cs="宋体"/>
      <w:color w:val="FF0000"/>
      <w:sz w:val="24"/>
      <w:szCs w:val="24"/>
      <w:u w:val="none"/>
    </w:rPr>
  </w:style>
  <w:style w:type="character" w:customStyle="1" w:styleId="77">
    <w:name w:val="font41"/>
    <w:basedOn w:val="26"/>
    <w:qFormat/>
    <w:uiPriority w:val="0"/>
    <w:rPr>
      <w:rFonts w:hint="default" w:ascii="Times New Roman" w:hAnsi="Times New Roman" w:cs="Times New Roman"/>
      <w:color w:val="FF0000"/>
      <w:sz w:val="24"/>
      <w:szCs w:val="24"/>
      <w:u w:val="none"/>
    </w:rPr>
  </w:style>
  <w:style w:type="character" w:customStyle="1" w:styleId="78">
    <w:name w:val="font111"/>
    <w:basedOn w:val="26"/>
    <w:qFormat/>
    <w:uiPriority w:val="0"/>
    <w:rPr>
      <w:rFonts w:hint="default" w:ascii="等线" w:hAnsi="等线" w:eastAsia="等线" w:cs="等线"/>
      <w:color w:val="FF0000"/>
      <w:sz w:val="24"/>
      <w:szCs w:val="24"/>
      <w:u w:val="none"/>
    </w:rPr>
  </w:style>
  <w:style w:type="character" w:customStyle="1" w:styleId="79">
    <w:name w:val="+正文 Char Char4"/>
    <w:qFormat/>
    <w:uiPriority w:val="0"/>
    <w:rPr>
      <w:rFonts w:eastAsia="宋体"/>
      <w:kern w:val="2"/>
      <w:sz w:val="24"/>
      <w:szCs w:val="24"/>
      <w:lang w:val="en-US" w:eastAsia="zh-CN" w:bidi="ar-SA"/>
    </w:rPr>
  </w:style>
  <w:style w:type="paragraph" w:customStyle="1" w:styleId="80">
    <w:name w:val="zz正文"/>
    <w:basedOn w:val="1"/>
    <w:qFormat/>
    <w:uiPriority w:val="0"/>
    <w:pPr>
      <w:adjustRightInd w:val="0"/>
      <w:snapToGrid w:val="0"/>
      <w:ind w:firstLine="200" w:firstLineChars="200"/>
      <w:textAlignment w:val="center"/>
    </w:pPr>
    <w:rPr>
      <w:rFonts w:cs="宋体"/>
      <w:szCs w:val="20"/>
    </w:rPr>
  </w:style>
  <w:style w:type="paragraph" w:customStyle="1" w:styleId="81">
    <w:name w:val="+正文"/>
    <w:basedOn w:val="1"/>
    <w:qFormat/>
    <w:uiPriority w:val="0"/>
    <w:pPr>
      <w:ind w:firstLine="200" w:firstLineChars="200"/>
    </w:pPr>
    <w:rPr>
      <w:szCs w:val="28"/>
    </w:rPr>
  </w:style>
  <w:style w:type="paragraph" w:customStyle="1" w:styleId="82">
    <w:name w:val="彩色列表1"/>
    <w:basedOn w:val="1"/>
    <w:qFormat/>
    <w:uiPriority w:val="34"/>
    <w:pPr>
      <w:ind w:firstLine="420" w:firstLineChars="200"/>
    </w:pPr>
  </w:style>
  <w:style w:type="character" w:customStyle="1" w:styleId="83">
    <w:name w:val="font61"/>
    <w:basedOn w:val="26"/>
    <w:qFormat/>
    <w:uiPriority w:val="0"/>
    <w:rPr>
      <w:rFonts w:hint="eastAsia" w:ascii="宋体" w:hAnsi="宋体" w:eastAsia="宋体" w:cs="宋体"/>
      <w:color w:val="auto"/>
      <w:sz w:val="16"/>
      <w:szCs w:val="16"/>
      <w:u w:val="none"/>
    </w:rPr>
  </w:style>
  <w:style w:type="paragraph" w:customStyle="1" w:styleId="84">
    <w:name w:val="Char Char1 Char Char Char"/>
    <w:basedOn w:val="1"/>
    <w:qFormat/>
    <w:uiPriority w:val="0"/>
    <w:rPr>
      <w:kern w:val="0"/>
      <w:sz w:val="20"/>
      <w:szCs w:val="20"/>
    </w:rPr>
  </w:style>
  <w:style w:type="paragraph" w:customStyle="1" w:styleId="85">
    <w:name w:val="Other|1"/>
    <w:basedOn w:val="1"/>
    <w:qFormat/>
    <w:uiPriority w:val="0"/>
    <w:pPr>
      <w:spacing w:line="480" w:lineRule="auto"/>
      <w:ind w:firstLine="160"/>
    </w:pPr>
    <w:rPr>
      <w:rFonts w:ascii="宋体" w:hAnsi="宋体" w:cs="宋体"/>
      <w:sz w:val="20"/>
      <w:szCs w:val="20"/>
      <w:lang w:val="zh-TW" w:eastAsia="zh-TW" w:bidi="zh-TW"/>
    </w:rPr>
  </w:style>
  <w:style w:type="paragraph" w:customStyle="1" w:styleId="86">
    <w:name w:val="Heading #3|1"/>
    <w:basedOn w:val="1"/>
    <w:qFormat/>
    <w:uiPriority w:val="0"/>
    <w:pPr>
      <w:spacing w:after="100"/>
      <w:outlineLvl w:val="2"/>
    </w:pPr>
    <w:rPr>
      <w:rFonts w:ascii="宋体" w:hAnsi="宋体" w:cs="宋体"/>
      <w:lang w:val="zh-TW" w:eastAsia="zh-TW" w:bidi="zh-TW"/>
    </w:rPr>
  </w:style>
  <w:style w:type="paragraph" w:customStyle="1" w:styleId="87">
    <w:name w:val="Body text|1"/>
    <w:basedOn w:val="1"/>
    <w:qFormat/>
    <w:uiPriority w:val="0"/>
    <w:pPr>
      <w:spacing w:line="480" w:lineRule="auto"/>
      <w:ind w:firstLine="160"/>
    </w:pPr>
    <w:rPr>
      <w:rFonts w:ascii="宋体" w:hAnsi="宋体" w:cs="宋体"/>
      <w:sz w:val="20"/>
      <w:szCs w:val="20"/>
      <w:lang w:val="zh-TW" w:eastAsia="zh-TW" w:bidi="zh-TW"/>
    </w:rPr>
  </w:style>
  <w:style w:type="paragraph" w:customStyle="1" w:styleId="88">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89">
    <w:name w:val="文本"/>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table" w:customStyle="1" w:styleId="90">
    <w:name w:val="网格型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1">
    <w:name w:val="NormalCharacter"/>
    <w:qFormat/>
    <w:uiPriority w:val="0"/>
    <w:rPr>
      <w:kern w:val="2"/>
      <w:sz w:val="21"/>
      <w:szCs w:val="24"/>
      <w:lang w:val="en-US" w:eastAsia="zh-CN" w:bidi="ar-SA"/>
    </w:rPr>
  </w:style>
  <w:style w:type="paragraph" w:customStyle="1" w:styleId="92">
    <w:name w:val="文档正文"/>
    <w:basedOn w:val="1"/>
    <w:qFormat/>
    <w:uiPriority w:val="0"/>
    <w:pPr>
      <w:adjustRightInd w:val="0"/>
      <w:spacing w:afterLines="100" w:line="360" w:lineRule="auto"/>
      <w:ind w:firstLine="567"/>
      <w:textAlignment w:val="baseline"/>
    </w:pPr>
    <w:rPr>
      <w:rFonts w:ascii="Arial" w:hAnsi="Arial"/>
      <w:kern w:val="0"/>
      <w:sz w:val="24"/>
      <w:szCs w:val="20"/>
    </w:rPr>
  </w:style>
  <w:style w:type="paragraph" w:customStyle="1" w:styleId="93">
    <w:name w:val="Normal Indent1"/>
    <w:basedOn w:val="1"/>
    <w:qFormat/>
    <w:uiPriority w:val="0"/>
    <w:pPr>
      <w:ind w:firstLine="420" w:firstLineChars="200"/>
    </w:pPr>
  </w:style>
  <w:style w:type="paragraph" w:styleId="94">
    <w:name w:val="List Paragraph"/>
    <w:basedOn w:val="1"/>
    <w:unhideWhenUsed/>
    <w:qFormat/>
    <w:uiPriority w:val="99"/>
    <w:pPr>
      <w:ind w:firstLine="420" w:firstLineChars="200"/>
    </w:pPr>
  </w:style>
  <w:style w:type="paragraph" w:customStyle="1" w:styleId="95">
    <w:name w:val="Table Paragraph"/>
    <w:basedOn w:val="1"/>
    <w:qFormat/>
    <w:uiPriority w:val="1"/>
    <w:pPr>
      <w:autoSpaceDE w:val="0"/>
      <w:autoSpaceDN w:val="0"/>
      <w:jc w:val="left"/>
    </w:pPr>
    <w:rPr>
      <w:rFonts w:ascii="宋体" w:hAnsi="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416BB-FD4B-46E2-96EE-20B9A77E1F7E}">
  <ds:schemaRefs/>
</ds:datastoreItem>
</file>

<file path=docProps/app.xml><?xml version="1.0" encoding="utf-8"?>
<Properties xmlns="http://schemas.openxmlformats.org/officeDocument/2006/extended-properties" xmlns:vt="http://schemas.openxmlformats.org/officeDocument/2006/docPropsVTypes">
  <Template>Normal</Template>
  <Pages>89</Pages>
  <Words>48530</Words>
  <Characters>50039</Characters>
  <Lines>387</Lines>
  <Paragraphs>108</Paragraphs>
  <TotalTime>2</TotalTime>
  <ScaleCrop>false</ScaleCrop>
  <LinksUpToDate>false</LinksUpToDate>
  <CharactersWithSpaces>52162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2022-10-17T03:53:00Z</dcterms:created>
  <dc:creator>pc</dc:creator>
  <cp:lastModifiedBy>Administrator</cp:lastModifiedBy>
  <cp:lastPrinted>2022-11-14T02:34:00Z</cp:lastPrinted>
  <dcterms:modified xsi:type="dcterms:W3CDTF">2022-11-24T01:21:41Z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B2C6A04315B74961A06A909C7186FE94</vt:lpwstr>
  </property>
</Properties>
</file>