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Times New Roman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sz w:val="36"/>
          <w:szCs w:val="36"/>
          <w:highlight w:val="none"/>
        </w:rPr>
        <w:t>招标公告</w:t>
      </w:r>
      <w:bookmarkStart w:id="1" w:name="_GoBack"/>
      <w:bookmarkEnd w:id="1"/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900"/>
          <w:tab w:val="left" w:pos="1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2" w:firstLineChars="200"/>
        <w:textAlignment w:val="auto"/>
        <w:rPr>
          <w:rFonts w:hint="eastAsia" w:ascii="宋体" w:hAnsi="宋体" w:eastAsia="宋体" w:cs="Times New Roman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Times New Roman"/>
          <w:b/>
          <w:color w:val="auto"/>
          <w:sz w:val="24"/>
          <w:highlight w:val="none"/>
        </w:rPr>
        <w:t>招标条件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left"/>
        <w:textAlignment w:val="auto"/>
        <w:rPr>
          <w:rFonts w:hint="default" w:ascii="宋体" w:hAnsi="宋体" w:eastAsia="宋体" w:cs="Times New Roman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highlight w:val="none"/>
        </w:rPr>
        <w:t>本招标项目</w:t>
      </w:r>
      <w:r>
        <w:rPr>
          <w:rFonts w:hint="eastAsia" w:ascii="宋体" w:hAnsi="宋体" w:eastAsia="宋体" w:cs="Times New Roman"/>
          <w:color w:val="auto"/>
          <w:sz w:val="24"/>
          <w:highlight w:val="none"/>
          <w:u w:val="single"/>
          <w:lang w:val="en-US" w:eastAsia="zh-CN"/>
        </w:rPr>
        <w:t>对外培训及交流中心一层连廊玻璃顶棚改造工程</w:t>
      </w:r>
      <w:r>
        <w:rPr>
          <w:rFonts w:hint="eastAsia" w:ascii="宋体" w:hAnsi="宋体" w:eastAsia="宋体" w:cs="Times New Roman"/>
          <w:color w:val="auto"/>
          <w:sz w:val="24"/>
          <w:highlight w:val="none"/>
        </w:rPr>
        <w:t>已批准建设，项目业主为</w:t>
      </w:r>
      <w:r>
        <w:rPr>
          <w:rFonts w:hint="eastAsia" w:ascii="宋体" w:hAnsi="宋体" w:eastAsia="宋体" w:cs="Courier New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>湄洲湾职业技术学院</w:t>
      </w:r>
      <w:r>
        <w:rPr>
          <w:rFonts w:hint="eastAsia" w:ascii="宋体" w:hAnsi="宋体" w:eastAsia="宋体" w:cs="Times New Roman"/>
          <w:color w:val="auto"/>
          <w:sz w:val="24"/>
          <w:highlight w:val="none"/>
        </w:rPr>
        <w:t>，建设资金来源</w:t>
      </w:r>
      <w:r>
        <w:rPr>
          <w:rFonts w:hint="eastAsia" w:ascii="宋体" w:hAnsi="宋体" w:eastAsia="宋体" w:cs="Times New Roman"/>
          <w:color w:val="auto"/>
          <w:sz w:val="24"/>
          <w:highlight w:val="none"/>
          <w:lang w:val="en-US" w:eastAsia="zh-CN"/>
        </w:rPr>
        <w:t>为</w:t>
      </w:r>
      <w:r>
        <w:rPr>
          <w:rFonts w:hint="eastAsia" w:ascii="宋体" w:hAnsi="宋体" w:eastAsia="宋体" w:cs="Times New Roman"/>
          <w:color w:val="auto"/>
          <w:sz w:val="24"/>
          <w:highlight w:val="none"/>
          <w:u w:val="single"/>
          <w:lang w:val="en-US" w:eastAsia="zh-CN"/>
        </w:rPr>
        <w:t>自筹</w:t>
      </w:r>
      <w:r>
        <w:rPr>
          <w:rFonts w:hint="eastAsia" w:ascii="宋体" w:hAnsi="宋体" w:eastAsia="宋体" w:cs="Times New Roman"/>
          <w:color w:val="auto"/>
          <w:sz w:val="24"/>
          <w:highlight w:val="none"/>
        </w:rPr>
        <w:t>，招标人为</w:t>
      </w:r>
      <w:r>
        <w:rPr>
          <w:rFonts w:hint="eastAsia" w:ascii="宋体" w:hAnsi="宋体" w:eastAsia="宋体" w:cs="Courier New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>湄洲湾职业技术学院</w:t>
      </w:r>
      <w:r>
        <w:rPr>
          <w:rFonts w:hint="eastAsia" w:ascii="宋体" w:hAnsi="宋体" w:eastAsia="宋体" w:cs="Times New Roman"/>
          <w:color w:val="auto"/>
          <w:sz w:val="24"/>
          <w:highlight w:val="none"/>
        </w:rPr>
        <w:t>，委托的招标代理单位为</w:t>
      </w:r>
      <w:r>
        <w:rPr>
          <w:rFonts w:hint="eastAsia" w:ascii="宋体" w:hAnsi="宋体" w:eastAsia="宋体" w:cs="Times New Roman"/>
          <w:color w:val="auto"/>
          <w:sz w:val="24"/>
          <w:highlight w:val="none"/>
          <w:u w:val="single"/>
          <w:lang w:eastAsia="zh-CN"/>
        </w:rPr>
        <w:t>福建木澜项目管理有限公司</w:t>
      </w:r>
      <w:r>
        <w:rPr>
          <w:rFonts w:hint="eastAsia" w:ascii="宋体" w:hAnsi="宋体" w:eastAsia="宋体" w:cs="Times New Roman"/>
          <w:color w:val="auto"/>
          <w:sz w:val="24"/>
          <w:highlight w:val="none"/>
        </w:rPr>
        <w:t>。项目已具备招标条件，现进行</w:t>
      </w:r>
      <w:r>
        <w:rPr>
          <w:rFonts w:hint="eastAsia" w:ascii="宋体" w:hAnsi="宋体" w:eastAsia="宋体" w:cs="Times New Roman"/>
          <w:color w:val="auto"/>
          <w:sz w:val="24"/>
          <w:highlight w:val="none"/>
          <w:u w:val="single"/>
          <w:lang w:val="en-US" w:eastAsia="zh-CN"/>
        </w:rPr>
        <w:t>公开</w:t>
      </w:r>
      <w:r>
        <w:rPr>
          <w:rFonts w:hint="eastAsia" w:ascii="宋体" w:hAnsi="宋体" w:eastAsia="宋体" w:cs="Times New Roman"/>
          <w:color w:val="auto"/>
          <w:sz w:val="24"/>
          <w:highlight w:val="none"/>
        </w:rPr>
        <w:t>招标。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900"/>
          <w:tab w:val="left" w:pos="1100"/>
        </w:tabs>
        <w:kinsoku/>
        <w:overflowPunct/>
        <w:topLinePunct w:val="0"/>
        <w:autoSpaceDE/>
        <w:autoSpaceDN/>
        <w:bidi w:val="0"/>
        <w:spacing w:line="420" w:lineRule="exact"/>
        <w:ind w:left="0" w:leftChars="0" w:right="0" w:rightChars="0" w:firstLine="482" w:firstLineChars="200"/>
        <w:rPr>
          <w:rFonts w:hint="eastAsia" w:ascii="宋体" w:hAnsi="宋体" w:eastAsia="宋体" w:cs="Times New Roman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Times New Roman"/>
          <w:b/>
          <w:color w:val="auto"/>
          <w:sz w:val="24"/>
          <w:highlight w:val="none"/>
        </w:rPr>
        <w:t>项目概况和招标范围</w:t>
      </w:r>
    </w:p>
    <w:p>
      <w:pPr>
        <w:keepNext w:val="0"/>
        <w:keepLines w:val="0"/>
        <w:pageBreakBefore w:val="0"/>
        <w:widowControl/>
        <w:numPr>
          <w:ilvl w:val="1"/>
          <w:numId w:val="1"/>
        </w:numPr>
        <w:kinsoku/>
        <w:overflowPunct/>
        <w:topLinePunct w:val="0"/>
        <w:autoSpaceDE/>
        <w:autoSpaceDN/>
        <w:bidi w:val="0"/>
        <w:spacing w:line="420" w:lineRule="exact"/>
        <w:ind w:left="0" w:right="0" w:rightChars="0"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建设地点：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>莆田市涵江区梧塘镇湄洲湾职业技术学院内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；</w:t>
      </w:r>
    </w:p>
    <w:p>
      <w:pPr>
        <w:keepNext w:val="0"/>
        <w:keepLines w:val="0"/>
        <w:pageBreakBefore w:val="0"/>
        <w:widowControl/>
        <w:numPr>
          <w:ilvl w:val="1"/>
          <w:numId w:val="1"/>
        </w:numPr>
        <w:kinsoku/>
        <w:overflowPunct/>
        <w:topLinePunct w:val="0"/>
        <w:autoSpaceDE/>
        <w:autoSpaceDN/>
        <w:bidi w:val="0"/>
        <w:spacing w:line="420" w:lineRule="exact"/>
        <w:ind w:left="0" w:right="0" w:rightChars="0"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工程建设规模：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>施工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>投资约</w:t>
      </w:r>
      <w:r>
        <w:rPr>
          <w:rFonts w:hint="eastAsia" w:ascii="宋体" w:hAnsi="宋体" w:eastAsia="宋体" w:cs="Times New Roman"/>
          <w:color w:val="auto"/>
          <w:sz w:val="24"/>
          <w:highlight w:val="none"/>
          <w:u w:val="single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>万元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1"/>
          <w:numId w:val="1"/>
        </w:numPr>
        <w:kinsoku/>
        <w:overflowPunct/>
        <w:topLinePunct w:val="0"/>
        <w:autoSpaceDE/>
        <w:autoSpaceDN/>
        <w:bidi w:val="0"/>
        <w:spacing w:line="420" w:lineRule="exact"/>
        <w:ind w:left="0" w:right="0" w:rightChars="0"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招标范围和内容：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以施工图纸为准，不列入招标范围的详见工程预算编制说明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；</w:t>
      </w:r>
    </w:p>
    <w:p>
      <w:pPr>
        <w:keepNext w:val="0"/>
        <w:keepLines w:val="0"/>
        <w:pageBreakBefore w:val="0"/>
        <w:widowControl/>
        <w:numPr>
          <w:ilvl w:val="1"/>
          <w:numId w:val="1"/>
        </w:numPr>
        <w:kinsoku/>
        <w:overflowPunct/>
        <w:topLinePunct w:val="0"/>
        <w:autoSpaceDE/>
        <w:autoSpaceDN/>
        <w:bidi w:val="0"/>
        <w:spacing w:line="420" w:lineRule="exact"/>
        <w:ind w:left="0" w:right="0" w:rightChars="0"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工期要求：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30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日历天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； </w:t>
      </w:r>
    </w:p>
    <w:p>
      <w:pPr>
        <w:keepNext w:val="0"/>
        <w:keepLines w:val="0"/>
        <w:pageBreakBefore w:val="0"/>
        <w:widowControl/>
        <w:numPr>
          <w:ilvl w:val="1"/>
          <w:numId w:val="1"/>
        </w:numPr>
        <w:kinsoku/>
        <w:overflowPunct/>
        <w:topLinePunct w:val="0"/>
        <w:autoSpaceDE/>
        <w:autoSpaceDN/>
        <w:bidi w:val="0"/>
        <w:spacing w:line="420" w:lineRule="exact"/>
        <w:ind w:left="0" w:right="0" w:rightChars="0"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工程质量要求：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>合格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  <w:lang w:val="en-US" w:eastAsia="zh-CN"/>
        </w:rPr>
        <w:t>标准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900"/>
          <w:tab w:val="left" w:pos="1100"/>
        </w:tabs>
        <w:kinsoku/>
        <w:overflowPunct/>
        <w:topLinePunct w:val="0"/>
        <w:autoSpaceDE/>
        <w:autoSpaceDN/>
        <w:bidi w:val="0"/>
        <w:spacing w:line="420" w:lineRule="exact"/>
        <w:ind w:left="0" w:leftChars="0" w:right="0" w:rightChars="0" w:firstLine="482" w:firstLineChars="200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投标人资格要求及审查办法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900"/>
          <w:tab w:val="left" w:pos="1100"/>
        </w:tabs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right="0" w:rightChars="0" w:firstLine="480" w:firstLineChars="200"/>
        <w:textAlignment w:val="auto"/>
        <w:rPr>
          <w:rFonts w:hint="eastAsia" w:ascii="宋体" w:hAnsi="宋体" w:eastAsia="宋体" w:cs="Times New Roman"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color w:val="auto"/>
          <w:sz w:val="24"/>
          <w:highlight w:val="none"/>
          <w:lang w:val="en-US" w:eastAsia="zh-CN"/>
        </w:rPr>
        <w:t>1）</w:t>
      </w:r>
      <w:r>
        <w:rPr>
          <w:rFonts w:hint="eastAsia" w:ascii="宋体" w:hAnsi="宋体" w:eastAsia="宋体" w:cs="Times New Roman"/>
          <w:color w:val="auto"/>
          <w:sz w:val="24"/>
          <w:highlight w:val="none"/>
        </w:rPr>
        <w:t>本招标项目要求投标人具备不低于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  <w:u w:val="single"/>
          <w:lang w:val="en-US" w:eastAsia="zh-CN"/>
        </w:rPr>
        <w:t>贰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  <w:u w:val="single"/>
        </w:rPr>
        <w:t>级建筑装修装饰工程专业承包资质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  <w:u w:val="single"/>
          <w:lang w:val="en-US" w:eastAsia="zh-CN"/>
        </w:rPr>
        <w:t>或三级建筑工程施工总承包资质</w:t>
      </w:r>
      <w:r>
        <w:rPr>
          <w:rFonts w:hint="eastAsia" w:ascii="宋体" w:hAnsi="宋体" w:eastAsia="宋体" w:cs="Times New Roman"/>
          <w:color w:val="auto"/>
          <w:sz w:val="24"/>
          <w:highlight w:val="none"/>
        </w:rPr>
        <w:t>和有效的《施工企业安全生产许可证》。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900"/>
          <w:tab w:val="left" w:pos="110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420" w:lineRule="exact"/>
        <w:ind w:left="0" w:right="0" w:rightChars="0" w:firstLine="480" w:firstLineChars="200"/>
        <w:textAlignment w:val="auto"/>
        <w:rPr>
          <w:rFonts w:hint="eastAsia" w:ascii="宋体" w:hAnsi="宋体" w:eastAsia="宋体" w:cs="Times New Roman"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color w:val="auto"/>
          <w:sz w:val="24"/>
          <w:highlight w:val="none"/>
          <w:lang w:val="en-US" w:eastAsia="zh-CN"/>
        </w:rPr>
        <w:t>2）</w:t>
      </w:r>
      <w:r>
        <w:rPr>
          <w:rFonts w:hint="eastAsia" w:ascii="宋体" w:hAnsi="宋体" w:eastAsia="宋体" w:cs="Times New Roman"/>
          <w:color w:val="auto"/>
          <w:sz w:val="24"/>
          <w:highlight w:val="none"/>
        </w:rPr>
        <w:t>投标人拟担任本招标项目的项目负责人应具备有效的不低于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  <w:u w:val="single"/>
        </w:rPr>
        <w:t>贰</w:t>
      </w:r>
      <w:r>
        <w:rPr>
          <w:rFonts w:hint="eastAsia" w:ascii="宋体" w:hAnsi="宋体" w:eastAsia="宋体" w:cs="Times New Roman"/>
          <w:color w:val="auto"/>
          <w:sz w:val="24"/>
          <w:highlight w:val="none"/>
        </w:rPr>
        <w:t>级</w:t>
      </w:r>
      <w:bookmarkStart w:id="0" w:name="EBbd4b497bd1dd4887bee9b999aa64bf78"/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  <w:u w:val="single"/>
        </w:rPr>
        <w:t>建筑工程</w:t>
      </w:r>
      <w:bookmarkEnd w:id="0"/>
      <w:r>
        <w:rPr>
          <w:rFonts w:hint="eastAsia" w:ascii="宋体" w:hAnsi="宋体" w:eastAsia="宋体" w:cs="Times New Roman"/>
          <w:color w:val="auto"/>
          <w:sz w:val="24"/>
          <w:highlight w:val="none"/>
        </w:rPr>
        <w:t>(专业)注册建造师执业资格，并持有安全生产考核合格证书B证；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900"/>
          <w:tab w:val="left" w:pos="110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420" w:lineRule="exact"/>
        <w:ind w:left="0" w:right="0" w:rightChars="0" w:firstLine="480" w:firstLineChars="200"/>
        <w:textAlignment w:val="auto"/>
        <w:rPr>
          <w:rFonts w:hint="eastAsia" w:ascii="宋体" w:hAnsi="宋体" w:eastAsia="宋体" w:cs="Times New Roman"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color w:val="auto"/>
          <w:sz w:val="24"/>
          <w:highlight w:val="none"/>
          <w:lang w:val="en-US" w:eastAsia="zh-CN"/>
        </w:rPr>
        <w:t>3）</w:t>
      </w:r>
      <w:r>
        <w:rPr>
          <w:rFonts w:hint="eastAsia" w:ascii="宋体" w:hAnsi="宋体" w:eastAsia="宋体" w:cs="Times New Roman"/>
          <w:color w:val="auto"/>
          <w:sz w:val="24"/>
          <w:highlight w:val="none"/>
        </w:rPr>
        <w:t>本招标项目不接受联合体投标；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900"/>
          <w:tab w:val="left" w:pos="1100"/>
        </w:tabs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right="0" w:rightChars="0" w:firstLine="480" w:firstLineChars="200"/>
        <w:textAlignment w:val="auto"/>
        <w:rPr>
          <w:rFonts w:hint="eastAsia" w:ascii="宋体" w:hAnsi="宋体" w:eastAsia="宋体" w:cs="宋体"/>
          <w:color w:val="auto"/>
          <w:spacing w:val="0"/>
          <w:sz w:val="24"/>
          <w:highlight w:val="none"/>
        </w:rPr>
      </w:pPr>
      <w:r>
        <w:rPr>
          <w:rFonts w:hint="eastAsia" w:ascii="宋体" w:hAnsi="宋体" w:eastAsia="宋体" w:cs="Times New Roman"/>
          <w:color w:val="auto"/>
          <w:sz w:val="24"/>
          <w:highlight w:val="none"/>
          <w:lang w:val="en-US" w:eastAsia="zh-CN"/>
        </w:rPr>
        <w:t>4）</w:t>
      </w:r>
      <w:r>
        <w:rPr>
          <w:rFonts w:hint="eastAsia" w:ascii="宋体" w:hAnsi="宋体" w:eastAsia="宋体" w:cs="宋体"/>
          <w:color w:val="auto"/>
          <w:spacing w:val="0"/>
          <w:sz w:val="24"/>
          <w:highlight w:val="none"/>
        </w:rPr>
        <w:t>非福建省行政区域内注册的投标人应按闽建办筑[2015]13号文件的规定完成入闽信息登记工作；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900"/>
          <w:tab w:val="left" w:pos="1100"/>
        </w:tabs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right="0" w:rightChars="0" w:firstLine="480" w:firstLineChars="200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5）</w:t>
      </w:r>
      <w:r>
        <w:rPr>
          <w:rFonts w:hint="eastAsia" w:ascii="宋体" w:hAnsi="宋体" w:eastAsia="宋体" w:cs="宋体"/>
          <w:color w:val="auto"/>
          <w:spacing w:val="0"/>
          <w:sz w:val="24"/>
          <w:highlight w:val="none"/>
        </w:rPr>
        <w:t>投标人的企业季度信用得分不得低于60分（适用于房屋建筑和市政基础设施工程总承包项目）；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900"/>
          <w:tab w:val="left" w:pos="1100"/>
        </w:tabs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right="0" w:rightChars="0" w:firstLine="480" w:firstLineChars="200"/>
        <w:textAlignment w:val="auto"/>
        <w:rPr>
          <w:rFonts w:hint="eastAsia" w:ascii="宋体" w:hAnsi="宋体" w:eastAsia="宋体" w:cs="Times New Roman"/>
          <w:color w:val="auto"/>
          <w:sz w:val="24"/>
          <w:highlight w:val="yellow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6）</w:t>
      </w:r>
      <w:r>
        <w:rPr>
          <w:rFonts w:hint="eastAsia" w:ascii="宋体" w:hAnsi="宋体" w:eastAsia="宋体" w:cs="Times New Roman"/>
          <w:color w:val="auto"/>
          <w:sz w:val="24"/>
          <w:highlight w:val="none"/>
        </w:rPr>
        <w:t>投标人的企业信息和拟派项目管理人员信息应在</w:t>
      </w:r>
      <w:r>
        <w:rPr>
          <w:rFonts w:hint="eastAsia" w:ascii="Times New Roman" w:hAnsi="Times New Roman" w:eastAsia="宋体" w:cs="Times New Roman"/>
          <w:color w:val="auto"/>
          <w:sz w:val="24"/>
          <w:highlight w:val="none"/>
        </w:rPr>
        <w:t>福建省建设行业信息公开平台</w:t>
      </w:r>
      <w:r>
        <w:rPr>
          <w:rFonts w:hint="eastAsia" w:ascii="宋体" w:hAnsi="宋体" w:eastAsia="宋体" w:cs="Times New Roman"/>
          <w:color w:val="auto"/>
          <w:sz w:val="24"/>
          <w:highlight w:val="none"/>
        </w:rPr>
        <w:t>可查询到且查询到的信息完整；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900"/>
          <w:tab w:val="left" w:pos="1100"/>
        </w:tabs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right="0" w:rightChars="0" w:firstLine="480" w:firstLineChars="200"/>
        <w:textAlignment w:val="auto"/>
        <w:rPr>
          <w:rFonts w:hint="eastAsia" w:ascii="宋体" w:hAnsi="宋体" w:eastAsia="宋体" w:cs="Times New Roman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7）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投标人不得属于被纳入福建省建设工程责任主体不良记录“质量安全黑名单”，且在“黑名单”管理有效期内的企业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900"/>
          <w:tab w:val="left" w:pos="110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420" w:lineRule="exact"/>
        <w:ind w:left="0" w:right="0" w:rightChars="0" w:firstLine="480" w:firstLineChars="200"/>
        <w:jc w:val="left"/>
        <w:textAlignment w:val="auto"/>
        <w:rPr>
          <w:rFonts w:hint="eastAsia" w:ascii="宋体" w:hAnsi="宋体" w:eastAsia="宋体" w:cs="Times New Roman"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color w:val="auto"/>
          <w:sz w:val="24"/>
          <w:highlight w:val="none"/>
          <w:lang w:val="en-US" w:eastAsia="zh-CN"/>
        </w:rPr>
        <w:t>8）</w:t>
      </w:r>
      <w:r>
        <w:rPr>
          <w:rFonts w:hint="eastAsia" w:ascii="宋体" w:hAnsi="宋体" w:eastAsia="宋体" w:cs="Times New Roman"/>
          <w:color w:val="auto"/>
          <w:sz w:val="24"/>
          <w:highlight w:val="none"/>
        </w:rPr>
        <w:t>投标人应在人员、设备、资金等方面具有承担本招标项目施工的能力；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900"/>
          <w:tab w:val="left" w:pos="110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420" w:lineRule="exact"/>
        <w:ind w:left="0" w:right="0" w:rightChars="0" w:firstLine="480" w:firstLineChars="200"/>
        <w:jc w:val="left"/>
        <w:textAlignment w:val="auto"/>
        <w:rPr>
          <w:rFonts w:hint="eastAsia" w:ascii="宋体" w:hAnsi="宋体" w:eastAsia="宋体" w:cs="Times New Roman"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color w:val="auto"/>
          <w:sz w:val="24"/>
          <w:highlight w:val="none"/>
          <w:lang w:val="en-US" w:eastAsia="zh-CN"/>
        </w:rPr>
        <w:t>9）</w:t>
      </w:r>
      <w:r>
        <w:rPr>
          <w:rFonts w:hint="eastAsia" w:ascii="宋体" w:hAnsi="宋体" w:eastAsia="宋体" w:cs="Times New Roman"/>
          <w:color w:val="auto"/>
          <w:sz w:val="24"/>
          <w:highlight w:val="none"/>
        </w:rPr>
        <w:t>本招标项目招标人采用资格后审的方式对投标人进行资格审查。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00"/>
          <w:tab w:val="left" w:pos="110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2" w:firstLineChars="200"/>
        <w:textAlignment w:val="auto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4.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招标文件的获取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00"/>
          <w:tab w:val="left" w:pos="110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420" w:lineRule="exact"/>
        <w:ind w:left="0" w:right="0" w:rightChars="0" w:firstLine="480" w:firstLineChars="200"/>
        <w:textAlignment w:val="auto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1）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</w:rPr>
        <w:t>招标人自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u w:val="single"/>
          <w:lang w:eastAsia="zh-CN"/>
        </w:rPr>
        <w:t>202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u w:val="single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u w:val="single"/>
          <w:lang w:val="en-US" w:eastAsia="zh-CN"/>
        </w:rPr>
        <w:t>01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</w:rPr>
        <w:t>日起在</w:t>
      </w:r>
      <w:r>
        <w:rPr>
          <w:rFonts w:hint="eastAsia" w:ascii="宋体" w:hAnsi="宋体" w:eastAsia="宋体" w:cs="Times New Roman"/>
          <w:color w:val="auto"/>
          <w:sz w:val="24"/>
          <w:highlight w:val="none"/>
          <w:lang w:eastAsia="zh-CN"/>
        </w:rPr>
        <w:t>湄洲湾职业技术学院网(http://www.fjmzw.com/)</w:t>
      </w:r>
      <w:r>
        <w:rPr>
          <w:rFonts w:hint="eastAsia" w:ascii="宋体" w:hAnsi="宋体" w:eastAsia="宋体" w:cs="Times New Roman"/>
          <w:color w:val="auto"/>
          <w:sz w:val="24"/>
          <w:highlight w:val="none"/>
          <w:lang w:val="en-US" w:eastAsia="zh-CN"/>
        </w:rPr>
        <w:t>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eastAsia="zh-CN"/>
        </w:rPr>
        <w:t>新点电子交易平台-福建专区（http://fujian.etrading.cn）（第三方平台）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</w:rPr>
        <w:t>发布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</w:rPr>
        <w:t>，投标人可登录网站自行下载招标文件。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20" w:lineRule="exact"/>
        <w:ind w:left="0" w:right="0" w:rightChars="0" w:firstLine="480" w:firstLineChars="200"/>
        <w:jc w:val="left"/>
        <w:textAlignment w:val="auto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2）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</w:rPr>
        <w:t>书面招标文件与网上下载的招标文件不一致的，以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shd w:val="clear" w:color="auto" w:fill="FFFFFF"/>
          <w:lang w:eastAsia="zh-CN"/>
        </w:rPr>
        <w:t>网上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</w:rPr>
        <w:t>下载的为准。</w:t>
      </w:r>
    </w:p>
    <w:p>
      <w:pPr>
        <w:keepNext w:val="0"/>
        <w:keepLines w:val="0"/>
        <w:pageBreakBefore w:val="0"/>
        <w:widowControl/>
        <w:tabs>
          <w:tab w:val="left" w:pos="360"/>
          <w:tab w:val="left" w:pos="900"/>
          <w:tab w:val="left" w:pos="1100"/>
        </w:tabs>
        <w:kinsoku/>
        <w:overflowPunct/>
        <w:topLinePunct w:val="0"/>
        <w:autoSpaceDE/>
        <w:autoSpaceDN/>
        <w:bidi w:val="0"/>
        <w:spacing w:line="420" w:lineRule="exact"/>
        <w:ind w:left="0" w:right="0" w:rightChars="0" w:firstLine="482" w:firstLineChars="200"/>
        <w:rPr>
          <w:rFonts w:hint="eastAsia" w:ascii="宋体" w:hAnsi="宋体" w:eastAsia="宋体" w:cs="Times New Roman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sz w:val="24"/>
          <w:highlight w:val="none"/>
        </w:rPr>
        <w:t>5</w:t>
      </w:r>
      <w:r>
        <w:rPr>
          <w:rFonts w:hint="eastAsia" w:ascii="宋体" w:hAnsi="宋体" w:eastAsia="宋体" w:cs="Times New Roman"/>
          <w:b/>
          <w:color w:val="auto"/>
          <w:sz w:val="24"/>
          <w:highlight w:val="none"/>
          <w:lang w:eastAsia="zh-CN"/>
        </w:rPr>
        <w:t>.</w:t>
      </w:r>
      <w:r>
        <w:rPr>
          <w:rFonts w:hint="eastAsia" w:ascii="宋体" w:hAnsi="宋体" w:eastAsia="宋体" w:cs="Times New Roman"/>
          <w:b/>
          <w:color w:val="auto"/>
          <w:sz w:val="24"/>
          <w:highlight w:val="none"/>
        </w:rPr>
        <w:t>评标办法</w:t>
      </w:r>
    </w:p>
    <w:p>
      <w:pPr>
        <w:keepNext w:val="0"/>
        <w:keepLines w:val="0"/>
        <w:pageBreakBefore w:val="0"/>
        <w:widowControl/>
        <w:tabs>
          <w:tab w:val="left" w:pos="360"/>
          <w:tab w:val="left" w:pos="900"/>
          <w:tab w:val="left" w:pos="1100"/>
        </w:tabs>
        <w:kinsoku/>
        <w:overflowPunct/>
        <w:topLinePunct w:val="0"/>
        <w:autoSpaceDE/>
        <w:autoSpaceDN/>
        <w:bidi w:val="0"/>
        <w:spacing w:line="420" w:lineRule="exact"/>
        <w:ind w:left="0" w:right="0" w:rightChars="0" w:firstLine="480" w:firstLineChars="200"/>
        <w:rPr>
          <w:rFonts w:hint="eastAsia" w:ascii="宋体" w:hAnsi="宋体" w:eastAsia="宋体" w:cs="Times New Roman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Times New Roman"/>
          <w:color w:val="auto"/>
          <w:sz w:val="24"/>
          <w:highlight w:val="none"/>
        </w:rPr>
        <w:t>本招标项目采用的评标办法：</w:t>
      </w:r>
      <w:r>
        <w:rPr>
          <w:rFonts w:hint="eastAsia" w:ascii="宋体" w:hAnsi="宋体" w:eastAsia="宋体" w:cs="Times New Roman"/>
          <w:b/>
          <w:color w:val="auto"/>
          <w:sz w:val="24"/>
          <w:highlight w:val="none"/>
          <w:u w:val="single"/>
        </w:rPr>
        <w:t>随机抽取法</w:t>
      </w:r>
    </w:p>
    <w:p>
      <w:pPr>
        <w:keepNext w:val="0"/>
        <w:keepLines w:val="0"/>
        <w:pageBreakBefore w:val="0"/>
        <w:widowControl/>
        <w:tabs>
          <w:tab w:val="left" w:pos="900"/>
          <w:tab w:val="left" w:pos="1100"/>
        </w:tabs>
        <w:kinsoku/>
        <w:overflowPunct/>
        <w:topLinePunct w:val="0"/>
        <w:autoSpaceDE/>
        <w:autoSpaceDN/>
        <w:bidi w:val="0"/>
        <w:spacing w:line="420" w:lineRule="exact"/>
        <w:ind w:left="0" w:right="0" w:rightChars="0" w:firstLine="482" w:firstLineChars="200"/>
        <w:rPr>
          <w:rFonts w:hint="eastAsia" w:ascii="宋体" w:hAnsi="宋体" w:eastAsia="宋体" w:cs="Times New Roman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sz w:val="24"/>
          <w:highlight w:val="none"/>
        </w:rPr>
        <w:t>6.投标保证金的递交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20" w:lineRule="exact"/>
        <w:ind w:left="0" w:right="0" w:rightChars="0"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1）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本招标项目的投标保证金为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u w:val="single"/>
          <w:lang w:val="en-US" w:eastAsia="zh-CN"/>
        </w:rPr>
        <w:t>人民币壹仟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u w:val="single"/>
        </w:rPr>
        <w:t>元整（￥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u w:val="single"/>
          <w:lang w:val="en-US" w:eastAsia="zh-CN"/>
        </w:rPr>
        <w:t>1000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u w:val="single"/>
        </w:rPr>
        <w:t>元）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20" w:lineRule="exact"/>
        <w:ind w:left="0" w:right="0" w:rightChars="0"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2）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投标保证金提交的时间：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u w:val="single"/>
        </w:rPr>
        <w:t>202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u w:val="singl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u w:val="single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u w:val="single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u w:val="single"/>
          <w:lang w:val="en-US" w:eastAsia="zh-CN"/>
        </w:rPr>
        <w:t>12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u w:val="single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u w:val="single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u w:val="single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u w:val="single"/>
          <w:lang w:val="en-US" w:eastAsia="zh-CN"/>
        </w:rPr>
        <w:t>00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u w:val="single"/>
        </w:rPr>
        <w:t>分前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。</w:t>
      </w:r>
    </w:p>
    <w:p>
      <w:pPr>
        <w:keepNext w:val="0"/>
        <w:keepLines w:val="0"/>
        <w:pageBreakBefore w:val="0"/>
        <w:widowControl/>
        <w:tabs>
          <w:tab w:val="left" w:pos="510"/>
          <w:tab w:val="left" w:pos="900"/>
          <w:tab w:val="left" w:pos="1100"/>
        </w:tabs>
        <w:kinsoku/>
        <w:overflowPunct/>
        <w:topLinePunct w:val="0"/>
        <w:autoSpaceDE/>
        <w:autoSpaceDN/>
        <w:bidi w:val="0"/>
        <w:spacing w:line="420" w:lineRule="exact"/>
        <w:ind w:left="0" w:right="0" w:rightChars="0" w:firstLine="480" w:firstLineChars="200"/>
        <w:jc w:val="left"/>
        <w:rPr>
          <w:rFonts w:hint="eastAsia" w:ascii="宋体" w:hAnsi="宋体" w:eastAsia="宋体" w:cs="Times New Roman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highlight w:val="none"/>
          <w:lang w:val="en-US" w:eastAsia="zh-CN"/>
        </w:rPr>
        <w:t>3）投标保证金提交的方式：具体详见招标文件要求</w:t>
      </w:r>
      <w:r>
        <w:rPr>
          <w:rFonts w:hint="eastAsia" w:ascii="宋体" w:hAnsi="宋体" w:eastAsia="宋体" w:cs="宋体"/>
          <w:b w:val="0"/>
          <w:bCs/>
          <w:color w:val="auto"/>
          <w:sz w:val="24"/>
          <w:highlight w:val="none"/>
        </w:rPr>
        <w:t>。</w:t>
      </w:r>
    </w:p>
    <w:p>
      <w:pPr>
        <w:keepNext w:val="0"/>
        <w:keepLines w:val="0"/>
        <w:pageBreakBefore w:val="0"/>
        <w:widowControl/>
        <w:tabs>
          <w:tab w:val="left" w:pos="510"/>
          <w:tab w:val="left" w:pos="900"/>
          <w:tab w:val="left" w:pos="1100"/>
        </w:tabs>
        <w:kinsoku/>
        <w:overflowPunct/>
        <w:topLinePunct w:val="0"/>
        <w:autoSpaceDE/>
        <w:autoSpaceDN/>
        <w:bidi w:val="0"/>
        <w:spacing w:line="420" w:lineRule="exact"/>
        <w:ind w:left="0" w:right="0" w:rightChars="0" w:firstLine="482" w:firstLineChars="200"/>
        <w:jc w:val="left"/>
        <w:rPr>
          <w:rFonts w:hint="eastAsia" w:ascii="宋体" w:hAnsi="宋体" w:eastAsia="宋体" w:cs="Times New Roman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sz w:val="24"/>
          <w:highlight w:val="none"/>
        </w:rPr>
        <w:t>7.投标文件的递交</w:t>
      </w:r>
    </w:p>
    <w:p>
      <w:pPr>
        <w:keepNext w:val="0"/>
        <w:keepLines w:val="0"/>
        <w:pageBreakBefore w:val="0"/>
        <w:widowControl/>
        <w:tabs>
          <w:tab w:val="left" w:pos="900"/>
          <w:tab w:val="left" w:pos="1100"/>
        </w:tabs>
        <w:kinsoku/>
        <w:wordWrap/>
        <w:overflowPunct/>
        <w:topLinePunct w:val="0"/>
        <w:autoSpaceDE/>
        <w:autoSpaceDN/>
        <w:bidi w:val="0"/>
        <w:spacing w:line="420" w:lineRule="exact"/>
        <w:ind w:left="0" w:right="0" w:rightChars="0"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1）</w:t>
      </w:r>
      <w:r>
        <w:rPr>
          <w:rFonts w:hint="eastAsia" w:ascii="宋体" w:hAnsi="宋体" w:eastAsia="宋体" w:cs="Times New Roman"/>
          <w:color w:val="auto"/>
          <w:sz w:val="24"/>
          <w:highlight w:val="none"/>
        </w:rPr>
        <w:t>招标人不接受书面投标文件，投标人必须提交网上投标文件。投标人是否投标以网上投标文件为准。资格审查小组只对网上投标文件进行评审。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  <w:t>本招标项目采用远程解密投标文件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；</w:t>
      </w:r>
    </w:p>
    <w:p>
      <w:pPr>
        <w:keepNext w:val="0"/>
        <w:keepLines w:val="0"/>
        <w:pageBreakBefore w:val="0"/>
        <w:widowControl/>
        <w:tabs>
          <w:tab w:val="left" w:pos="900"/>
          <w:tab w:val="left" w:pos="110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420" w:lineRule="exact"/>
        <w:ind w:left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2）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投标文件递交的截止时间(投标截止时间)：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u w:val="single"/>
        </w:rPr>
        <w:t>202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u w:val="singl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u w:val="single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u w:val="single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u w:val="single"/>
          <w:lang w:val="en-US" w:eastAsia="zh-CN"/>
        </w:rPr>
        <w:t>12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u w:val="single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u w:val="single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u w:val="single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u w:val="single"/>
          <w:lang w:val="en-US" w:eastAsia="zh-CN"/>
        </w:rPr>
        <w:t>00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u w:val="single"/>
        </w:rPr>
        <w:t>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在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>福建省莆田市城厢区龙桥街道荔城中大道龙兴路(路口)二楼开标会场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进行。投标人应在截止时间前通过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u w:val="single"/>
        </w:rPr>
        <w:t>新点电子交易平台-福建专区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递交电子投标文件。投标人必须通过已激活的企业CA网上提交，本招标项目采用远程解密投标文件。若有疑问，可向网上投标系统开发公司国泰新点软件股份有限公司咨询。技术支持电话：4009280095-5、0594-2221219、18159395200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tabs>
          <w:tab w:val="left" w:pos="900"/>
          <w:tab w:val="left" w:pos="1100"/>
        </w:tabs>
        <w:kinsoku/>
        <w:wordWrap/>
        <w:overflowPunct/>
        <w:topLinePunct w:val="0"/>
        <w:autoSpaceDE/>
        <w:autoSpaceDN/>
        <w:bidi w:val="0"/>
        <w:spacing w:line="420" w:lineRule="exact"/>
        <w:ind w:left="0" w:right="0" w:rightChars="0"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3）逾期提交的网上投标文件，招标人将拒绝接收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。</w:t>
      </w:r>
    </w:p>
    <w:p>
      <w:pPr>
        <w:keepNext w:val="0"/>
        <w:keepLines w:val="0"/>
        <w:pageBreakBefore w:val="0"/>
        <w:widowControl/>
        <w:tabs>
          <w:tab w:val="left" w:pos="900"/>
          <w:tab w:val="left" w:pos="1100"/>
        </w:tabs>
        <w:kinsoku/>
        <w:wordWrap/>
        <w:overflowPunct/>
        <w:topLinePunct w:val="0"/>
        <w:autoSpaceDE/>
        <w:autoSpaceDN/>
        <w:bidi w:val="0"/>
        <w:spacing w:line="420" w:lineRule="exact"/>
        <w:ind w:left="0" w:right="0" w:rightChars="0" w:firstLine="482" w:firstLineChars="200"/>
        <w:jc w:val="left"/>
        <w:rPr>
          <w:rFonts w:hint="eastAsia" w:ascii="宋体" w:hAnsi="宋体" w:eastAsia="宋体" w:cs="Times New Roman"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sz w:val="24"/>
          <w:highlight w:val="none"/>
        </w:rPr>
        <w:t>8.发布公告的媒介</w:t>
      </w:r>
    </w:p>
    <w:p>
      <w:pPr>
        <w:keepNext w:val="0"/>
        <w:keepLines w:val="0"/>
        <w:pageBreakBefore w:val="0"/>
        <w:widowControl/>
        <w:tabs>
          <w:tab w:val="left" w:pos="900"/>
          <w:tab w:val="left" w:pos="110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420" w:lineRule="exact"/>
        <w:ind w:left="0" w:right="0" w:rightChars="0" w:firstLine="480" w:firstLineChars="200"/>
        <w:jc w:val="left"/>
        <w:textAlignment w:val="auto"/>
        <w:rPr>
          <w:rFonts w:hint="eastAsia" w:ascii="宋体" w:hAnsi="宋体" w:eastAsia="宋体" w:cs="Times New Roman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招标人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同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  <w:lang w:eastAsia="zh-CN"/>
        </w:rPr>
        <w:t>时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  <w:t>在</w:t>
      </w:r>
      <w:r>
        <w:rPr>
          <w:rFonts w:hint="eastAsia" w:ascii="宋体" w:hAnsi="宋体" w:eastAsia="宋体" w:cs="Times New Roman"/>
          <w:color w:val="auto"/>
          <w:sz w:val="24"/>
          <w:highlight w:val="none"/>
          <w:lang w:eastAsia="zh-CN"/>
        </w:rPr>
        <w:t>湄洲湾职业技术学院网(http://www.fjmzw.com/)、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eastAsia="zh-CN"/>
        </w:rPr>
        <w:t>新点电子交易平台-福建专区（http://fujian.etrading.cn）（第三方平台）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  <w:t>发布招标公告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900"/>
          <w:tab w:val="left" w:pos="1100"/>
        </w:tabs>
        <w:kinsoku/>
        <w:wordWrap/>
        <w:overflowPunct/>
        <w:topLinePunct w:val="0"/>
        <w:autoSpaceDE/>
        <w:autoSpaceDN/>
        <w:bidi w:val="0"/>
        <w:spacing w:line="420" w:lineRule="exact"/>
        <w:ind w:left="0" w:right="0" w:rightChars="0" w:firstLine="482" w:firstLineChars="200"/>
        <w:jc w:val="left"/>
        <w:rPr>
          <w:rFonts w:hint="eastAsia" w:ascii="宋体" w:hAnsi="宋体" w:eastAsia="宋体" w:cs="Times New Roman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sz w:val="24"/>
          <w:highlight w:val="none"/>
          <w:lang w:val="en-US" w:eastAsia="zh-CN"/>
        </w:rPr>
        <w:t>9.</w:t>
      </w:r>
      <w:r>
        <w:rPr>
          <w:rFonts w:hint="eastAsia" w:ascii="宋体" w:hAnsi="宋体" w:eastAsia="宋体" w:cs="Times New Roman"/>
          <w:b/>
          <w:color w:val="auto"/>
          <w:sz w:val="24"/>
          <w:highlight w:val="none"/>
        </w:rPr>
        <w:t>公告其他说明：</w:t>
      </w:r>
    </w:p>
    <w:p>
      <w:pPr>
        <w:keepNext w:val="0"/>
        <w:keepLines w:val="0"/>
        <w:pageBreakBefore w:val="0"/>
        <w:widowControl/>
        <w:tabs>
          <w:tab w:val="left" w:pos="900"/>
          <w:tab w:val="left" w:pos="1100"/>
        </w:tabs>
        <w:kinsoku/>
        <w:wordWrap/>
        <w:overflowPunct/>
        <w:topLinePunct w:val="0"/>
        <w:autoSpaceDE/>
        <w:autoSpaceDN/>
        <w:bidi w:val="0"/>
        <w:spacing w:line="420" w:lineRule="exact"/>
        <w:ind w:left="0" w:right="0" w:rightChars="0" w:firstLine="480" w:firstLineChars="200"/>
        <w:jc w:val="left"/>
        <w:rPr>
          <w:rFonts w:hint="eastAsia" w:ascii="宋体" w:hAnsi="宋体" w:eastAsia="宋体" w:cs="Times New Roman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Cs/>
          <w:color w:val="auto"/>
          <w:sz w:val="24"/>
          <w:highlight w:val="none"/>
          <w:lang w:val="en-US" w:eastAsia="zh-CN"/>
        </w:rPr>
        <w:t>1）</w:t>
      </w:r>
      <w:r>
        <w:rPr>
          <w:rFonts w:hint="eastAsia" w:ascii="宋体" w:hAnsi="宋体" w:eastAsia="宋体" w:cs="Times New Roman"/>
          <w:b/>
          <w:bCs w:val="0"/>
          <w:color w:val="auto"/>
          <w:sz w:val="24"/>
          <w:highlight w:val="none"/>
          <w:lang w:val="en-US" w:eastAsia="zh-CN"/>
        </w:rPr>
        <w:t>本项目为线上电子投标。招标人不接受书面投标文件，投标人必须提交网上投标文件。投标人无需到开标现场参加招投标。投标保证金按招标文件要求执行，招标编号按系统生成编号或招标项目编号均可</w:t>
      </w:r>
      <w:r>
        <w:rPr>
          <w:rFonts w:hint="eastAsia" w:ascii="宋体" w:hAnsi="宋体" w:eastAsia="宋体" w:cs="Times New Roman"/>
          <w:bCs/>
          <w:color w:val="auto"/>
          <w:sz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tabs>
          <w:tab w:val="left" w:pos="900"/>
          <w:tab w:val="left" w:pos="1100"/>
        </w:tabs>
        <w:kinsoku/>
        <w:wordWrap/>
        <w:overflowPunct/>
        <w:topLinePunct w:val="0"/>
        <w:autoSpaceDE/>
        <w:autoSpaceDN/>
        <w:bidi w:val="0"/>
        <w:spacing w:line="420" w:lineRule="exact"/>
        <w:ind w:left="0" w:right="0" w:rightChars="0" w:firstLine="480" w:firstLineChars="200"/>
        <w:jc w:val="left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宋体" w:hAnsi="宋体" w:eastAsia="宋体" w:cs="Times New Roman"/>
          <w:bCs/>
          <w:color w:val="auto"/>
          <w:sz w:val="24"/>
          <w:highlight w:val="none"/>
          <w:lang w:val="en-US" w:eastAsia="zh-CN"/>
        </w:rPr>
        <w:t>2）</w:t>
      </w:r>
      <w:r>
        <w:rPr>
          <w:rFonts w:hint="eastAsia" w:ascii="宋体" w:hAnsi="宋体" w:eastAsia="宋体" w:cs="Times New Roman"/>
          <w:b/>
          <w:bCs w:val="0"/>
          <w:color w:val="auto"/>
          <w:sz w:val="24"/>
          <w:highlight w:val="none"/>
          <w:lang w:val="en-US" w:eastAsia="zh-CN"/>
        </w:rPr>
        <w:t>本项目需使用IE11浏览器方可线上解密，请投标人自行提前下载，如未下载或安装驱动导致解密失败，由此造成的后果企业自行承担。</w:t>
      </w:r>
      <w:r>
        <w:rPr>
          <w:rFonts w:hint="eastAsia" w:ascii="宋体" w:hAnsi="宋体" w:eastAsia="宋体" w:cs="Times New Roman"/>
          <w:bCs/>
          <w:color w:val="auto"/>
          <w:sz w:val="24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900"/>
          <w:tab w:val="left" w:pos="1100"/>
        </w:tabs>
        <w:kinsoku/>
        <w:wordWrap/>
        <w:overflowPunct/>
        <w:topLinePunct w:val="0"/>
        <w:autoSpaceDE/>
        <w:autoSpaceDN/>
        <w:bidi w:val="0"/>
        <w:spacing w:line="420" w:lineRule="exact"/>
        <w:ind w:left="0" w:right="0" w:rightChars="0" w:firstLine="482" w:firstLineChars="200"/>
        <w:jc w:val="left"/>
        <w:rPr>
          <w:rFonts w:hint="eastAsia" w:ascii="宋体" w:hAnsi="宋体" w:eastAsia="宋体" w:cs="Times New Roman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sz w:val="24"/>
          <w:highlight w:val="none"/>
          <w:lang w:val="en-US" w:eastAsia="zh-CN"/>
        </w:rPr>
        <w:t>10</w:t>
      </w:r>
      <w:r>
        <w:rPr>
          <w:rFonts w:hint="eastAsia" w:ascii="宋体" w:hAnsi="宋体" w:eastAsia="宋体" w:cs="Times New Roman"/>
          <w:b/>
          <w:color w:val="auto"/>
          <w:sz w:val="24"/>
          <w:highlight w:val="none"/>
        </w:rPr>
        <w:t>.联系方式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line="420" w:lineRule="exact"/>
        <w:ind w:left="0" w:right="0" w:rightChars="0" w:firstLine="480" w:firstLineChars="200"/>
        <w:rPr>
          <w:rFonts w:hint="eastAsia" w:ascii="宋体" w:hAnsi="宋体" w:eastAsia="宋体" w:cs="Times New Roman"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color w:val="auto"/>
          <w:sz w:val="24"/>
          <w:highlight w:val="none"/>
        </w:rPr>
        <w:t>招标人：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u w:val="single"/>
          <w:lang w:eastAsia="zh-CN"/>
        </w:rPr>
        <w:t>湄洲湾职业技术学院</w:t>
      </w:r>
      <w:r>
        <w:rPr>
          <w:rFonts w:hint="eastAsia" w:ascii="宋体" w:hAnsi="宋体" w:eastAsia="宋体" w:cs="Times New Roman"/>
          <w:color w:val="auto"/>
          <w:sz w:val="24"/>
          <w:highlight w:val="none"/>
        </w:rPr>
        <w:t>；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line="420" w:lineRule="exact"/>
        <w:ind w:left="0" w:right="0" w:rightChars="0" w:firstLine="480" w:firstLineChars="200"/>
        <w:rPr>
          <w:rFonts w:hint="eastAsia" w:ascii="宋体" w:hAnsi="宋体" w:eastAsia="宋体" w:cs="Times New Roman"/>
          <w:color w:val="auto"/>
          <w:sz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Times New Roman"/>
          <w:color w:val="auto"/>
          <w:sz w:val="24"/>
          <w:highlight w:val="none"/>
        </w:rPr>
        <w:t>地</w:t>
      </w:r>
      <w:r>
        <w:rPr>
          <w:rFonts w:hint="eastAsia" w:ascii="宋体" w:hAnsi="宋体" w:eastAsia="宋体" w:cs="Times New Roman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color w:val="auto"/>
          <w:sz w:val="24"/>
          <w:highlight w:val="none"/>
        </w:rPr>
        <w:t>址：</w:t>
      </w:r>
      <w:r>
        <w:rPr>
          <w:rFonts w:hint="eastAsia" w:ascii="宋体" w:hAnsi="宋体" w:eastAsia="宋体" w:cs="Times New Roman"/>
          <w:b w:val="0"/>
          <w:bCs/>
          <w:color w:val="auto"/>
          <w:sz w:val="24"/>
          <w:highlight w:val="none"/>
          <w:u w:val="single"/>
          <w:lang w:val="en-US" w:eastAsia="zh-CN"/>
        </w:rPr>
        <w:t>莆田市涵江区梧塘镇荔涵东大道1001号</w:t>
      </w:r>
      <w:r>
        <w:rPr>
          <w:rFonts w:hint="eastAsia" w:ascii="宋体" w:hAnsi="宋体" w:eastAsia="宋体" w:cs="Times New Roman"/>
          <w:color w:val="auto"/>
          <w:sz w:val="24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/>
        <w:tabs>
          <w:tab w:val="left" w:pos="360"/>
          <w:tab w:val="left" w:pos="900"/>
          <w:tab w:val="left" w:pos="1100"/>
        </w:tabs>
        <w:kinsoku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rPr>
          <w:rFonts w:hint="eastAsia" w:ascii="宋体" w:hAnsi="宋体" w:eastAsia="宋体" w:cs="Times New Roman"/>
          <w:b w:val="0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color w:val="auto"/>
          <w:sz w:val="24"/>
          <w:highlight w:val="none"/>
          <w:lang w:val="en-US" w:eastAsia="zh-CN"/>
        </w:rPr>
        <w:t>电话：</w:t>
      </w:r>
      <w:r>
        <w:rPr>
          <w:rFonts w:hint="eastAsia" w:ascii="宋体" w:hAnsi="宋体" w:eastAsia="宋体" w:cs="Times New Roman"/>
          <w:b w:val="0"/>
          <w:bCs/>
          <w:color w:val="auto"/>
          <w:sz w:val="24"/>
          <w:highlight w:val="none"/>
          <w:u w:val="single"/>
          <w:lang w:val="en-US" w:eastAsia="zh-CN"/>
        </w:rPr>
        <w:t>林老师</w:t>
      </w:r>
      <w:r>
        <w:rPr>
          <w:rFonts w:hint="eastAsia" w:ascii="宋体" w:hAnsi="宋体" w:eastAsia="宋体" w:cs="Times New Roman"/>
          <w:b w:val="0"/>
          <w:bCs/>
          <w:color w:val="auto"/>
          <w:sz w:val="24"/>
          <w:highlight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tabs>
          <w:tab w:val="left" w:pos="360"/>
          <w:tab w:val="left" w:pos="900"/>
          <w:tab w:val="left" w:pos="1100"/>
        </w:tabs>
        <w:kinsoku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rPr>
          <w:rFonts w:hint="eastAsia" w:ascii="宋体" w:hAnsi="宋体" w:eastAsia="宋体" w:cs="Times New Roman"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b w:val="0"/>
          <w:bCs/>
          <w:color w:val="auto"/>
          <w:sz w:val="24"/>
          <w:highlight w:val="none"/>
          <w:lang w:val="en-US" w:eastAsia="zh-CN"/>
        </w:rPr>
        <w:t>联系人：</w:t>
      </w:r>
      <w:r>
        <w:rPr>
          <w:rFonts w:hint="eastAsia" w:ascii="宋体" w:hAnsi="宋体" w:eastAsia="宋体" w:cs="Times New Roman"/>
          <w:b w:val="0"/>
          <w:bCs/>
          <w:color w:val="auto"/>
          <w:sz w:val="24"/>
          <w:highlight w:val="none"/>
          <w:u w:val="single"/>
          <w:lang w:val="en-US" w:eastAsia="zh-CN"/>
        </w:rPr>
        <w:t>13607521909</w:t>
      </w:r>
      <w:r>
        <w:rPr>
          <w:rFonts w:hint="eastAsia" w:ascii="宋体" w:hAnsi="宋体" w:eastAsia="宋体" w:cs="Times New Roman"/>
          <w:b w:val="0"/>
          <w:bCs/>
          <w:color w:val="auto"/>
          <w:sz w:val="24"/>
          <w:highlight w:val="none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left="0" w:right="0" w:rightChars="0" w:firstLine="480" w:firstLineChars="200"/>
        <w:textAlignment w:val="baseline"/>
        <w:rPr>
          <w:rFonts w:hint="eastAsia" w:ascii="宋体" w:hAnsi="宋体" w:eastAsia="宋体" w:cs="Times New Roman"/>
          <w:color w:val="auto"/>
          <w:sz w:val="24"/>
          <w:highlight w:val="none"/>
          <w:u w:val="none"/>
          <w:lang w:eastAsia="zh-CN"/>
        </w:rPr>
      </w:pPr>
      <w:r>
        <w:rPr>
          <w:rFonts w:hint="eastAsia" w:ascii="宋体" w:hAnsi="宋体" w:eastAsia="宋体" w:cs="Times New Roman"/>
          <w:color w:val="auto"/>
          <w:sz w:val="24"/>
          <w:highlight w:val="none"/>
        </w:rPr>
        <w:t>招标代理机构</w:t>
      </w:r>
      <w:r>
        <w:rPr>
          <w:rFonts w:hint="eastAsia" w:ascii="宋体" w:hAnsi="宋体" w:eastAsia="宋体" w:cs="Times New Roman"/>
          <w:color w:val="auto"/>
          <w:sz w:val="24"/>
          <w:highlight w:val="none"/>
          <w:u w:val="none"/>
        </w:rPr>
        <w:t>：</w:t>
      </w:r>
      <w:r>
        <w:rPr>
          <w:rFonts w:hint="eastAsia" w:ascii="宋体" w:hAnsi="宋体" w:eastAsia="宋体" w:cs="Times New Roman"/>
          <w:color w:val="auto"/>
          <w:sz w:val="24"/>
          <w:highlight w:val="none"/>
          <w:u w:val="single"/>
          <w:lang w:val="en-US" w:eastAsia="zh-CN"/>
        </w:rPr>
        <w:t>福建木澜项目管理有限公司</w:t>
      </w:r>
      <w:r>
        <w:rPr>
          <w:rFonts w:hint="eastAsia" w:ascii="宋体" w:hAnsi="宋体" w:eastAsia="宋体" w:cs="Times New Roman"/>
          <w:color w:val="auto"/>
          <w:sz w:val="24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left="0" w:right="0" w:rightChars="0" w:firstLine="480" w:firstLineChars="200"/>
        <w:textAlignment w:val="baseline"/>
        <w:rPr>
          <w:rFonts w:hint="eastAsia" w:ascii="宋体" w:hAnsi="宋体" w:eastAsia="宋体" w:cs="Times New Roman"/>
          <w:color w:val="auto"/>
          <w:sz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Times New Roman"/>
          <w:color w:val="auto"/>
          <w:sz w:val="24"/>
          <w:highlight w:val="none"/>
        </w:rPr>
        <w:t>地</w:t>
      </w:r>
      <w:r>
        <w:rPr>
          <w:rFonts w:hint="eastAsia" w:ascii="宋体" w:hAnsi="宋体" w:eastAsia="宋体" w:cs="Times New Roman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color w:val="auto"/>
          <w:sz w:val="24"/>
          <w:highlight w:val="none"/>
        </w:rPr>
        <w:t>址</w:t>
      </w:r>
      <w:r>
        <w:rPr>
          <w:rFonts w:hint="eastAsia" w:ascii="宋体" w:hAnsi="宋体" w:eastAsia="宋体" w:cs="Times New Roman"/>
          <w:color w:val="auto"/>
          <w:sz w:val="24"/>
          <w:highlight w:val="none"/>
          <w:u w:val="none"/>
        </w:rPr>
        <w:t>：</w:t>
      </w:r>
      <w:r>
        <w:rPr>
          <w:rFonts w:hint="eastAsia" w:ascii="宋体" w:hAnsi="宋体" w:eastAsia="宋体" w:cs="宋体"/>
          <w:color w:val="auto"/>
          <w:spacing w:val="0"/>
          <w:sz w:val="24"/>
          <w:highlight w:val="none"/>
          <w:u w:val="single"/>
          <w:lang w:eastAsia="zh-CN"/>
        </w:rPr>
        <w:t>莆田市城厢区</w:t>
      </w:r>
      <w:r>
        <w:rPr>
          <w:rFonts w:hint="eastAsia" w:ascii="宋体" w:hAnsi="宋体" w:eastAsia="宋体" w:cs="Times New Roman"/>
          <w:color w:val="auto"/>
          <w:sz w:val="24"/>
          <w:highlight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left="0" w:right="0" w:rightChars="0" w:firstLine="480" w:firstLineChars="200"/>
        <w:textAlignment w:val="baseline"/>
        <w:rPr>
          <w:rFonts w:hint="eastAsia" w:ascii="宋体" w:hAnsi="宋体" w:eastAsia="宋体" w:cs="Times New Roman"/>
          <w:color w:val="auto"/>
          <w:sz w:val="24"/>
          <w:highlight w:val="none"/>
          <w:u w:val="none"/>
          <w:lang w:eastAsia="zh-CN"/>
        </w:rPr>
      </w:pPr>
      <w:r>
        <w:rPr>
          <w:rFonts w:hint="eastAsia" w:ascii="宋体" w:hAnsi="宋体" w:eastAsia="宋体" w:cs="Times New Roman"/>
          <w:color w:val="auto"/>
          <w:sz w:val="24"/>
          <w:highlight w:val="none"/>
        </w:rPr>
        <w:t>电</w:t>
      </w:r>
      <w:r>
        <w:rPr>
          <w:rFonts w:hint="eastAsia" w:ascii="宋体" w:hAnsi="宋体" w:eastAsia="宋体" w:cs="Times New Roman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color w:val="auto"/>
          <w:sz w:val="24"/>
          <w:highlight w:val="none"/>
        </w:rPr>
        <w:t>话</w:t>
      </w:r>
      <w:r>
        <w:rPr>
          <w:rFonts w:hint="eastAsia" w:ascii="宋体" w:hAnsi="宋体" w:eastAsia="宋体" w:cs="Times New Roman"/>
          <w:color w:val="auto"/>
          <w:sz w:val="24"/>
          <w:highlight w:val="none"/>
          <w:u w:val="none"/>
        </w:rPr>
        <w:t>：</w:t>
      </w:r>
      <w:r>
        <w:rPr>
          <w:rFonts w:hint="eastAsia" w:ascii="宋体" w:hAnsi="宋体" w:eastAsia="宋体" w:cs="Times New Roman"/>
          <w:color w:val="auto"/>
          <w:sz w:val="24"/>
          <w:highlight w:val="none"/>
          <w:u w:val="single"/>
          <w:lang w:val="en-US" w:eastAsia="zh-CN"/>
        </w:rPr>
        <w:t>15260929845</w:t>
      </w:r>
      <w:r>
        <w:rPr>
          <w:rFonts w:hint="eastAsia" w:ascii="宋体" w:hAnsi="宋体" w:eastAsia="宋体" w:cs="Times New Roman"/>
          <w:color w:val="auto"/>
          <w:sz w:val="24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left="0" w:right="0" w:rightChars="0" w:firstLine="480" w:firstLineChars="200"/>
        <w:textAlignment w:val="baseline"/>
      </w:pPr>
      <w:r>
        <w:rPr>
          <w:rFonts w:hint="eastAsia" w:ascii="宋体" w:hAnsi="宋体" w:eastAsia="宋体" w:cs="Times New Roman"/>
          <w:color w:val="auto"/>
          <w:sz w:val="24"/>
          <w:highlight w:val="none"/>
        </w:rPr>
        <w:t>联系人</w:t>
      </w:r>
      <w:r>
        <w:rPr>
          <w:rFonts w:hint="eastAsia" w:ascii="宋体" w:hAnsi="宋体" w:eastAsia="宋体" w:cs="Times New Roman"/>
          <w:color w:val="auto"/>
          <w:sz w:val="24"/>
          <w:highlight w:val="none"/>
          <w:u w:val="none"/>
        </w:rPr>
        <w:t>：</w:t>
      </w:r>
      <w:r>
        <w:rPr>
          <w:rFonts w:hint="eastAsia" w:ascii="宋体" w:hAnsi="宋体" w:eastAsia="宋体" w:cs="Times New Roman"/>
          <w:color w:val="auto"/>
          <w:sz w:val="24"/>
          <w:highlight w:val="none"/>
          <w:u w:val="single"/>
          <w:lang w:val="en-US" w:eastAsia="zh-CN"/>
        </w:rPr>
        <w:t>小李</w:t>
      </w:r>
      <w:r>
        <w:rPr>
          <w:rFonts w:hint="eastAsia" w:ascii="宋体" w:hAnsi="宋体" w:eastAsia="宋体" w:cs="Times New Roman"/>
          <w:color w:val="auto"/>
          <w:sz w:val="24"/>
          <w:highlight w:val="none"/>
          <w:u w:val="none"/>
          <w:lang w:val="en-US" w:eastAsia="zh-CN"/>
        </w:rPr>
        <w:t>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B"/>
    <w:multiLevelType w:val="multilevel"/>
    <w:tmpl w:val="0000000B"/>
    <w:lvl w:ilvl="0" w:tentative="0">
      <w:start w:val="1"/>
      <w:numFmt w:val="decimal"/>
      <w:lvlText w:val="%1."/>
      <w:lvlJc w:val="left"/>
      <w:pPr>
        <w:tabs>
          <w:tab w:val="left" w:pos="510"/>
        </w:tabs>
        <w:ind w:left="0" w:firstLine="510"/>
      </w:pPr>
      <w:rPr>
        <w:rFonts w:hint="eastAsia"/>
        <w:i w:val="0"/>
        <w:sz w:val="24"/>
      </w:rPr>
    </w:lvl>
    <w:lvl w:ilvl="1" w:tentative="0">
      <w:start w:val="1"/>
      <w:numFmt w:val="decimal"/>
      <w:lvlText w:val="%2)"/>
      <w:lvlJc w:val="left"/>
      <w:pPr>
        <w:tabs>
          <w:tab w:val="left" w:pos="510"/>
        </w:tabs>
        <w:ind w:left="0" w:firstLine="510"/>
      </w:pPr>
      <w:rPr>
        <w:rFonts w:hint="eastAsia" w:ascii="宋体" w:hAnsi="宋体" w:eastAsia="宋体"/>
        <w:i w:val="0"/>
      </w:rPr>
    </w:lvl>
    <w:lvl w:ilvl="2" w:tentative="0">
      <w:start w:val="1"/>
      <w:numFmt w:val="decimal"/>
      <w:lvlText w:val="%1.%2.%3."/>
      <w:lvlJc w:val="left"/>
      <w:pPr>
        <w:tabs>
          <w:tab w:val="left" w:pos="510"/>
        </w:tabs>
        <w:ind w:left="0" w:firstLine="51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510"/>
        </w:tabs>
        <w:ind w:left="0" w:firstLine="510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kNWZjMjVjYjYwNjdjMDJkOWY2NTQ0M2Y5MGYxMzEifQ=="/>
  </w:docVars>
  <w:rsids>
    <w:rsidRoot w:val="77997978"/>
    <w:rsid w:val="7799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next w:val="1"/>
    <w:qFormat/>
    <w:uiPriority w:val="0"/>
    <w:pPr>
      <w:keepNext/>
      <w:keepLines/>
      <w:widowControl w:val="0"/>
      <w:spacing w:before="280" w:after="290" w:line="376" w:lineRule="atLeast"/>
      <w:jc w:val="both"/>
      <w:outlineLvl w:val="3"/>
    </w:pPr>
    <w:rPr>
      <w:rFonts w:ascii="Arial" w:hAnsi="Arial" w:eastAsia="黑体" w:cs="Times New Roman"/>
      <w:b/>
      <w:bCs/>
      <w:kern w:val="2"/>
      <w:sz w:val="28"/>
      <w:szCs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qFormat/>
    <w:uiPriority w:val="0"/>
    <w:pPr>
      <w:widowControl w:val="0"/>
      <w:adjustRightInd w:val="0"/>
      <w:spacing w:line="360" w:lineRule="atLeast"/>
      <w:ind w:firstLine="420"/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2024-07-01T02:54:00Z</dcterms:created>
  <dc:creator>李木子</dc:creator>
  <cp:lastModifiedBy>李木子</cp:lastModifiedBy>
  <dcterms:modified xsi:type="dcterms:W3CDTF">2024-07-01T02:55:06Z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6F8AC1F30C6B4BEABDD3D1F3BC147D65_11</vt:lpwstr>
  </property>
</Properties>
</file>