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72"/>
          <w:szCs w:val="72"/>
          <w:highlight w:val="none"/>
        </w:rPr>
        <w:t>竞争性磋商文件</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b/>
          <w:bCs/>
          <w:color w:val="auto"/>
          <w:kern w:val="0"/>
          <w:sz w:val="72"/>
          <w:szCs w:val="72"/>
          <w:highlight w:val="none"/>
        </w:rPr>
      </w:pPr>
      <w:r>
        <w:rPr>
          <w:rFonts w:ascii="宋体" w:hAnsi="宋体" w:cs="宋体"/>
          <w:b/>
          <w:bCs/>
          <w:color w:val="auto"/>
          <w:kern w:val="0"/>
          <w:sz w:val="72"/>
          <w:szCs w:val="72"/>
          <w:highlight w:val="none"/>
        </w:rPr>
        <w:t> </w:t>
      </w:r>
    </w:p>
    <w:p>
      <w:pPr>
        <w:pStyle w:val="11"/>
        <w:rPr>
          <w:rFonts w:ascii="宋体" w:hAnsi="宋体" w:cs="宋体"/>
          <w:b/>
          <w:bCs/>
          <w:color w:val="auto"/>
          <w:kern w:val="0"/>
          <w:sz w:val="72"/>
          <w:szCs w:val="72"/>
          <w:highlight w:val="none"/>
        </w:rPr>
      </w:pPr>
    </w:p>
    <w:p>
      <w:pPr>
        <w:pStyle w:val="11"/>
        <w:rPr>
          <w:rFonts w:ascii="宋体" w:hAnsi="宋体" w:cs="宋体"/>
          <w:b/>
          <w:bCs/>
          <w:color w:val="auto"/>
          <w:kern w:val="0"/>
          <w:sz w:val="72"/>
          <w:szCs w:val="72"/>
          <w:highlight w:val="none"/>
          <w:u w:val="none"/>
        </w:rPr>
      </w:pPr>
    </w:p>
    <w:p>
      <w:pPr>
        <w:widowControl/>
        <w:spacing w:line="360" w:lineRule="auto"/>
        <w:jc w:val="center"/>
        <w:rPr>
          <w:rFonts w:hint="eastAsia" w:ascii="宋体" w:hAnsi="宋体" w:eastAsia="宋体" w:cs="宋体"/>
          <w:b/>
          <w:bCs/>
          <w:color w:val="auto"/>
          <w:kern w:val="0"/>
          <w:sz w:val="32"/>
          <w:szCs w:val="32"/>
          <w:highlight w:val="none"/>
          <w:u w:val="none"/>
          <w:lang w:eastAsia="zh-CN"/>
        </w:rPr>
      </w:pPr>
      <w:r>
        <w:rPr>
          <w:rFonts w:ascii="宋体" w:hAnsi="宋体" w:cs="宋体"/>
          <w:b/>
          <w:bCs/>
          <w:color w:val="auto"/>
          <w:kern w:val="0"/>
          <w:sz w:val="32"/>
          <w:szCs w:val="32"/>
          <w:highlight w:val="none"/>
          <w:u w:val="none"/>
        </w:rPr>
        <w:t xml:space="preserve"> 项目名称：</w:t>
      </w:r>
      <w:r>
        <w:rPr>
          <w:rFonts w:hint="eastAsia" w:ascii="宋体" w:hAnsi="宋体" w:cs="宋体"/>
          <w:b/>
          <w:bCs/>
          <w:color w:val="auto"/>
          <w:kern w:val="0"/>
          <w:sz w:val="32"/>
          <w:szCs w:val="32"/>
          <w:highlight w:val="none"/>
          <w:u w:val="none"/>
          <w:lang w:eastAsia="zh-CN"/>
        </w:rPr>
        <w:t>2024年学院毕业展技术服务</w:t>
      </w:r>
    </w:p>
    <w:p>
      <w:pPr>
        <w:widowControl/>
        <w:spacing w:line="360" w:lineRule="auto"/>
        <w:jc w:val="center"/>
        <w:rPr>
          <w:rFonts w:hint="eastAsia" w:ascii="宋体" w:hAnsi="宋体" w:eastAsia="宋体" w:cs="宋体"/>
          <w:color w:val="auto"/>
          <w:kern w:val="0"/>
          <w:sz w:val="32"/>
          <w:szCs w:val="32"/>
          <w:highlight w:val="none"/>
          <w:u w:val="none"/>
          <w:lang w:eastAsia="zh-CN"/>
        </w:rPr>
      </w:pPr>
      <w:r>
        <w:rPr>
          <w:rFonts w:ascii="宋体" w:hAnsi="宋体" w:cs="宋体"/>
          <w:b/>
          <w:bCs/>
          <w:color w:val="auto"/>
          <w:kern w:val="0"/>
          <w:sz w:val="32"/>
          <w:szCs w:val="32"/>
          <w:highlight w:val="none"/>
          <w:u w:val="none"/>
        </w:rPr>
        <w:t>项目编号：</w:t>
      </w:r>
      <w:r>
        <w:rPr>
          <w:rFonts w:hint="eastAsia" w:ascii="宋体" w:hAnsi="宋体" w:cs="宋体"/>
          <w:b/>
          <w:bCs/>
          <w:color w:val="auto"/>
          <w:kern w:val="0"/>
          <w:sz w:val="32"/>
          <w:szCs w:val="32"/>
          <w:highlight w:val="none"/>
          <w:u w:val="none"/>
          <w:lang w:eastAsia="zh-CN"/>
        </w:rPr>
        <w:t>闽莆建融【F-2024】采招011号</w:t>
      </w:r>
    </w:p>
    <w:p>
      <w:pPr>
        <w:widowControl/>
        <w:spacing w:line="560" w:lineRule="exact"/>
        <w:jc w:val="left"/>
        <w:rPr>
          <w:rFonts w:ascii="宋体" w:hAnsi="宋体" w:cs="宋体"/>
          <w:color w:val="auto"/>
          <w:kern w:val="0"/>
          <w:sz w:val="30"/>
          <w:szCs w:val="30"/>
          <w:highlight w:val="none"/>
          <w:u w:val="none"/>
        </w:rPr>
      </w:pPr>
      <w:r>
        <w:rPr>
          <w:rFonts w:ascii="宋体" w:hAnsi="宋体" w:cs="宋体"/>
          <w:color w:val="auto"/>
          <w:kern w:val="0"/>
          <w:sz w:val="30"/>
          <w:szCs w:val="30"/>
          <w:highlight w:val="none"/>
          <w:u w:val="none"/>
        </w:rPr>
        <w:t> </w:t>
      </w:r>
    </w:p>
    <w:p>
      <w:pPr>
        <w:widowControl/>
        <w:spacing w:line="560" w:lineRule="exact"/>
        <w:jc w:val="left"/>
        <w:rPr>
          <w:rFonts w:ascii="宋体" w:hAnsi="宋体" w:cs="宋体"/>
          <w:color w:val="auto"/>
          <w:kern w:val="0"/>
          <w:sz w:val="30"/>
          <w:szCs w:val="30"/>
          <w:highlight w:val="none"/>
        </w:rPr>
      </w:pPr>
      <w:r>
        <w:rPr>
          <w:rFonts w:ascii="宋体" w:hAnsi="宋体" w:cs="宋体"/>
          <w:color w:val="auto"/>
          <w:kern w:val="0"/>
          <w:sz w:val="30"/>
          <w:szCs w:val="30"/>
          <w:highlight w:val="none"/>
        </w:rPr>
        <w:t> </w:t>
      </w:r>
    </w:p>
    <w:p>
      <w:pPr>
        <w:pStyle w:val="11"/>
        <w:rPr>
          <w:rFonts w:ascii="宋体" w:hAnsi="宋体" w:cs="宋体"/>
          <w:color w:val="auto"/>
          <w:kern w:val="0"/>
          <w:sz w:val="30"/>
          <w:szCs w:val="30"/>
          <w:highlight w:val="none"/>
        </w:rPr>
      </w:pPr>
    </w:p>
    <w:p>
      <w:pPr>
        <w:pStyle w:val="11"/>
        <w:rPr>
          <w:rFonts w:ascii="宋体" w:hAnsi="宋体" w:cs="宋体"/>
          <w:color w:val="auto"/>
          <w:kern w:val="0"/>
          <w:sz w:val="30"/>
          <w:szCs w:val="30"/>
          <w:highlight w:val="none"/>
        </w:rPr>
      </w:pPr>
    </w:p>
    <w:p>
      <w:pPr>
        <w:pStyle w:val="11"/>
        <w:rPr>
          <w:rFonts w:ascii="宋体" w:hAnsi="宋体" w:cs="宋体"/>
          <w:color w:val="auto"/>
          <w:kern w:val="0"/>
          <w:sz w:val="30"/>
          <w:szCs w:val="30"/>
          <w:highlight w:val="none"/>
        </w:rPr>
      </w:pPr>
    </w:p>
    <w:p>
      <w:pPr>
        <w:widowControl/>
        <w:spacing w:line="560" w:lineRule="exact"/>
        <w:jc w:val="center"/>
        <w:rPr>
          <w:rFonts w:hint="eastAsia"/>
          <w:b/>
          <w:color w:val="auto"/>
          <w:sz w:val="32"/>
          <w:szCs w:val="32"/>
          <w:highlight w:val="none"/>
          <w:lang w:eastAsia="zh-CN"/>
        </w:rPr>
      </w:pPr>
      <w:r>
        <w:rPr>
          <w:rFonts w:hint="eastAsia"/>
          <w:b/>
          <w:color w:val="auto"/>
          <w:sz w:val="32"/>
          <w:szCs w:val="32"/>
          <w:highlight w:val="none"/>
          <w:lang w:eastAsia="zh-CN"/>
        </w:rPr>
        <w:t>采购人：湄洲湾职业技术学院</w:t>
      </w:r>
    </w:p>
    <w:p>
      <w:pPr>
        <w:widowControl/>
        <w:spacing w:line="560" w:lineRule="exact"/>
        <w:jc w:val="center"/>
        <w:rPr>
          <w:rFonts w:hint="eastAsia" w:ascii="宋体" w:hAnsi="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招标代理机构：建融建设管理集团有限责任公司</w:t>
      </w:r>
    </w:p>
    <w:p>
      <w:pPr>
        <w:pStyle w:val="16"/>
        <w:rPr>
          <w:rFonts w:hint="eastAsia" w:ascii="宋体" w:hAnsi="宋体" w:cs="宋体"/>
          <w:b/>
          <w:bCs/>
          <w:color w:val="auto"/>
          <w:kern w:val="0"/>
          <w:sz w:val="36"/>
          <w:szCs w:val="36"/>
          <w:highlight w:val="none"/>
          <w:lang w:eastAsia="zh-CN"/>
        </w:rPr>
      </w:pPr>
    </w:p>
    <w:p>
      <w:pPr>
        <w:pStyle w:val="16"/>
        <w:rPr>
          <w:rFonts w:hint="eastAsia" w:ascii="宋体" w:hAnsi="宋体" w:cs="宋体"/>
          <w:b/>
          <w:bCs/>
          <w:color w:val="auto"/>
          <w:kern w:val="0"/>
          <w:sz w:val="36"/>
          <w:szCs w:val="36"/>
          <w:highlight w:val="none"/>
          <w:lang w:eastAsia="zh-CN"/>
        </w:rPr>
      </w:pPr>
    </w:p>
    <w:p>
      <w:pPr>
        <w:widowControl/>
        <w:spacing w:line="560" w:lineRule="exact"/>
        <w:ind w:right="720"/>
        <w:jc w:val="center"/>
        <w:rPr>
          <w:rFonts w:hint="eastAsia" w:ascii="宋体" w:hAnsi="宋体" w:eastAsia="宋体" w:cs="宋体"/>
          <w:b/>
          <w:bCs/>
          <w:color w:val="auto"/>
          <w:kern w:val="0"/>
          <w:sz w:val="36"/>
          <w:szCs w:val="36"/>
          <w:highlight w:val="none"/>
          <w:lang w:val="en-US" w:eastAsia="zh-CN"/>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eastAsia="zh-CN"/>
        </w:rPr>
        <w:t>202</w:t>
      </w:r>
      <w:r>
        <w:rPr>
          <w:rFonts w:hint="eastAsia" w:ascii="宋体" w:hAnsi="宋体" w:cs="宋体"/>
          <w:b/>
          <w:bCs/>
          <w:color w:val="auto"/>
          <w:kern w:val="0"/>
          <w:sz w:val="36"/>
          <w:szCs w:val="36"/>
          <w:highlight w:val="none"/>
          <w:lang w:val="en-US" w:eastAsia="zh-CN"/>
        </w:rPr>
        <w:t>4</w:t>
      </w:r>
      <w:r>
        <w:rPr>
          <w:rFonts w:hint="eastAsia" w:ascii="宋体" w:hAnsi="宋体" w:cs="宋体"/>
          <w:b/>
          <w:bCs/>
          <w:color w:val="auto"/>
          <w:kern w:val="0"/>
          <w:sz w:val="36"/>
          <w:szCs w:val="36"/>
          <w:highlight w:val="none"/>
          <w:lang w:eastAsia="zh-CN"/>
        </w:rPr>
        <w:t>年0</w:t>
      </w:r>
      <w:r>
        <w:rPr>
          <w:rFonts w:hint="eastAsia" w:ascii="宋体" w:hAnsi="宋体" w:cs="宋体"/>
          <w:b/>
          <w:bCs/>
          <w:color w:val="auto"/>
          <w:kern w:val="0"/>
          <w:sz w:val="36"/>
          <w:szCs w:val="36"/>
          <w:highlight w:val="none"/>
          <w:lang w:val="en-US" w:eastAsia="zh-CN"/>
        </w:rPr>
        <w:t>6</w:t>
      </w:r>
      <w:r>
        <w:rPr>
          <w:rFonts w:hint="eastAsia" w:ascii="宋体" w:hAnsi="宋体" w:cs="宋体"/>
          <w:b/>
          <w:bCs/>
          <w:color w:val="auto"/>
          <w:kern w:val="0"/>
          <w:sz w:val="36"/>
          <w:szCs w:val="36"/>
          <w:highlight w:val="none"/>
          <w:lang w:eastAsia="zh-CN"/>
        </w:rPr>
        <w:t>月</w:t>
      </w:r>
    </w:p>
    <w:p>
      <w:pPr>
        <w:rPr>
          <w:rFonts w:ascii="宋体" w:hAnsi="宋体" w:cs="宋体"/>
          <w:b/>
          <w:bCs/>
          <w:color w:val="auto"/>
          <w:kern w:val="0"/>
          <w:sz w:val="44"/>
          <w:szCs w:val="44"/>
          <w:highlight w:val="none"/>
        </w:rPr>
      </w:pPr>
      <w:r>
        <w:rPr>
          <w:rFonts w:ascii="宋体" w:hAnsi="宋体" w:cs="宋体"/>
          <w:b/>
          <w:bCs/>
          <w:color w:val="auto"/>
          <w:kern w:val="0"/>
          <w:sz w:val="44"/>
          <w:szCs w:val="44"/>
          <w:highlight w:val="none"/>
        </w:rPr>
        <w:br w:type="page"/>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44"/>
          <w:szCs w:val="44"/>
          <w:highlight w:val="none"/>
        </w:rPr>
        <w:t>第一章  采购邀请书</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竞争性磋商采购公告</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rPr>
        <w:t>湄洲湾职业技术学院</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已根据政府采购相关法律法规，经相应程序确定采用</w:t>
      </w:r>
      <w:r>
        <w:rPr>
          <w:rFonts w:ascii="宋体" w:hAnsi="宋体" w:cs="宋体"/>
          <w:color w:val="auto"/>
          <w:kern w:val="0"/>
          <w:sz w:val="24"/>
          <w:szCs w:val="24"/>
          <w:highlight w:val="none"/>
          <w:u w:val="single"/>
        </w:rPr>
        <w:t>竞争性磋商</w:t>
      </w:r>
      <w:r>
        <w:rPr>
          <w:rFonts w:ascii="宋体" w:hAnsi="宋体" w:cs="宋体"/>
          <w:color w:val="auto"/>
          <w:kern w:val="0"/>
          <w:sz w:val="24"/>
          <w:szCs w:val="24"/>
          <w:highlight w:val="none"/>
        </w:rPr>
        <w:t>方式组织</w:t>
      </w:r>
      <w:r>
        <w:rPr>
          <w:rFonts w:hint="eastAsia" w:ascii="宋体" w:hAnsi="宋体" w:cs="宋体"/>
          <w:color w:val="auto"/>
          <w:kern w:val="0"/>
          <w:sz w:val="24"/>
          <w:szCs w:val="24"/>
          <w:highlight w:val="none"/>
          <w:u w:val="single"/>
          <w:lang w:eastAsia="zh-CN"/>
        </w:rPr>
        <w:t>2024年学院毕业展技术服务</w:t>
      </w:r>
      <w:r>
        <w:rPr>
          <w:rFonts w:ascii="宋体" w:hAnsi="宋体" w:cs="宋体"/>
          <w:color w:val="auto"/>
          <w:kern w:val="0"/>
          <w:sz w:val="24"/>
          <w:szCs w:val="24"/>
          <w:highlight w:val="none"/>
        </w:rPr>
        <w:t>（以下简称：“本项目”）的政府采购活动，现欢迎国内合格的供应商前来参加。本项目由采购人委托</w:t>
      </w:r>
      <w:r>
        <w:rPr>
          <w:rFonts w:hint="eastAsia" w:ascii="宋体" w:hAnsi="宋体" w:cs="宋体"/>
          <w:color w:val="auto"/>
          <w:kern w:val="0"/>
          <w:sz w:val="24"/>
          <w:szCs w:val="24"/>
          <w:highlight w:val="none"/>
          <w:u w:val="single"/>
          <w:lang w:eastAsia="zh-CN"/>
        </w:rPr>
        <w:t>建融建设管理集团有限责任公司</w:t>
      </w:r>
      <w:r>
        <w:rPr>
          <w:rFonts w:ascii="宋体" w:hAnsi="宋体" w:cs="宋体"/>
          <w:color w:val="auto"/>
          <w:kern w:val="0"/>
          <w:sz w:val="24"/>
          <w:szCs w:val="24"/>
          <w:highlight w:val="none"/>
        </w:rPr>
        <w:t>开展竞争性磋商活动。</w:t>
      </w:r>
    </w:p>
    <w:p>
      <w:pPr>
        <w:widowControl/>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1.项目名称：</w:t>
      </w:r>
      <w:r>
        <w:rPr>
          <w:rFonts w:hint="eastAsia" w:ascii="宋体" w:hAnsi="宋体" w:cs="宋体"/>
          <w:color w:val="auto"/>
          <w:kern w:val="0"/>
          <w:sz w:val="24"/>
          <w:szCs w:val="24"/>
          <w:highlight w:val="none"/>
          <w:lang w:eastAsia="zh-CN"/>
        </w:rPr>
        <w:t>2024年学院毕业展技术服务</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.项目编号：</w:t>
      </w:r>
      <w:r>
        <w:rPr>
          <w:rFonts w:hint="eastAsia" w:ascii="宋体" w:hAnsi="宋体" w:cs="宋体"/>
          <w:color w:val="auto"/>
          <w:kern w:val="0"/>
          <w:sz w:val="24"/>
          <w:szCs w:val="24"/>
          <w:highlight w:val="none"/>
          <w:lang w:eastAsia="zh-CN"/>
        </w:rPr>
        <w:t>闽莆建融【F-2024】采招011号</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.采购内容及要求：</w:t>
      </w:r>
    </w:p>
    <w:p>
      <w:pPr>
        <w:widowControl/>
        <w:spacing w:line="440" w:lineRule="exact"/>
        <w:ind w:firstLine="480" w:firstLineChars="200"/>
        <w:jc w:val="righ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金额单位：人民币元 </w:t>
      </w:r>
    </w:p>
    <w:tbl>
      <w:tblPr>
        <w:tblStyle w:val="21"/>
        <w:tblW w:w="9605" w:type="dxa"/>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985"/>
        <w:gridCol w:w="3358"/>
        <w:gridCol w:w="773"/>
        <w:gridCol w:w="1484"/>
        <w:gridCol w:w="1483"/>
        <w:gridCol w:w="1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90" w:hRule="atLeast"/>
          <w:tblCellSpacing w:w="15" w:type="dxa"/>
        </w:trPr>
        <w:tc>
          <w:tcPr>
            <w:tcW w:w="940" w:type="dxa"/>
            <w:tcBorders>
              <w:tl2br w:val="nil"/>
              <w:tr2bl w:val="nil"/>
            </w:tcBorders>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合同包</w:t>
            </w:r>
          </w:p>
        </w:tc>
        <w:tc>
          <w:tcPr>
            <w:tcW w:w="3328" w:type="dxa"/>
            <w:tcBorders>
              <w:tl2br w:val="nil"/>
              <w:tr2bl w:val="nil"/>
            </w:tcBorders>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采购服务项目名称</w:t>
            </w:r>
          </w:p>
        </w:tc>
        <w:tc>
          <w:tcPr>
            <w:tcW w:w="743" w:type="dxa"/>
            <w:tcBorders>
              <w:tl2br w:val="nil"/>
              <w:tr2bl w:val="nil"/>
            </w:tcBorders>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p>
        </w:tc>
        <w:tc>
          <w:tcPr>
            <w:tcW w:w="1454" w:type="dxa"/>
            <w:tcBorders>
              <w:tl2br w:val="nil"/>
              <w:tr2bl w:val="nil"/>
            </w:tcBorders>
            <w:tcMar>
              <w:top w:w="0" w:type="dxa"/>
              <w:left w:w="105" w:type="dxa"/>
              <w:bottom w:w="0" w:type="dxa"/>
              <w:right w:w="105" w:type="dxa"/>
            </w:tcMar>
            <w:vAlign w:val="center"/>
          </w:tcPr>
          <w:p>
            <w:pPr>
              <w:pStyle w:val="14"/>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预算价（元）</w:t>
            </w:r>
          </w:p>
        </w:tc>
        <w:tc>
          <w:tcPr>
            <w:tcW w:w="1453" w:type="dxa"/>
            <w:tcBorders>
              <w:tl2br w:val="nil"/>
              <w:tr2bl w:val="nil"/>
            </w:tcBorders>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投标保证金（元）</w:t>
            </w:r>
          </w:p>
        </w:tc>
        <w:tc>
          <w:tcPr>
            <w:tcW w:w="1477" w:type="dxa"/>
            <w:tcBorders>
              <w:tl2br w:val="nil"/>
              <w:tr2bl w:val="nil"/>
            </w:tcBorders>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所属行业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612" w:hRule="atLeast"/>
          <w:tblCellSpacing w:w="15" w:type="dxa"/>
        </w:trPr>
        <w:tc>
          <w:tcPr>
            <w:tcW w:w="940" w:type="dxa"/>
            <w:tcBorders>
              <w:tl2br w:val="nil"/>
              <w:tr2bl w:val="nil"/>
            </w:tcBorders>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3328" w:type="dxa"/>
            <w:tcBorders>
              <w:tl2br w:val="nil"/>
              <w:tr2bl w:val="nil"/>
            </w:tcBorders>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2024年学院毕业展技术服务</w:t>
            </w:r>
          </w:p>
        </w:tc>
        <w:tc>
          <w:tcPr>
            <w:tcW w:w="743" w:type="dxa"/>
            <w:tcBorders>
              <w:tl2br w:val="nil"/>
              <w:tr2bl w:val="nil"/>
            </w:tcBorders>
            <w:tcMar>
              <w:top w:w="0" w:type="dxa"/>
              <w:left w:w="105" w:type="dxa"/>
              <w:bottom w:w="0" w:type="dxa"/>
              <w:right w:w="105" w:type="dxa"/>
            </w:tcMar>
            <w:vAlign w:val="center"/>
          </w:tcPr>
          <w:p>
            <w:pPr>
              <w:pStyle w:val="14"/>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w:t>
            </w:r>
          </w:p>
        </w:tc>
        <w:tc>
          <w:tcPr>
            <w:tcW w:w="1454" w:type="dxa"/>
            <w:tcBorders>
              <w:tl2br w:val="nil"/>
              <w:tr2bl w:val="nil"/>
            </w:tcBorders>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490000</w:t>
            </w:r>
          </w:p>
        </w:tc>
        <w:tc>
          <w:tcPr>
            <w:tcW w:w="1453" w:type="dxa"/>
            <w:tcBorders>
              <w:tl2br w:val="nil"/>
              <w:tr2bl w:val="nil"/>
            </w:tcBorders>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4900</w:t>
            </w:r>
          </w:p>
        </w:tc>
        <w:tc>
          <w:tcPr>
            <w:tcW w:w="1477" w:type="dxa"/>
            <w:tcBorders>
              <w:tl2br w:val="nil"/>
              <w:tr2bl w:val="nil"/>
            </w:tcBorders>
            <w:tcMar>
              <w:top w:w="0" w:type="dxa"/>
              <w:left w:w="105" w:type="dxa"/>
              <w:bottom w:w="0" w:type="dxa"/>
              <w:right w:w="105" w:type="dxa"/>
            </w:tcMar>
            <w:vAlign w:val="center"/>
          </w:tcPr>
          <w:p>
            <w:pPr>
              <w:pStyle w:val="6"/>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租赁和商务服务业</w:t>
            </w:r>
          </w:p>
        </w:tc>
      </w:tr>
    </w:tbl>
    <w:p>
      <w:pPr>
        <w:widowControl/>
        <w:numPr>
          <w:ilvl w:val="0"/>
          <w:numId w:val="2"/>
        </w:numPr>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采购项目需要落实的政府采购政策：</w:t>
      </w:r>
    </w:p>
    <w:p>
      <w:pPr>
        <w:pStyle w:val="61"/>
        <w:keepNext w:val="0"/>
        <w:keepLines w:val="0"/>
        <w:pageBreakBefore w:val="0"/>
        <w:widowControl/>
        <w:kinsoku/>
        <w:wordWrap/>
        <w:overflowPunct/>
        <w:topLinePunct w:val="0"/>
        <w:autoSpaceDE/>
        <w:autoSpaceDN/>
        <w:bidi w:val="0"/>
        <w:adjustRightInd/>
        <w:snapToGrid/>
        <w:ind w:firstLine="480" w:firstLineChars="200"/>
        <w:jc w:val="both"/>
        <w:textAlignment w:val="auto"/>
        <w:rPr>
          <w:color w:val="auto"/>
          <w:sz w:val="24"/>
          <w:szCs w:val="24"/>
          <w:highlight w:val="none"/>
        </w:rPr>
      </w:pPr>
      <w:r>
        <w:rPr>
          <w:color w:val="auto"/>
          <w:sz w:val="24"/>
          <w:szCs w:val="24"/>
          <w:highlight w:val="none"/>
        </w:rPr>
        <w:t>进口产品：不适用于本项目</w:t>
      </w:r>
    </w:p>
    <w:p>
      <w:pPr>
        <w:pStyle w:val="61"/>
        <w:keepNext w:val="0"/>
        <w:keepLines w:val="0"/>
        <w:pageBreakBefore w:val="0"/>
        <w:widowControl/>
        <w:kinsoku/>
        <w:wordWrap/>
        <w:overflowPunct/>
        <w:topLinePunct w:val="0"/>
        <w:autoSpaceDE/>
        <w:autoSpaceDN/>
        <w:bidi w:val="0"/>
        <w:adjustRightInd/>
        <w:snapToGrid/>
        <w:ind w:firstLine="480" w:firstLineChars="200"/>
        <w:jc w:val="both"/>
        <w:textAlignment w:val="auto"/>
        <w:rPr>
          <w:color w:val="auto"/>
          <w:sz w:val="24"/>
          <w:szCs w:val="24"/>
          <w:highlight w:val="none"/>
        </w:rPr>
      </w:pPr>
      <w:r>
        <w:rPr>
          <w:color w:val="auto"/>
          <w:sz w:val="24"/>
          <w:szCs w:val="24"/>
          <w:highlight w:val="none"/>
        </w:rPr>
        <w:t>节能产品：按照【财库〔2019〕19号】关于印发节能产品政府采购品目清单的通知执行。</w:t>
      </w:r>
    </w:p>
    <w:p>
      <w:pPr>
        <w:pStyle w:val="61"/>
        <w:keepNext w:val="0"/>
        <w:keepLines w:val="0"/>
        <w:pageBreakBefore w:val="0"/>
        <w:widowControl/>
        <w:kinsoku/>
        <w:wordWrap/>
        <w:overflowPunct/>
        <w:topLinePunct w:val="0"/>
        <w:autoSpaceDE/>
        <w:autoSpaceDN/>
        <w:bidi w:val="0"/>
        <w:adjustRightInd/>
        <w:snapToGrid/>
        <w:ind w:firstLine="480" w:firstLineChars="200"/>
        <w:jc w:val="both"/>
        <w:textAlignment w:val="auto"/>
        <w:rPr>
          <w:color w:val="auto"/>
          <w:sz w:val="24"/>
          <w:szCs w:val="24"/>
          <w:highlight w:val="none"/>
        </w:rPr>
      </w:pPr>
      <w:r>
        <w:rPr>
          <w:color w:val="auto"/>
          <w:sz w:val="24"/>
          <w:szCs w:val="24"/>
          <w:highlight w:val="none"/>
        </w:rPr>
        <w:t>环境标志产品：按照【财库〔2019〕18号】关于印发环境标志产品政府采购品目清单的通知。</w:t>
      </w:r>
    </w:p>
    <w:p>
      <w:pPr>
        <w:pStyle w:val="14"/>
        <w:keepNext w:val="0"/>
        <w:keepLines w:val="0"/>
        <w:pageBreakBefore w:val="0"/>
        <w:widowControl/>
        <w:kinsoku/>
        <w:wordWrap/>
        <w:overflowPunct/>
        <w:topLinePunct w:val="0"/>
        <w:autoSpaceDE/>
        <w:autoSpaceDN/>
        <w:bidi w:val="0"/>
        <w:adjustRightInd/>
        <w:spacing w:before="0" w:beforeLines="0" w:beforeAutospacing="0" w:after="0" w:afterLines="0" w:afterAutospacing="0" w:line="40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促进中小企业发展的相关政策：</w:t>
      </w:r>
    </w:p>
    <w:p>
      <w:pPr>
        <w:pStyle w:val="14"/>
        <w:keepNext w:val="0"/>
        <w:keepLines w:val="0"/>
        <w:pageBreakBefore w:val="0"/>
        <w:widowControl/>
        <w:kinsoku/>
        <w:wordWrap/>
        <w:overflowPunct/>
        <w:topLinePunct w:val="0"/>
        <w:autoSpaceDE/>
        <w:autoSpaceDN/>
        <w:bidi w:val="0"/>
        <w:adjustRightInd/>
        <w:spacing w:before="0" w:beforeLines="0" w:beforeAutospacing="0" w:after="0" w:afterLines="0" w:afterAutospacing="0" w:line="400" w:lineRule="exact"/>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专门面向中小企业</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.供应商的资格要求：</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.1法定条件：符合《中华人民共和国政府采购法》第二十二条第一款规定的条件</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.2特定条件：</w:t>
      </w:r>
    </w:p>
    <w:tbl>
      <w:tblPr>
        <w:tblStyle w:val="21"/>
        <w:tblW w:w="943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727"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明细</w:t>
            </w:r>
          </w:p>
        </w:tc>
        <w:tc>
          <w:tcPr>
            <w:tcW w:w="770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32"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无</w:t>
            </w:r>
          </w:p>
        </w:tc>
      </w:tr>
    </w:tbl>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.3是否接受联合体形式的响应磋商：不接受</w:t>
      </w:r>
    </w:p>
    <w:p>
      <w:pPr>
        <w:widowControl/>
        <w:spacing w:line="440" w:lineRule="exac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根据上述资格要求，供应商响应文件中应提交的“资格证明文件”相关规定和资料要求，详见竞争性磋商须知前附表和磋商文件第五章。</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ascii="宋体" w:hAnsi="宋体" w:cs="宋体"/>
          <w:color w:val="auto"/>
          <w:kern w:val="0"/>
          <w:sz w:val="24"/>
          <w:szCs w:val="24"/>
          <w:highlight w:val="none"/>
        </w:rPr>
        <w:t>.供应商报名期限：详见磋商公告或更正公告（若有）</w:t>
      </w:r>
      <w:r>
        <w:rPr>
          <w:rFonts w:ascii="宋体" w:hAnsi="宋体" w:cs="宋体"/>
          <w:color w:val="auto"/>
          <w:kern w:val="0"/>
          <w:sz w:val="24"/>
          <w:szCs w:val="24"/>
          <w:highlight w:val="none"/>
          <w:shd w:val="clear" w:color="auto" w:fill="FFFFFF"/>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shd w:val="clear" w:color="auto" w:fill="FFFFFF"/>
        </w:rPr>
        <w:t>6</w:t>
      </w:r>
      <w:r>
        <w:rPr>
          <w:rFonts w:ascii="宋体" w:hAnsi="宋体" w:cs="宋体"/>
          <w:color w:val="auto"/>
          <w:kern w:val="0"/>
          <w:sz w:val="24"/>
          <w:szCs w:val="24"/>
          <w:highlight w:val="none"/>
          <w:shd w:val="clear" w:color="auto" w:fill="FFFFFF"/>
        </w:rPr>
        <w:t>.1如果采购过程中有发出更正公告，采购人将根据实际情况确定是否延长报名期限，则报名截止时间以更正公告中的约定为准。</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shd w:val="clear" w:color="auto" w:fill="FFFFFF"/>
        </w:rPr>
        <w:t> </w:t>
      </w: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.获取采购文件时间、地点、方式：</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.1采购文件的提供期限：详见磋商公告或更正公告（若有），若不一致，以更正公告（若有）为准。采购文件的提供期限与磋商公告的公告期限保持一致。</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.2获取地点及方式：详见磋商公告或更正公告（若有），若不一致，以更正公告（若有）为准。采购文件的提供期限与磋商公告的公告期限保持一致。</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ascii="宋体" w:hAnsi="宋体" w:cs="宋体"/>
          <w:color w:val="auto"/>
          <w:kern w:val="0"/>
          <w:sz w:val="24"/>
          <w:szCs w:val="24"/>
          <w:highlight w:val="none"/>
        </w:rPr>
        <w:t>.采购文件售价：</w:t>
      </w:r>
      <w:r>
        <w:rPr>
          <w:rFonts w:hint="eastAsia" w:ascii="宋体" w:hAnsi="宋体" w:cs="宋体"/>
          <w:color w:val="auto"/>
          <w:kern w:val="0"/>
          <w:sz w:val="24"/>
          <w:szCs w:val="24"/>
          <w:highlight w:val="none"/>
        </w:rPr>
        <w:t>100</w:t>
      </w:r>
      <w:r>
        <w:rPr>
          <w:rFonts w:ascii="宋体" w:hAnsi="宋体" w:cs="宋体"/>
          <w:color w:val="auto"/>
          <w:kern w:val="0"/>
          <w:sz w:val="24"/>
          <w:szCs w:val="24"/>
          <w:highlight w:val="none"/>
        </w:rPr>
        <w:t>元。 </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ascii="宋体" w:hAnsi="宋体" w:cs="宋体"/>
          <w:color w:val="auto"/>
          <w:kern w:val="0"/>
          <w:sz w:val="24"/>
          <w:szCs w:val="24"/>
          <w:highlight w:val="none"/>
        </w:rPr>
        <w:t>.首次响应文件递交截止时间及地点：详见磋商公告或更正公告（若有），若不一致，以更正公告（若有）为准。供应商应在此之前将密封的首次响应文件送达本章第11条载明的地点，逾期送达的或不符合规定的响应文件将被拒绝接收。</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1</w:t>
      </w:r>
      <w:r>
        <w:rPr>
          <w:rFonts w:hint="eastAsia" w:ascii="宋体" w:hAnsi="宋体" w:cs="宋体"/>
          <w:color w:val="auto"/>
          <w:kern w:val="0"/>
          <w:sz w:val="24"/>
          <w:szCs w:val="24"/>
          <w:highlight w:val="none"/>
        </w:rPr>
        <w:t>0</w:t>
      </w:r>
      <w:r>
        <w:rPr>
          <w:rFonts w:ascii="宋体" w:hAnsi="宋体" w:cs="宋体"/>
          <w:color w:val="auto"/>
          <w:kern w:val="0"/>
          <w:sz w:val="24"/>
          <w:szCs w:val="24"/>
          <w:highlight w:val="none"/>
        </w:rPr>
        <w:t>.磋商时间及地点：详见磋商公告或更正公告（若有），若不一致，以更正公告（若有）为准。</w:t>
      </w:r>
    </w:p>
    <w:p>
      <w:pPr>
        <w:pStyle w:val="14"/>
        <w:spacing w:before="0" w:beforeAutospacing="0" w:after="0" w:afterAutospacing="0" w:line="440" w:lineRule="exact"/>
        <w:rPr>
          <w:color w:val="auto"/>
          <w:highlight w:val="none"/>
        </w:rPr>
      </w:pPr>
      <w:r>
        <w:rPr>
          <w:color w:val="auto"/>
          <w:highlight w:val="none"/>
        </w:rPr>
        <w:t>  1</w:t>
      </w:r>
      <w:r>
        <w:rPr>
          <w:rFonts w:hint="eastAsia"/>
          <w:color w:val="auto"/>
          <w:highlight w:val="none"/>
        </w:rPr>
        <w:t>1</w:t>
      </w:r>
      <w:r>
        <w:rPr>
          <w:color w:val="auto"/>
          <w:highlight w:val="none"/>
        </w:rPr>
        <w:t>.竞争性磋商公告期限：自财政部政府采购信息发布媒体最先发布公告之日起3个工作日。</w:t>
      </w:r>
    </w:p>
    <w:p>
      <w:pPr>
        <w:keepNext w:val="0"/>
        <w:keepLines w:val="0"/>
        <w:pageBreakBefore w:val="0"/>
        <w:kinsoku/>
        <w:wordWrap/>
        <w:overflowPunct/>
        <w:topLinePunct w:val="0"/>
        <w:autoSpaceDE/>
        <w:bidi w:val="0"/>
        <w:adjustRightInd/>
        <w:spacing w:line="420" w:lineRule="exact"/>
        <w:ind w:firstLine="420" w:firstLineChars="200"/>
        <w:textAlignment w:val="auto"/>
        <w:rPr>
          <w:rFonts w:hint="eastAsia" w:ascii="宋体" w:hAnsi="宋体" w:cs="宋体"/>
          <w:color w:val="auto"/>
          <w:sz w:val="24"/>
          <w:highlight w:val="none"/>
        </w:rPr>
      </w:pPr>
      <w:r>
        <w:rPr>
          <w:color w:val="auto"/>
          <w:highlight w:val="none"/>
        </w:rPr>
        <w:t>1</w:t>
      </w:r>
      <w:r>
        <w:rPr>
          <w:rFonts w:hint="eastAsia"/>
          <w:color w:val="auto"/>
          <w:highlight w:val="none"/>
        </w:rPr>
        <w:t>2</w:t>
      </w:r>
      <w:r>
        <w:rPr>
          <w:color w:val="auto"/>
          <w:highlight w:val="none"/>
        </w:rPr>
        <w:t>.</w:t>
      </w:r>
      <w:r>
        <w:rPr>
          <w:rFonts w:hint="eastAsia"/>
          <w:color w:val="auto"/>
          <w:highlight w:val="none"/>
        </w:rPr>
        <w:t xml:space="preserve"> </w:t>
      </w:r>
      <w:bookmarkStart w:id="0" w:name="_Toc28359008"/>
      <w:r>
        <w:rPr>
          <w:rFonts w:hint="eastAsia" w:ascii="宋体" w:hAnsi="宋体" w:cs="宋体"/>
          <w:color w:val="auto"/>
          <w:sz w:val="24"/>
          <w:highlight w:val="none"/>
        </w:rPr>
        <w:t>对本次</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提出询问，请按</w:t>
      </w:r>
      <w:bookmarkEnd w:id="0"/>
      <w:r>
        <w:rPr>
          <w:rFonts w:hint="eastAsia" w:ascii="宋体" w:hAnsi="宋体" w:cs="宋体"/>
          <w:color w:val="auto"/>
          <w:sz w:val="24"/>
          <w:highlight w:val="none"/>
        </w:rPr>
        <w:t>以下方式联系</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招标人：</w:t>
      </w:r>
      <w:r>
        <w:rPr>
          <w:rFonts w:hint="eastAsia" w:ascii="宋体" w:hAnsi="宋体" w:cs="宋体"/>
          <w:color w:val="auto"/>
          <w:sz w:val="24"/>
          <w:highlight w:val="none"/>
          <w:lang w:eastAsia="zh-CN"/>
        </w:rPr>
        <w:t>湄洲湾职业技术学院</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址：莆田市涵江区梧塘镇荔涵东大道1001号</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高老师</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13615982808  </w:t>
      </w:r>
      <w:r>
        <w:rPr>
          <w:rFonts w:hint="eastAsia" w:ascii="宋体" w:hAnsi="宋体" w:cs="宋体"/>
          <w:color w:val="auto"/>
          <w:sz w:val="24"/>
          <w:szCs w:val="24"/>
          <w:highlight w:val="none"/>
          <w:lang w:val="en-US" w:eastAsia="zh-CN"/>
        </w:rPr>
        <w:t xml:space="preserve">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建融建设管理集团有限责任公司</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福建省福州市鼓楼区安泰街道五一北路158号高景商贸中心7层A区</w:t>
      </w:r>
      <w:r>
        <w:rPr>
          <w:rFonts w:hint="eastAsia" w:ascii="宋体" w:hAnsi="宋体" w:eastAsia="宋体" w:cs="宋体"/>
          <w:color w:val="auto"/>
          <w:sz w:val="24"/>
          <w:szCs w:val="24"/>
          <w:highlight w:val="none"/>
          <w:lang w:eastAsia="zh-CN"/>
        </w:rPr>
        <w:t xml:space="preserve">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  编：  351100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联系人：张女士、陈女士</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 xml:space="preserve">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电  话： </w:t>
      </w:r>
      <w:r>
        <w:rPr>
          <w:rFonts w:hint="eastAsia" w:ascii="宋体" w:hAnsi="宋体" w:cs="宋体"/>
          <w:color w:val="auto"/>
          <w:sz w:val="24"/>
          <w:szCs w:val="24"/>
          <w:highlight w:val="none"/>
          <w:lang w:val="en-US" w:eastAsia="zh-CN"/>
        </w:rPr>
        <w:t>0594-2201060</w:t>
      </w:r>
      <w:r>
        <w:rPr>
          <w:rFonts w:hint="eastAsia" w:ascii="宋体" w:hAnsi="宋体" w:eastAsia="宋体" w:cs="宋体"/>
          <w:color w:val="auto"/>
          <w:sz w:val="24"/>
          <w:szCs w:val="24"/>
          <w:highlight w:val="none"/>
          <w:lang w:eastAsia="zh-CN"/>
        </w:rPr>
        <w:t xml:space="preserve">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 xml:space="preserve">邮  箱： </w:t>
      </w:r>
      <w:r>
        <w:rPr>
          <w:rFonts w:hint="eastAsia" w:ascii="宋体" w:hAnsi="宋体" w:cs="宋体"/>
          <w:color w:val="auto"/>
          <w:sz w:val="24"/>
          <w:szCs w:val="24"/>
          <w:highlight w:val="none"/>
          <w:lang w:val="en-US" w:eastAsia="zh-CN"/>
        </w:rPr>
        <w:t>jr2661777@163.com</w:t>
      </w:r>
      <w:r>
        <w:rPr>
          <w:rFonts w:hint="eastAsia" w:ascii="宋体" w:hAnsi="宋体" w:eastAsia="宋体" w:cs="宋体"/>
          <w:color w:val="auto"/>
          <w:sz w:val="24"/>
          <w:szCs w:val="24"/>
          <w:highlight w:val="none"/>
          <w:lang w:eastAsia="zh-CN"/>
        </w:rPr>
        <w:t xml:space="preserve"> </w:t>
      </w:r>
    </w:p>
    <w:p>
      <w:pPr>
        <w:widowControl/>
        <w:spacing w:line="440" w:lineRule="exact"/>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pPr>
        <w:widowControl/>
        <w:spacing w:before="75" w:after="75" w:line="435" w:lineRule="atLeast"/>
        <w:ind w:firstLine="480"/>
        <w:jc w:val="center"/>
        <w:rPr>
          <w:rFonts w:ascii="宋体" w:hAnsi="宋体" w:cs="宋体"/>
          <w:color w:val="auto"/>
          <w:kern w:val="0"/>
          <w:sz w:val="24"/>
          <w:szCs w:val="24"/>
          <w:highlight w:val="none"/>
        </w:rPr>
      </w:pPr>
      <w:r>
        <w:rPr>
          <w:rFonts w:ascii="宋体" w:hAnsi="宋体" w:cs="宋体"/>
          <w:b/>
          <w:bCs/>
          <w:color w:val="auto"/>
          <w:kern w:val="0"/>
          <w:sz w:val="44"/>
          <w:szCs w:val="44"/>
          <w:highlight w:val="none"/>
        </w:rPr>
        <w:t>第二章  竞争性磋商须知</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第1节  竞争性磋商须知前附表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竞争性磋商须知前附表是对竞争性磋商须知的补充和细化，二者如有矛盾，以前附表中的要求和规定为准</w:t>
      </w:r>
    </w:p>
    <w:tbl>
      <w:tblPr>
        <w:tblStyle w:val="21"/>
        <w:tblW w:w="10193"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37"/>
        <w:gridCol w:w="1003"/>
        <w:gridCol w:w="85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blCellSpacing w:w="15" w:type="dxa"/>
          <w:jc w:val="center"/>
        </w:trPr>
        <w:tc>
          <w:tcPr>
            <w:tcW w:w="592"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项号</w:t>
            </w:r>
          </w:p>
        </w:tc>
        <w:tc>
          <w:tcPr>
            <w:tcW w:w="973" w:type="dxa"/>
            <w:tcBorders>
              <w:top w:val="outset" w:color="000000" w:sz="6" w:space="0"/>
              <w:left w:val="nil"/>
              <w:bottom w:val="outset" w:color="000000" w:sz="6" w:space="0"/>
              <w:right w:val="outset" w:color="000000" w:sz="6" w:space="0"/>
            </w:tcBorders>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条款号</w:t>
            </w:r>
          </w:p>
        </w:tc>
        <w:tc>
          <w:tcPr>
            <w:tcW w:w="8508" w:type="dxa"/>
            <w:tcBorders>
              <w:top w:val="outset" w:color="000000" w:sz="6" w:space="0"/>
              <w:left w:val="nil"/>
              <w:bottom w:val="outset" w:color="000000" w:sz="6" w:space="0"/>
              <w:right w:val="outset" w:color="000000" w:sz="6" w:space="0"/>
            </w:tcBorders>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3.2.1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供应商的资格要求：见磋商文件第一章“采购公告/采购邀请书”</w:t>
            </w:r>
          </w:p>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资格证明文件资料要求：</w:t>
            </w:r>
          </w:p>
          <w:tbl>
            <w:tblPr>
              <w:tblStyle w:val="21"/>
              <w:tblW w:w="8240"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49"/>
              <w:gridCol w:w="66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4" w:hRule="atLeast"/>
                <w:tblHeader/>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olor w:val="auto"/>
                      <w:sz w:val="24"/>
                      <w:szCs w:val="24"/>
                      <w:highlight w:val="none"/>
                    </w:rPr>
                  </w:pPr>
                  <w:r>
                    <w:rPr>
                      <w:rFonts w:ascii="宋体" w:hAnsi="宋体"/>
                      <w:color w:val="auto"/>
                      <w:sz w:val="24"/>
                      <w:szCs w:val="24"/>
                      <w:highlight w:val="none"/>
                    </w:rPr>
                    <w:t>明细</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olor w:val="auto"/>
                      <w:sz w:val="24"/>
                      <w:szCs w:val="24"/>
                      <w:highlight w:val="none"/>
                    </w:rPr>
                  </w:pPr>
                  <w:r>
                    <w:rPr>
                      <w:rFonts w:ascii="宋体" w:hAnsi="宋体"/>
                      <w:color w:val="auto"/>
                      <w:sz w:val="24"/>
                      <w:szCs w:val="24"/>
                      <w:highlight w:val="none"/>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5"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center"/>
                    <w:textAlignment w:val="auto"/>
                    <w:outlineLvl w:val="9"/>
                    <w:rPr>
                      <w:rFonts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a1</w:t>
                  </w:r>
                  <w:r>
                    <w:rPr>
                      <w:rFonts w:hint="eastAsia" w:ascii="宋体" w:hAnsi="宋体" w:eastAsia="宋体" w:cs="宋体"/>
                      <w:b w:val="0"/>
                      <w:bCs/>
                      <w:color w:val="auto"/>
                      <w:sz w:val="24"/>
                      <w:szCs w:val="24"/>
                      <w:highlight w:val="none"/>
                    </w:rPr>
                    <w:t>磋商响应声明</w:t>
                  </w:r>
                </w:p>
              </w:tc>
              <w:tc>
                <w:tcPr>
                  <w:tcW w:w="6691"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left"/>
                    <w:textAlignment w:val="auto"/>
                    <w:outlineLvl w:val="9"/>
                    <w:rPr>
                      <w:rFonts w:ascii="宋体" w:hAnsi="宋体"/>
                      <w:b w:val="0"/>
                      <w:bCs/>
                      <w:color w:val="auto"/>
                      <w:sz w:val="24"/>
                      <w:szCs w:val="24"/>
                      <w:highlight w:val="none"/>
                    </w:rPr>
                  </w:pPr>
                  <w:r>
                    <w:rPr>
                      <w:rFonts w:hint="eastAsia" w:ascii="宋体" w:hAnsi="宋体" w:eastAsia="宋体" w:cs="宋体"/>
                      <w:b w:val="0"/>
                      <w:bCs/>
                      <w:color w:val="auto"/>
                      <w:sz w:val="24"/>
                      <w:szCs w:val="24"/>
                      <w:highlight w:val="none"/>
                    </w:rPr>
                    <w:t>详见声明函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08"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a2单位负责人授权书</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877"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a3法人或者其他组织的营业执照等证明文件，自然人的身份证明</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ascii="宋体" w:hAnsi="宋体"/>
                      <w:color w:val="auto"/>
                      <w:sz w:val="24"/>
                      <w:szCs w:val="24"/>
                      <w:highlight w:val="none"/>
                    </w:rPr>
                  </w:pPr>
                  <w:r>
                    <w:rPr>
                      <w:rFonts w:ascii="宋体" w:hAnsi="宋体"/>
                      <w:color w:val="auto"/>
                      <w:sz w:val="24"/>
                      <w:szCs w:val="24"/>
                      <w:highlight w:val="none"/>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25"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a4财务状况报告</w:t>
                  </w:r>
                  <w:r>
                    <w:rPr>
                      <w:rFonts w:hint="eastAsia" w:ascii="宋体" w:hAnsi="宋体" w:eastAsia="宋体" w:cs="宋体"/>
                      <w:b w:val="0"/>
                      <w:bCs/>
                      <w:color w:val="auto"/>
                      <w:sz w:val="24"/>
                      <w:szCs w:val="24"/>
                      <w:highlight w:val="none"/>
                    </w:rPr>
                    <w:t>（财务报告、或资信证明）</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ascii="宋体" w:hAnsi="宋体"/>
                      <w:color w:val="auto"/>
                      <w:sz w:val="24"/>
                      <w:szCs w:val="24"/>
                      <w:highlight w:val="none"/>
                    </w:rPr>
                  </w:pPr>
                  <w:r>
                    <w:rPr>
                      <w:rFonts w:hint="eastAsia" w:ascii="宋体" w:hAnsi="宋体" w:cs="宋体"/>
                      <w:color w:val="auto"/>
                      <w:kern w:val="0"/>
                      <w:sz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cs="宋体"/>
                      <w:b/>
                      <w:bCs/>
                      <w:color w:val="auto"/>
                      <w:kern w:val="0"/>
                      <w:sz w:val="24"/>
                      <w:highlight w:val="none"/>
                    </w:rPr>
                    <w:t>其中经审计的上一年度财务报告可为2022年度或2023年度财务审计报告。投标人提供经审计的2022年度财务报告的不视为投标无效</w:t>
                  </w:r>
                  <w:r>
                    <w:rPr>
                      <w:rFonts w:ascii="宋体" w:hAnsi="宋体"/>
                      <w:color w:val="auto"/>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24"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a5依法缴纳税收的相关材料</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86"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a6依法缴纳社会保障资金的相关材料</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08"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a7具备履行合同所必需的设备和专业技术能力的材料</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43"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center"/>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lang w:val="en-US" w:eastAsia="zh-CN"/>
                    </w:rPr>
                    <w:t>a8</w:t>
                  </w:r>
                  <w:r>
                    <w:rPr>
                      <w:rFonts w:hint="eastAsia" w:ascii="宋体" w:hAnsi="宋体" w:eastAsia="宋体" w:cs="宋体"/>
                      <w:b w:val="0"/>
                      <w:bCs/>
                      <w:color w:val="auto"/>
                      <w:sz w:val="24"/>
                      <w:szCs w:val="24"/>
                      <w:highlight w:val="none"/>
                    </w:rPr>
                    <w:t>参加采购活动前三年内在经营活动中没有重大违法记录的声明</w:t>
                  </w:r>
                </w:p>
              </w:tc>
              <w:tc>
                <w:tcPr>
                  <w:tcW w:w="6691"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left"/>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86"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widowControl w:val="0"/>
                    <w:kinsoku w:val="0"/>
                    <w:wordWrap w:val="0"/>
                    <w:overflowPunct/>
                    <w:topLinePunct w:val="0"/>
                    <w:autoSpaceDE/>
                    <w:autoSpaceDN/>
                    <w:bidi w:val="0"/>
                    <w:adjustRightInd/>
                    <w:snapToGrid w:val="0"/>
                    <w:spacing w:beforeAutospacing="0" w:afterAutospacing="0" w:line="360" w:lineRule="exact"/>
                    <w:jc w:val="both"/>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lang w:val="en-US" w:eastAsia="zh-CN"/>
                    </w:rPr>
                    <w:t>a9</w:t>
                  </w:r>
                  <w:r>
                    <w:rPr>
                      <w:rFonts w:hint="eastAsia" w:ascii="宋体" w:hAnsi="宋体" w:eastAsia="宋体" w:cs="宋体"/>
                      <w:b w:val="0"/>
                      <w:bCs/>
                      <w:color w:val="auto"/>
                      <w:sz w:val="24"/>
                      <w:szCs w:val="24"/>
                      <w:highlight w:val="none"/>
                    </w:rPr>
                    <w:t>信用信息查询结果</w:t>
                  </w:r>
                </w:p>
              </w:tc>
              <w:tc>
                <w:tcPr>
                  <w:tcW w:w="6691"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widowControl w:val="0"/>
                    <w:kinsoku w:val="0"/>
                    <w:wordWrap w:val="0"/>
                    <w:overflowPunct/>
                    <w:topLinePunct w:val="0"/>
                    <w:autoSpaceDE/>
                    <w:autoSpaceDN/>
                    <w:bidi w:val="0"/>
                    <w:adjustRightInd/>
                    <w:snapToGrid w:val="0"/>
                    <w:spacing w:beforeAutospacing="0" w:afterAutospacing="0" w:line="360" w:lineRule="exact"/>
                    <w:jc w:val="both"/>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①信用记录查询的截止时点：信用记录查询的截止时点为本项目提交响应文件截止时间当日。 ②信用记录查询渠道：信用中国（www.creditchina.gov.cn）、中国政府采购网（www.ccgp.gov.cn）。 ③信用记录的查询：由询价小组通过上述网站查询并打印供应商的信用记录。 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58"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center"/>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lang w:val="en-US" w:eastAsia="zh-CN"/>
                    </w:rPr>
                    <w:t>a10</w:t>
                  </w:r>
                  <w:r>
                    <w:rPr>
                      <w:rFonts w:hint="eastAsia" w:ascii="宋体" w:hAnsi="宋体" w:eastAsia="宋体" w:cs="宋体"/>
                      <w:b w:val="0"/>
                      <w:bCs/>
                      <w:color w:val="auto"/>
                      <w:sz w:val="24"/>
                      <w:szCs w:val="24"/>
                      <w:highlight w:val="none"/>
                    </w:rPr>
                    <w:t>中小企业声明函（以资格条件落实中小企业扶持政策时适用 ）</w:t>
                  </w:r>
                </w:p>
              </w:tc>
              <w:tc>
                <w:tcPr>
                  <w:tcW w:w="6691"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left"/>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52"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center"/>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lang w:val="en-US" w:eastAsia="zh-CN"/>
                    </w:rPr>
                    <w:t>a11</w:t>
                  </w:r>
                  <w:r>
                    <w:rPr>
                      <w:rFonts w:hint="eastAsia" w:ascii="宋体" w:hAnsi="宋体" w:eastAsia="宋体" w:cs="宋体"/>
                      <w:b w:val="0"/>
                      <w:bCs/>
                      <w:color w:val="auto"/>
                      <w:sz w:val="24"/>
                      <w:szCs w:val="24"/>
                      <w:highlight w:val="none"/>
                    </w:rPr>
                    <w:t>联合体协议（若有）</w:t>
                  </w:r>
                </w:p>
              </w:tc>
              <w:tc>
                <w:tcPr>
                  <w:tcW w:w="6691"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left"/>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特定资格条件：</w:t>
            </w:r>
          </w:p>
          <w:tbl>
            <w:tblPr>
              <w:tblStyle w:val="21"/>
              <w:tblW w:w="830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4"/>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34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明细</w:t>
                  </w:r>
                </w:p>
              </w:tc>
              <w:tc>
                <w:tcPr>
                  <w:tcW w:w="6961"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5"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无</w:t>
                  </w:r>
                </w:p>
              </w:tc>
            </w:tr>
          </w:tbl>
          <w:p>
            <w:pPr>
              <w:pStyle w:val="20"/>
              <w:keepNext w:val="0"/>
              <w:keepLines w:val="0"/>
              <w:pageBreakBefore w:val="0"/>
              <w:kinsoku/>
              <w:overflowPunct/>
              <w:topLinePunct w:val="0"/>
              <w:autoSpaceDE/>
              <w:autoSpaceDN/>
              <w:bidi w:val="0"/>
              <w:adjustRightInd/>
              <w:snapToGrid w:val="0"/>
              <w:spacing w:after="0" w:line="360" w:lineRule="exact"/>
              <w:ind w:left="420" w:firstLine="640"/>
              <w:textAlignment w:val="auto"/>
              <w:rPr>
                <w:color w:val="auto"/>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3.2.2</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是否接受联合体形式的响应磋商：</w:t>
            </w:r>
            <w:r>
              <w:rPr>
                <w:rFonts w:ascii="宋体" w:hAnsi="宋体" w:cs="宋体"/>
                <w:color w:val="auto"/>
                <w:kern w:val="0"/>
                <w:sz w:val="24"/>
                <w:szCs w:val="24"/>
                <w:highlight w:val="none"/>
              </w:rPr>
              <w:t>不接受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6.3</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是否组织现场考察或召开磋商前答疑会：</w:t>
            </w:r>
            <w:r>
              <w:rPr>
                <w:rFonts w:ascii="宋体" w:hAnsi="宋体" w:cs="宋体"/>
                <w:color w:val="auto"/>
                <w:kern w:val="0"/>
                <w:sz w:val="24"/>
                <w:szCs w:val="24"/>
                <w:highlight w:val="none"/>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4</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9.1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响应文件有效期：</w:t>
            </w:r>
            <w:r>
              <w:rPr>
                <w:rFonts w:ascii="宋体" w:hAnsi="宋体" w:cs="宋体"/>
                <w:color w:val="auto"/>
                <w:kern w:val="0"/>
                <w:sz w:val="24"/>
                <w:szCs w:val="24"/>
                <w:highlight w:val="none"/>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5</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tcPr>
          <w:p>
            <w:pPr>
              <w:keepNext w:val="0"/>
              <w:keepLines w:val="0"/>
              <w:pageBreakBefore w:val="0"/>
              <w:kinsoku/>
              <w:overflowPunct/>
              <w:topLinePunct w:val="0"/>
              <w:autoSpaceDE/>
              <w:autoSpaceDN/>
              <w:bidi w:val="0"/>
              <w:adjustRightInd/>
              <w:snapToGrid w:val="0"/>
              <w:spacing w:line="36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提交磋商保证金：</w:t>
            </w:r>
          </w:p>
          <w:p>
            <w:pPr>
              <w:keepNext w:val="0"/>
              <w:keepLines w:val="0"/>
              <w:pageBreakBefore w:val="0"/>
              <w:kinsoku/>
              <w:overflowPunct/>
              <w:topLinePunct w:val="0"/>
              <w:autoSpaceDE/>
              <w:autoSpaceDN/>
              <w:bidi w:val="0"/>
              <w:adjustRightInd/>
              <w:snapToGrid w:val="0"/>
              <w:spacing w:line="360" w:lineRule="exact"/>
              <w:ind w:firstLine="470" w:firstLineChars="196"/>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本项目的磋商保证金为</w:t>
            </w:r>
            <w:r>
              <w:rPr>
                <w:rFonts w:hint="eastAsia" w:ascii="宋体" w:hAnsi="宋体" w:cs="宋体"/>
                <w:bCs/>
                <w:color w:val="auto"/>
                <w:sz w:val="24"/>
                <w:szCs w:val="24"/>
                <w:highlight w:val="none"/>
                <w:u w:val="single"/>
              </w:rPr>
              <w:t>人民币</w:t>
            </w:r>
            <w:r>
              <w:rPr>
                <w:rFonts w:hint="eastAsia" w:ascii="宋体" w:hAnsi="宋体" w:cs="宋体"/>
                <w:bCs/>
                <w:color w:val="auto"/>
                <w:sz w:val="24"/>
                <w:szCs w:val="24"/>
                <w:highlight w:val="none"/>
                <w:u w:val="single"/>
                <w:lang w:eastAsia="zh-CN"/>
              </w:rPr>
              <w:t>肆</w:t>
            </w:r>
            <w:r>
              <w:rPr>
                <w:rFonts w:hint="eastAsia" w:ascii="宋体" w:hAnsi="宋体" w:cs="宋体"/>
                <w:bCs/>
                <w:color w:val="auto"/>
                <w:sz w:val="24"/>
                <w:szCs w:val="24"/>
                <w:highlight w:val="none"/>
                <w:u w:val="single"/>
                <w:lang w:val="en-US" w:eastAsia="zh-CN"/>
              </w:rPr>
              <w:t>仟玖佰</w:t>
            </w:r>
            <w:r>
              <w:rPr>
                <w:rFonts w:hint="eastAsia" w:ascii="宋体" w:hAnsi="宋体" w:cs="宋体"/>
                <w:bCs/>
                <w:color w:val="auto"/>
                <w:sz w:val="24"/>
                <w:szCs w:val="24"/>
                <w:highlight w:val="none"/>
                <w:u w:val="single"/>
              </w:rPr>
              <w:t>元整（￥</w:t>
            </w:r>
            <w:r>
              <w:rPr>
                <w:rFonts w:hint="eastAsia" w:ascii="宋体" w:hAnsi="宋体" w:cs="宋体"/>
                <w:bCs/>
                <w:color w:val="auto"/>
                <w:sz w:val="24"/>
                <w:szCs w:val="24"/>
                <w:highlight w:val="none"/>
                <w:u w:val="single"/>
                <w:lang w:val="en-US" w:eastAsia="zh-CN"/>
              </w:rPr>
              <w:t>4900</w:t>
            </w:r>
            <w:r>
              <w:rPr>
                <w:rFonts w:hint="eastAsia" w:ascii="宋体" w:hAnsi="宋体" w:cs="宋体"/>
                <w:bCs/>
                <w:color w:val="auto"/>
                <w:sz w:val="24"/>
                <w:szCs w:val="24"/>
                <w:highlight w:val="none"/>
                <w:u w:val="single"/>
              </w:rPr>
              <w:t>元）</w:t>
            </w:r>
            <w:r>
              <w:rPr>
                <w:rFonts w:hint="eastAsia" w:ascii="宋体" w:hAnsi="宋体" w:cs="宋体"/>
                <w:bCs/>
                <w:color w:val="auto"/>
                <w:sz w:val="24"/>
                <w:szCs w:val="24"/>
                <w:highlight w:val="none"/>
              </w:rPr>
              <w:t>，磋商保证金必须以供应商银行账户公对公转账至（开户名—建融建设管理集团有限责任公司莆田咨询分公司，开户行—中国农业银行壶兰支行，帐号—13400201040007163),以款到账户为准，不接受汇票。供应商在缴纳保证金时必须以公司的账户缴纳，不得以供应商代表个人的名称缴纳。保证金未按规定时间到账或提交磋商保证金的汇款人名称与投标供应商名称不一致的，其投标将被拒绝。</w:t>
            </w:r>
          </w:p>
          <w:p>
            <w:pPr>
              <w:keepNext w:val="0"/>
              <w:keepLines w:val="0"/>
              <w:pageBreakBefore w:val="0"/>
              <w:kinsoku/>
              <w:overflowPunct/>
              <w:topLinePunct w:val="0"/>
              <w:autoSpaceDE/>
              <w:autoSpaceDN/>
              <w:bidi w:val="0"/>
              <w:adjustRightInd/>
              <w:snapToGrid w:val="0"/>
              <w:spacing w:line="360" w:lineRule="exact"/>
              <w:ind w:firstLine="472" w:firstLineChars="196"/>
              <w:textAlignment w:val="auto"/>
              <w:rPr>
                <w:color w:val="auto"/>
                <w:highlight w:val="none"/>
              </w:rPr>
            </w:pPr>
            <w:r>
              <w:rPr>
                <w:rFonts w:hint="eastAsia" w:ascii="宋体" w:hAnsi="宋体" w:cs="宋体"/>
                <w:b/>
                <w:color w:val="auto"/>
                <w:sz w:val="24"/>
                <w:szCs w:val="24"/>
                <w:highlight w:val="none"/>
              </w:rPr>
              <w:t>注：磋商保证金转账时请注明所投项目的项目编号。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6</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10.3.1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磋商保证金退还的其它要求：</w:t>
            </w: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7</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响应文件的份数</w:t>
            </w:r>
          </w:p>
          <w:p>
            <w:pPr>
              <w:keepNext w:val="0"/>
              <w:keepLines w:val="0"/>
              <w:pageBreakBefore w:val="0"/>
              <w:widowControl/>
              <w:kinsoku/>
              <w:wordWrap w:val="0"/>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（1）响应文件 </w:t>
            </w:r>
          </w:p>
          <w:p>
            <w:pPr>
              <w:keepNext w:val="0"/>
              <w:keepLines w:val="0"/>
              <w:pageBreakBefore w:val="0"/>
              <w:widowControl/>
              <w:kinsoku/>
              <w:wordWrap w:val="0"/>
              <w:overflowPunct/>
              <w:topLinePunct w:val="0"/>
              <w:autoSpaceDE/>
              <w:autoSpaceDN/>
              <w:bidi w:val="0"/>
              <w:adjustRightInd/>
              <w:snapToGrid w:val="0"/>
              <w:spacing w:line="360" w:lineRule="exact"/>
              <w:ind w:firstLine="480"/>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①纸质响应文件正本</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份、副本</w:t>
            </w:r>
            <w:r>
              <w:rPr>
                <w:rFonts w:hint="eastAsia" w:ascii="宋体" w:hAnsi="宋体" w:cs="宋体"/>
                <w:color w:val="auto"/>
                <w:kern w:val="0"/>
                <w:sz w:val="24"/>
                <w:szCs w:val="24"/>
                <w:highlight w:val="none"/>
                <w:u w:val="single"/>
                <w:lang w:val="en-US" w:eastAsia="zh-CN"/>
              </w:rPr>
              <w:t>1</w:t>
            </w:r>
            <w:r>
              <w:rPr>
                <w:rFonts w:ascii="宋体" w:hAnsi="宋体" w:cs="宋体"/>
                <w:color w:val="auto"/>
                <w:kern w:val="0"/>
                <w:sz w:val="24"/>
                <w:szCs w:val="24"/>
                <w:highlight w:val="none"/>
              </w:rPr>
              <w:t>份。</w:t>
            </w:r>
          </w:p>
          <w:p>
            <w:pPr>
              <w:keepNext w:val="0"/>
              <w:keepLines w:val="0"/>
              <w:pageBreakBefore w:val="0"/>
              <w:widowControl/>
              <w:kinsoku/>
              <w:wordWrap w:val="0"/>
              <w:overflowPunct/>
              <w:topLinePunct w:val="0"/>
              <w:autoSpaceDE/>
              <w:autoSpaceDN/>
              <w:bidi w:val="0"/>
              <w:adjustRightInd/>
              <w:snapToGrid w:val="0"/>
              <w:spacing w:line="360" w:lineRule="exact"/>
              <w:ind w:firstLine="480"/>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②可读介质（光盘或U盘）</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8</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14.4</w:t>
            </w:r>
          </w:p>
        </w:tc>
        <w:tc>
          <w:tcPr>
            <w:tcW w:w="8508" w:type="dxa"/>
            <w:tcBorders>
              <w:top w:val="nil"/>
              <w:left w:val="nil"/>
              <w:bottom w:val="outset" w:color="000000" w:sz="6" w:space="0"/>
              <w:right w:val="outset" w:color="000000" w:sz="6" w:space="0"/>
            </w:tcBorders>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磋商过程中可能发生实质性变动的内容：</w:t>
            </w: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9</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14.9</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评审的标准和方法：具体内容详见竞争性磋商须知前附表专项附件“评审的标准和方法”。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exact"/>
              <w:jc w:val="left"/>
              <w:textAlignment w:val="auto"/>
              <w:rPr>
                <w:rFonts w:ascii="宋体" w:hAnsi="宋体" w:cs="宋体"/>
                <w:color w:val="auto"/>
                <w:kern w:val="0"/>
                <w:sz w:val="8"/>
                <w:szCs w:val="24"/>
                <w:highlight w:val="none"/>
              </w:rPr>
            </w:pP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根据采购项目的特点和需要，需要加以详细说明的其他磋商程序规定、要求等内容</w:t>
            </w: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22.2</w:t>
            </w:r>
          </w:p>
        </w:tc>
        <w:tc>
          <w:tcPr>
            <w:tcW w:w="8508" w:type="dxa"/>
            <w:tcBorders>
              <w:top w:val="nil"/>
              <w:left w:val="nil"/>
              <w:bottom w:val="outset" w:color="000000" w:sz="6" w:space="0"/>
              <w:right w:val="outset" w:color="000000" w:sz="6" w:space="0"/>
            </w:tcBorders>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信息公告指定媒体（以下简称：“指定媒体”）：</w:t>
            </w:r>
          </w:p>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（1）中国政府采购网</w:t>
            </w:r>
          </w:p>
          <w:p>
            <w:pPr>
              <w:keepNext w:val="0"/>
              <w:keepLines w:val="0"/>
              <w:pageBreakBefore w:val="0"/>
              <w:widowControl/>
              <w:kinsoku/>
              <w:overflowPunct/>
              <w:topLinePunct w:val="0"/>
              <w:autoSpaceDE/>
              <w:autoSpaceDN/>
              <w:bidi w:val="0"/>
              <w:adjustRightInd/>
              <w:snapToGrid w:val="0"/>
              <w:spacing w:line="36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（2）中国采购与招标网</w:t>
            </w:r>
          </w:p>
          <w:p>
            <w:pPr>
              <w:keepNext w:val="0"/>
              <w:keepLines w:val="0"/>
              <w:pageBreakBefore w:val="0"/>
              <w:widowControl/>
              <w:kinsoku/>
              <w:overflowPunct/>
              <w:topLinePunct w:val="0"/>
              <w:autoSpaceDE/>
              <w:autoSpaceDN/>
              <w:bidi w:val="0"/>
              <w:adjustRightInd/>
              <w:snapToGrid w:val="0"/>
              <w:spacing w:line="360" w:lineRule="exact"/>
              <w:jc w:val="left"/>
              <w:textAlignment w:val="auto"/>
              <w:rPr>
                <w:color w:val="auto"/>
                <w:highlight w:val="none"/>
              </w:rPr>
            </w:pPr>
            <w:r>
              <w:rPr>
                <w:rFonts w:hint="eastAsia" w:ascii="宋体" w:hAnsi="宋体" w:cs="宋体"/>
                <w:color w:val="auto"/>
                <w:kern w:val="0"/>
                <w:sz w:val="24"/>
                <w:szCs w:val="24"/>
                <w:highlight w:val="none"/>
              </w:rPr>
              <w:t>（3）湄洲湾职业技术学院网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12</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23.1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highlight w:val="none"/>
                <w:lang w:eastAsia="zh-CN"/>
              </w:rPr>
            </w:pPr>
            <w:r>
              <w:rPr>
                <w:rFonts w:ascii="宋体" w:hAnsi="宋体" w:cs="宋体"/>
                <w:b/>
                <w:bCs/>
                <w:color w:val="auto"/>
                <w:kern w:val="0"/>
                <w:sz w:val="24"/>
                <w:szCs w:val="24"/>
                <w:highlight w:val="none"/>
              </w:rPr>
              <w:t>本项目监督管理部门：</w:t>
            </w:r>
            <w:r>
              <w:rPr>
                <w:rFonts w:hint="eastAsia" w:ascii="宋体" w:hAnsi="宋体" w:cs="宋体"/>
                <w:color w:val="auto"/>
                <w:sz w:val="24"/>
                <w:szCs w:val="24"/>
                <w:highlight w:val="none"/>
                <w:lang w:eastAsia="zh-CN"/>
              </w:rPr>
              <w:t>湄洲湾职业技术学院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13</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24.1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履约保证金：</w:t>
            </w:r>
            <w:r>
              <w:rPr>
                <w:rFonts w:hint="eastAsia" w:ascii="宋体" w:hAnsi="宋体" w:cs="宋体"/>
                <w:b/>
                <w:bCs/>
                <w:color w:val="auto"/>
                <w:kern w:val="0"/>
                <w:sz w:val="24"/>
                <w:szCs w:val="24"/>
                <w:highlight w:val="none"/>
              </w:rPr>
              <w:t>无</w:t>
            </w:r>
            <w:r>
              <w:rPr>
                <w:rFonts w:ascii="宋体" w:hAnsi="宋体" w:cs="宋体"/>
                <w:color w:val="auto"/>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25</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pStyle w:val="61"/>
              <w:keepNext w:val="0"/>
              <w:keepLines w:val="0"/>
              <w:pageBreakBefore w:val="0"/>
              <w:overflowPunct/>
              <w:topLinePunct w:val="0"/>
              <w:autoSpaceDE/>
              <w:autoSpaceDN/>
              <w:bidi w:val="0"/>
              <w:adjustRightInd/>
              <w:snapToGrid w:val="0"/>
              <w:spacing w:line="360" w:lineRule="exact"/>
              <w:jc w:val="left"/>
              <w:textAlignment w:val="auto"/>
              <w:outlineLvl w:val="9"/>
              <w:rPr>
                <w:rFonts w:hint="eastAsia"/>
                <w:color w:val="auto"/>
                <w:sz w:val="24"/>
                <w:szCs w:val="24"/>
                <w:highlight w:val="none"/>
              </w:rPr>
            </w:pPr>
            <w:r>
              <w:rPr>
                <w:rFonts w:hint="eastAsia"/>
                <w:color w:val="auto"/>
                <w:sz w:val="24"/>
                <w:szCs w:val="24"/>
                <w:highlight w:val="none"/>
              </w:rPr>
              <w:t>招标服务费</w:t>
            </w:r>
            <w:r>
              <w:rPr>
                <w:rFonts w:hint="eastAsia"/>
                <w:color w:val="auto"/>
                <w:sz w:val="24"/>
                <w:szCs w:val="24"/>
                <w:highlight w:val="none"/>
                <w:lang w:eastAsia="zh-CN"/>
              </w:rPr>
              <w:t>：</w:t>
            </w:r>
            <w:r>
              <w:rPr>
                <w:rFonts w:hint="eastAsia"/>
                <w:color w:val="auto"/>
                <w:sz w:val="24"/>
                <w:szCs w:val="24"/>
                <w:highlight w:val="none"/>
                <w:lang w:val="en-US" w:eastAsia="zh-CN"/>
              </w:rPr>
              <w:t>①</w:t>
            </w:r>
            <w:r>
              <w:rPr>
                <w:rFonts w:hint="eastAsia"/>
                <w:color w:val="auto"/>
                <w:sz w:val="24"/>
                <w:szCs w:val="24"/>
                <w:highlight w:val="none"/>
              </w:rPr>
              <w:t>本项目收取代理服务费</w:t>
            </w:r>
          </w:p>
          <w:p>
            <w:pPr>
              <w:pStyle w:val="61"/>
              <w:keepNext w:val="0"/>
              <w:keepLines w:val="0"/>
              <w:pageBreakBefore w:val="0"/>
              <w:overflowPunct/>
              <w:topLinePunct w:val="0"/>
              <w:autoSpaceDE/>
              <w:autoSpaceDN/>
              <w:bidi w:val="0"/>
              <w:adjustRightInd/>
              <w:snapToGrid w:val="0"/>
              <w:spacing w:line="360" w:lineRule="exact"/>
              <w:jc w:val="left"/>
              <w:textAlignment w:val="auto"/>
              <w:outlineLvl w:val="9"/>
              <w:rPr>
                <w:rFonts w:hint="eastAsia"/>
                <w:color w:val="auto"/>
                <w:sz w:val="24"/>
                <w:szCs w:val="24"/>
                <w:highlight w:val="none"/>
              </w:rPr>
            </w:pPr>
            <w:r>
              <w:rPr>
                <w:rFonts w:hint="eastAsia"/>
                <w:color w:val="auto"/>
                <w:sz w:val="24"/>
                <w:szCs w:val="24"/>
                <w:highlight w:val="none"/>
              </w:rPr>
              <w:t>代理服务费用收取对象：中标/成交供应商</w:t>
            </w:r>
          </w:p>
          <w:p>
            <w:pPr>
              <w:keepNext w:val="0"/>
              <w:keepLines w:val="0"/>
              <w:pageBreakBefore w:val="0"/>
              <w:kinsoku/>
              <w:overflowPunct/>
              <w:topLinePunct w:val="0"/>
              <w:autoSpaceDE/>
              <w:autoSpaceDN/>
              <w:bidi w:val="0"/>
              <w:adjustRightInd/>
              <w:snapToGrid w:val="0"/>
              <w:spacing w:line="360" w:lineRule="exact"/>
              <w:textAlignment w:val="auto"/>
              <w:rPr>
                <w:rFonts w:hint="eastAsia"/>
                <w:color w:val="auto"/>
                <w:sz w:val="24"/>
                <w:szCs w:val="24"/>
                <w:highlight w:val="none"/>
              </w:rPr>
            </w:pPr>
            <w:r>
              <w:rPr>
                <w:rFonts w:hint="eastAsia"/>
                <w:color w:val="auto"/>
                <w:sz w:val="24"/>
                <w:szCs w:val="24"/>
                <w:highlight w:val="none"/>
              </w:rPr>
              <w:t>代理服务费收费标准：</w:t>
            </w:r>
            <w:r>
              <w:rPr>
                <w:rFonts w:hint="eastAsia"/>
                <w:color w:val="auto"/>
                <w:sz w:val="24"/>
                <w:szCs w:val="24"/>
                <w:highlight w:val="none"/>
                <w:lang w:eastAsia="zh-CN"/>
              </w:rPr>
              <w:t>成交人</w:t>
            </w:r>
            <w:r>
              <w:rPr>
                <w:rFonts w:hint="eastAsia"/>
                <w:color w:val="auto"/>
                <w:sz w:val="24"/>
                <w:szCs w:val="24"/>
                <w:highlight w:val="none"/>
              </w:rPr>
              <w:t>应在领取中标通知书的同时按</w:t>
            </w:r>
            <w:r>
              <w:rPr>
                <w:rFonts w:hint="eastAsia"/>
                <w:color w:val="auto"/>
                <w:sz w:val="24"/>
                <w:szCs w:val="24"/>
                <w:highlight w:val="none"/>
                <w:lang w:eastAsia="zh-CN"/>
              </w:rPr>
              <w:t>本</w:t>
            </w:r>
            <w:r>
              <w:rPr>
                <w:rFonts w:hint="eastAsia"/>
                <w:color w:val="auto"/>
                <w:sz w:val="24"/>
                <w:szCs w:val="24"/>
                <w:highlight w:val="none"/>
              </w:rPr>
              <w:t>项目</w:t>
            </w:r>
            <w:r>
              <w:rPr>
                <w:rFonts w:hint="eastAsia"/>
                <w:color w:val="auto"/>
                <w:sz w:val="24"/>
                <w:szCs w:val="24"/>
                <w:highlight w:val="none"/>
                <w:lang w:eastAsia="zh-CN"/>
              </w:rPr>
              <w:t>中标价的</w:t>
            </w:r>
            <w:r>
              <w:rPr>
                <w:rFonts w:hint="eastAsia"/>
                <w:color w:val="auto"/>
                <w:sz w:val="24"/>
                <w:szCs w:val="24"/>
                <w:highlight w:val="none"/>
                <w:lang w:val="en-US" w:eastAsia="zh-CN"/>
              </w:rPr>
              <w:t>1.5%缴纳，</w:t>
            </w:r>
            <w:r>
              <w:rPr>
                <w:rFonts w:hint="eastAsia"/>
                <w:color w:val="auto"/>
                <w:sz w:val="24"/>
                <w:szCs w:val="24"/>
                <w:highlight w:val="none"/>
              </w:rPr>
              <w:t>向招标代理人缴纳招标服务费(其中包含该项目采购有跟标或增加补充而产生的采购金额。但若采购人的实际采购金额低于中标总金额的，招标代理人将不予退还原缴纳的费用)。</w:t>
            </w:r>
          </w:p>
          <w:p>
            <w:pPr>
              <w:keepNext w:val="0"/>
              <w:keepLines w:val="0"/>
              <w:pageBreakBefore w:val="0"/>
              <w:kinsoku/>
              <w:overflowPunct/>
              <w:topLinePunct w:val="0"/>
              <w:autoSpaceDE/>
              <w:autoSpaceDN/>
              <w:bidi w:val="0"/>
              <w:adjustRightInd/>
              <w:snapToGrid w:val="0"/>
              <w:spacing w:line="360" w:lineRule="exact"/>
              <w:textAlignment w:val="auto"/>
              <w:rPr>
                <w:color w:val="auto"/>
                <w:sz w:val="24"/>
                <w:szCs w:val="24"/>
                <w:highlight w:val="none"/>
              </w:rPr>
            </w:pPr>
            <w:r>
              <w:rPr>
                <w:rFonts w:hint="eastAsia"/>
                <w:color w:val="auto"/>
                <w:sz w:val="24"/>
                <w:szCs w:val="24"/>
                <w:highlight w:val="none"/>
              </w:rPr>
              <w:t>②招标服务费缴纳账户：</w:t>
            </w:r>
          </w:p>
          <w:p>
            <w:pPr>
              <w:keepNext w:val="0"/>
              <w:keepLines w:val="0"/>
              <w:pageBreakBefore w:val="0"/>
              <w:kinsoku/>
              <w:overflowPunct/>
              <w:topLinePunct w:val="0"/>
              <w:autoSpaceDE/>
              <w:autoSpaceDN/>
              <w:bidi w:val="0"/>
              <w:adjustRightInd/>
              <w:snapToGrid w:val="0"/>
              <w:spacing w:line="360" w:lineRule="exact"/>
              <w:textAlignment w:val="auto"/>
              <w:rPr>
                <w:color w:val="auto"/>
                <w:sz w:val="24"/>
                <w:szCs w:val="24"/>
                <w:highlight w:val="none"/>
              </w:rPr>
            </w:pPr>
            <w:r>
              <w:rPr>
                <w:rFonts w:hint="eastAsia"/>
                <w:color w:val="auto"/>
                <w:sz w:val="24"/>
                <w:szCs w:val="24"/>
                <w:highlight w:val="none"/>
              </w:rPr>
              <w:t>开户名：建融建设管理集团有限责任公司莆田咨询分公司</w:t>
            </w:r>
          </w:p>
          <w:p>
            <w:pPr>
              <w:keepNext w:val="0"/>
              <w:keepLines w:val="0"/>
              <w:pageBreakBefore w:val="0"/>
              <w:kinsoku/>
              <w:overflowPunct/>
              <w:topLinePunct w:val="0"/>
              <w:autoSpaceDE/>
              <w:autoSpaceDN/>
              <w:bidi w:val="0"/>
              <w:adjustRightInd/>
              <w:snapToGrid w:val="0"/>
              <w:spacing w:line="360" w:lineRule="exact"/>
              <w:textAlignment w:val="auto"/>
              <w:rPr>
                <w:rFonts w:hint="eastAsia"/>
                <w:color w:val="auto"/>
                <w:sz w:val="24"/>
                <w:szCs w:val="24"/>
                <w:highlight w:val="none"/>
                <w:lang w:eastAsia="zh-CN"/>
              </w:rPr>
            </w:pPr>
            <w:r>
              <w:rPr>
                <w:rFonts w:hint="eastAsia"/>
                <w:color w:val="auto"/>
                <w:sz w:val="24"/>
                <w:szCs w:val="24"/>
                <w:highlight w:val="none"/>
              </w:rPr>
              <w:t>开户行：</w:t>
            </w:r>
            <w:r>
              <w:rPr>
                <w:rFonts w:hint="eastAsia"/>
                <w:color w:val="auto"/>
                <w:sz w:val="24"/>
                <w:szCs w:val="24"/>
                <w:highlight w:val="none"/>
                <w:lang w:eastAsia="zh-CN"/>
              </w:rPr>
              <w:t>中国农业银行壶兰支行</w:t>
            </w:r>
          </w:p>
          <w:p>
            <w:pPr>
              <w:keepNext w:val="0"/>
              <w:keepLines w:val="0"/>
              <w:pageBreakBefore w:val="0"/>
              <w:widowControl/>
              <w:kinsoku/>
              <w:wordWrap w:val="0"/>
              <w:overflowPunct/>
              <w:topLinePunct w:val="0"/>
              <w:autoSpaceDE/>
              <w:autoSpaceDN/>
              <w:bidi w:val="0"/>
              <w:adjustRightInd/>
              <w:snapToGrid w:val="0"/>
              <w:spacing w:line="360" w:lineRule="exact"/>
              <w:jc w:val="left"/>
              <w:textAlignment w:val="auto"/>
              <w:rPr>
                <w:rFonts w:hint="eastAsia" w:eastAsia="宋体"/>
                <w:color w:val="auto"/>
                <w:highlight w:val="none"/>
                <w:lang w:eastAsia="zh-CN"/>
              </w:rPr>
            </w:pPr>
            <w:r>
              <w:rPr>
                <w:rFonts w:hint="eastAsia"/>
                <w:color w:val="auto"/>
                <w:sz w:val="24"/>
                <w:szCs w:val="24"/>
                <w:highlight w:val="none"/>
              </w:rPr>
              <w:t>帐  号：13400201040007163</w:t>
            </w:r>
          </w:p>
        </w:tc>
      </w:tr>
    </w:tbl>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b/>
          <w:bCs/>
          <w:color w:val="auto"/>
          <w:kern w:val="0"/>
          <w:sz w:val="32"/>
          <w:szCs w:val="32"/>
          <w:highlight w:val="none"/>
        </w:rPr>
      </w:pPr>
      <w:r>
        <w:rPr>
          <w:rFonts w:ascii="宋体" w:hAnsi="宋体" w:cs="宋体"/>
          <w:color w:val="auto"/>
          <w:kern w:val="0"/>
          <w:sz w:val="24"/>
          <w:szCs w:val="24"/>
          <w:highlight w:val="none"/>
        </w:rPr>
        <w:br w:type="page"/>
      </w:r>
      <w:r>
        <w:rPr>
          <w:rFonts w:ascii="宋体" w:hAnsi="宋体" w:cs="宋体"/>
          <w:b/>
          <w:bCs/>
          <w:color w:val="auto"/>
          <w:kern w:val="0"/>
          <w:sz w:val="24"/>
          <w:szCs w:val="24"/>
          <w:highlight w:val="none"/>
        </w:rPr>
        <w:t>专项附件：            </w:t>
      </w:r>
      <w:r>
        <w:rPr>
          <w:rFonts w:ascii="宋体" w:hAnsi="宋体" w:cs="宋体"/>
          <w:b/>
          <w:bCs/>
          <w:color w:val="auto"/>
          <w:kern w:val="0"/>
          <w:sz w:val="32"/>
          <w:szCs w:val="32"/>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评审的标准和方法</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一、磋商小组</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1.1采购人根据项目的特点依法组建磋商小组。</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1.2磋商小组由采购人代表和评审专家两部分（以下简称“评委”）共</w:t>
      </w:r>
      <w:r>
        <w:rPr>
          <w:rFonts w:ascii="宋体" w:hAnsi="宋体" w:cs="宋体"/>
          <w:color w:val="auto"/>
          <w:kern w:val="0"/>
          <w:sz w:val="24"/>
          <w:szCs w:val="24"/>
          <w:highlight w:val="none"/>
          <w:u w:val="single"/>
        </w:rPr>
        <w:t>3</w:t>
      </w:r>
      <w:r>
        <w:rPr>
          <w:rFonts w:ascii="宋体" w:hAnsi="宋体" w:cs="宋体"/>
          <w:color w:val="auto"/>
          <w:kern w:val="0"/>
          <w:sz w:val="24"/>
          <w:szCs w:val="24"/>
          <w:highlight w:val="none"/>
        </w:rPr>
        <w:t>人组成，其中：采购人代表</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人由采购人派出，评审专家</w:t>
      </w:r>
      <w:r>
        <w:rPr>
          <w:rFonts w:ascii="宋体" w:hAnsi="宋体" w:cs="宋体"/>
          <w:color w:val="auto"/>
          <w:kern w:val="0"/>
          <w:sz w:val="24"/>
          <w:szCs w:val="24"/>
          <w:highlight w:val="none"/>
          <w:u w:val="single"/>
        </w:rPr>
        <w:t>2</w:t>
      </w:r>
      <w:r>
        <w:rPr>
          <w:rFonts w:ascii="宋体" w:hAnsi="宋体" w:cs="宋体"/>
          <w:color w:val="auto"/>
          <w:kern w:val="0"/>
          <w:sz w:val="24"/>
          <w:szCs w:val="24"/>
          <w:highlight w:val="none"/>
        </w:rPr>
        <w:t>人由福建省政府采购评审专家库产生。技术复杂、专业性强的采购项目，评审专家中应当包含1名法律专家。</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1.3磋商小组负责具体磋商和评审事务，并按照下列原则依法独立履行有关职责：</w:t>
      </w:r>
    </w:p>
    <w:p>
      <w:pPr>
        <w:widowControl/>
        <w:spacing w:before="75" w:after="75" w:line="420"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1.3.1评审应保护国家利益、社会公共利益和各方当事人合法权益，提高采购效益，保证项目质量。</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1.3.2评审应遵循公平、公正、科学、严谨和择优原则。</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1.3.3评审的依据是磋商文件和响应文件，磋商文件中没有规定的评审标准不得作为评审依据。</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1.3.4磋商小组应按照磋商文件规定推荐成交候选供应商或根据采购人的授权确定成交人。</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1.3.5评审应遵守下列评审纪律：</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t>评审情况不得私自外泄，有关信息由采购人或其委托的代理机构统一对外发布。</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t>对采购人或供应商提供的要求保密的资料，不得摘记翻印和外传。</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③</w:t>
      </w:r>
      <w:r>
        <w:rPr>
          <w:rFonts w:ascii="宋体" w:hAnsi="宋体" w:cs="宋体"/>
          <w:color w:val="auto"/>
          <w:kern w:val="0"/>
          <w:sz w:val="24"/>
          <w:szCs w:val="24"/>
          <w:highlight w:val="none"/>
        </w:rPr>
        <w:t>不得收受供应商或有关人员的任何礼物，不得串联鼓动其他人袒护某供应商。若与供应商存在利害关系，则应主动声明并回避。</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④</w:t>
      </w:r>
      <w:r>
        <w:rPr>
          <w:rFonts w:ascii="宋体" w:hAnsi="宋体" w:cs="宋体"/>
          <w:color w:val="auto"/>
          <w:kern w:val="0"/>
          <w:sz w:val="24"/>
          <w:szCs w:val="24"/>
          <w:highlight w:val="none"/>
        </w:rPr>
        <w:t>全体磋商小组成员应按照磋商文件规定进行评审，一切认定事项应查有实据且不得弄虚作假。</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⑤</w:t>
      </w:r>
      <w:r>
        <w:rPr>
          <w:rFonts w:ascii="宋体" w:hAnsi="宋体" w:cs="宋体"/>
          <w:color w:val="auto"/>
          <w:kern w:val="0"/>
          <w:sz w:val="24"/>
          <w:szCs w:val="24"/>
          <w:highlight w:val="none"/>
        </w:rPr>
        <w:t>评审中应充分发扬民主，推荐成交人候选人或根据采购人授权确定成交人后要服从评审报告。</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对违反评审纪律的评委，将取消其评委资格，对评审工作造成严重损失者将予以通报批评乃至追究法律责任。</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二、</w:t>
      </w:r>
      <w:r>
        <w:rPr>
          <w:rFonts w:ascii="宋体" w:hAnsi="宋体" w:cs="宋体"/>
          <w:b/>
          <w:bCs/>
          <w:color w:val="auto"/>
          <w:kern w:val="0"/>
          <w:sz w:val="24"/>
          <w:szCs w:val="24"/>
          <w:highlight w:val="none"/>
        </w:rPr>
        <w:t>磋商程序</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2.1磋商程序按照磋商文件第二章第2节“竞争性磋商须知”第14 条“磋商程序以及评审标准和方法”的相关条款规定执行。</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无。</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2.3只有资格审查和实质性响应审查均合格且按规定提交最后报价的合格供应商才能参加综合评分。</w:t>
      </w: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ascii="宋体" w:hAnsi="宋体" w:cs="宋体"/>
          <w:b/>
          <w:bCs/>
          <w:color w:val="auto"/>
          <w:kern w:val="0"/>
          <w:sz w:val="24"/>
          <w:szCs w:val="24"/>
          <w:highlight w:val="none"/>
        </w:rPr>
        <w:t>三、综合评分的标准和方法</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3.1磋商小组将采用综合评分法对提交最后报价的合格供应商的响应文件和最后报价进行综合评分。如果磋商项目有多个合同包，则按相应合同包分别进行，具体综合评分的标准和方法如下：</w:t>
      </w:r>
    </w:p>
    <w:p>
      <w:pPr>
        <w:widowControl/>
        <w:spacing w:before="75" w:after="75" w:line="420" w:lineRule="atLeast"/>
        <w:ind w:firstLine="465"/>
        <w:jc w:val="left"/>
        <w:rPr>
          <w:rFonts w:ascii="宋体" w:hAnsi="宋体" w:cs="宋体"/>
          <w:color w:val="auto"/>
          <w:kern w:val="0"/>
          <w:sz w:val="24"/>
          <w:szCs w:val="24"/>
          <w:highlight w:val="none"/>
        </w:rPr>
      </w:pPr>
      <w:r>
        <w:rPr>
          <w:rFonts w:ascii="宋体" w:hAnsi="宋体" w:cs="宋体"/>
          <w:color w:val="auto"/>
          <w:kern w:val="0"/>
          <w:sz w:val="24"/>
          <w:szCs w:val="24"/>
          <w:highlight w:val="none"/>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widowControl/>
        <w:spacing w:before="75" w:after="75" w:line="420" w:lineRule="atLeast"/>
        <w:ind w:firstLine="770" w:firstLineChars="321"/>
        <w:jc w:val="left"/>
        <w:rPr>
          <w:rFonts w:ascii="宋体" w:hAnsi="宋体" w:cs="宋体"/>
          <w:color w:val="auto"/>
          <w:kern w:val="0"/>
          <w:sz w:val="24"/>
          <w:szCs w:val="24"/>
          <w:highlight w:val="none"/>
        </w:rPr>
      </w:pPr>
      <w:r>
        <w:rPr>
          <w:rFonts w:ascii="宋体" w:hAnsi="宋体" w:cs="宋体"/>
          <w:color w:val="auto"/>
          <w:kern w:val="0"/>
          <w:sz w:val="24"/>
          <w:szCs w:val="24"/>
          <w:highlight w:val="none"/>
        </w:rPr>
        <w:t>3.3.2具体评审标准和方法：</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（1）响应文件满足磋商文件全部实质性要求，且按照评审因素的量化指标综合评审总得分从高到低顺序推荐3名以上成交候选人供应商，其中评审总得分最高的供应商为第一成交候选供应商。</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r>
        <w:rPr>
          <w:rFonts w:ascii="宋体" w:hAnsi="宋体" w:cs="宋体"/>
          <w:color w:val="auto"/>
          <w:kern w:val="0"/>
          <w:sz w:val="24"/>
          <w:szCs w:val="24"/>
          <w:highlight w:val="none"/>
        </w:rPr>
        <w:t>。</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（3）各项评审因素的设置如下：</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包1 </w:t>
      </w:r>
    </w:p>
    <w:p>
      <w:pPr>
        <w:pStyle w:val="61"/>
        <w:jc w:val="left"/>
        <w:rPr>
          <w:b w:val="0"/>
          <w:bCs/>
          <w:color w:val="auto"/>
          <w:sz w:val="24"/>
          <w:szCs w:val="24"/>
          <w:highlight w:val="none"/>
        </w:rPr>
      </w:pPr>
      <w:r>
        <w:rPr>
          <w:rFonts w:hint="eastAsia"/>
          <w:b w:val="0"/>
          <w:bCs/>
          <w:color w:val="auto"/>
          <w:sz w:val="24"/>
          <w:szCs w:val="24"/>
          <w:highlight w:val="none"/>
          <w:lang w:val="en-US" w:eastAsia="zh-CN"/>
        </w:rPr>
        <w:t>①价格</w:t>
      </w:r>
      <w:r>
        <w:rPr>
          <w:b w:val="0"/>
          <w:bCs/>
          <w:color w:val="auto"/>
          <w:sz w:val="24"/>
          <w:szCs w:val="24"/>
          <w:highlight w:val="none"/>
        </w:rPr>
        <w:t>部分评分满分为</w:t>
      </w:r>
      <w:r>
        <w:rPr>
          <w:rFonts w:hint="eastAsia"/>
          <w:b w:val="0"/>
          <w:bCs/>
          <w:color w:val="auto"/>
          <w:sz w:val="24"/>
          <w:szCs w:val="24"/>
          <w:highlight w:val="none"/>
          <w:lang w:val="en-US" w:eastAsia="zh-CN"/>
        </w:rPr>
        <w:t>30</w:t>
      </w:r>
      <w:r>
        <w:rPr>
          <w:b w:val="0"/>
          <w:bCs/>
          <w:color w:val="auto"/>
          <w:sz w:val="24"/>
          <w:szCs w:val="24"/>
          <w:highlight w:val="none"/>
        </w:rPr>
        <w:t>.00分</w:t>
      </w:r>
    </w:p>
    <w:p>
      <w:pPr>
        <w:pStyle w:val="16"/>
        <w:rPr>
          <w:color w:val="auto"/>
          <w:highlight w:val="none"/>
        </w:rPr>
      </w:pPr>
    </w:p>
    <w:tbl>
      <w:tblPr>
        <w:tblStyle w:val="21"/>
        <w:tblW w:w="9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812"/>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blHeader/>
          <w:jc w:val="center"/>
        </w:trPr>
        <w:tc>
          <w:tcPr>
            <w:tcW w:w="1212" w:type="dxa"/>
            <w:noWrap/>
            <w:vAlign w:val="center"/>
          </w:tcPr>
          <w:p>
            <w:pPr>
              <w:snapToGrid w:val="0"/>
              <w:jc w:val="center"/>
              <w:rPr>
                <w:rFonts w:ascii="宋体" w:hAnsi="宋体"/>
                <w:b/>
                <w:color w:val="auto"/>
                <w:sz w:val="24"/>
                <w:highlight w:val="none"/>
              </w:rPr>
            </w:pPr>
            <w:bookmarkStart w:id="1" w:name="_Hlk76727168"/>
            <w:r>
              <w:rPr>
                <w:rFonts w:hint="eastAsia" w:ascii="宋体" w:hAnsi="宋体"/>
                <w:b/>
                <w:color w:val="auto"/>
                <w:sz w:val="24"/>
                <w:highlight w:val="none"/>
              </w:rPr>
              <w:t>评标项目</w:t>
            </w:r>
          </w:p>
        </w:tc>
        <w:tc>
          <w:tcPr>
            <w:tcW w:w="812" w:type="dxa"/>
            <w:noWrap/>
            <w:vAlign w:val="center"/>
          </w:tcPr>
          <w:p>
            <w:pPr>
              <w:snapToGrid w:val="0"/>
              <w:jc w:val="center"/>
              <w:rPr>
                <w:rFonts w:ascii="宋体" w:hAnsi="宋体"/>
                <w:b/>
                <w:color w:val="auto"/>
                <w:sz w:val="24"/>
                <w:highlight w:val="none"/>
              </w:rPr>
            </w:pPr>
            <w:r>
              <w:rPr>
                <w:rFonts w:hint="eastAsia" w:ascii="宋体" w:hAnsi="宋体"/>
                <w:b/>
                <w:color w:val="auto"/>
                <w:sz w:val="24"/>
                <w:highlight w:val="none"/>
              </w:rPr>
              <w:t>评标分值</w:t>
            </w:r>
          </w:p>
        </w:tc>
        <w:tc>
          <w:tcPr>
            <w:tcW w:w="7446" w:type="dxa"/>
            <w:noWrap/>
            <w:vAlign w:val="center"/>
          </w:tcPr>
          <w:p>
            <w:pPr>
              <w:snapToGrid w:val="0"/>
              <w:jc w:val="left"/>
              <w:rPr>
                <w:rFonts w:ascii="宋体" w:hAnsi="宋体"/>
                <w:b/>
                <w:color w:val="auto"/>
                <w:sz w:val="24"/>
                <w:highlight w:val="none"/>
              </w:rPr>
            </w:pPr>
            <w:r>
              <w:rPr>
                <w:rFonts w:hint="eastAsia" w:ascii="宋体" w:hAnsi="宋体" w:cs="宋体"/>
                <w:b/>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7" w:hRule="atLeast"/>
          <w:jc w:val="center"/>
        </w:trPr>
        <w:tc>
          <w:tcPr>
            <w:tcW w:w="1212" w:type="dxa"/>
            <w:noWrap/>
            <w:vAlign w:val="center"/>
          </w:tcPr>
          <w:p>
            <w:pPr>
              <w:pStyle w:val="60"/>
              <w:spacing w:line="400" w:lineRule="exact"/>
              <w:jc w:val="center"/>
              <w:rPr>
                <w:rFonts w:ascii="宋体" w:hAnsi="宋体" w:eastAsia="宋体"/>
                <w:color w:val="auto"/>
                <w:sz w:val="24"/>
                <w:highlight w:val="none"/>
              </w:rPr>
            </w:pPr>
            <w:r>
              <w:rPr>
                <w:rFonts w:hint="eastAsia" w:ascii="宋体" w:hAnsi="宋体" w:eastAsia="宋体"/>
                <w:bCs/>
                <w:color w:val="auto"/>
                <w:sz w:val="24"/>
                <w:highlight w:val="none"/>
              </w:rPr>
              <w:t>价格项</w:t>
            </w:r>
          </w:p>
        </w:tc>
        <w:tc>
          <w:tcPr>
            <w:tcW w:w="812" w:type="dxa"/>
            <w:noWrap/>
            <w:vAlign w:val="center"/>
          </w:tcPr>
          <w:p>
            <w:pPr>
              <w:pStyle w:val="60"/>
              <w:spacing w:line="40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30</w:t>
            </w:r>
          </w:p>
        </w:tc>
        <w:tc>
          <w:tcPr>
            <w:tcW w:w="7446" w:type="dxa"/>
            <w:noWrap/>
            <w:vAlign w:val="center"/>
          </w:tcPr>
          <w:p>
            <w:pPr>
              <w:pStyle w:val="60"/>
              <w:spacing w:line="40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r>
              <w:rPr>
                <w:rFonts w:hint="eastAsia" w:ascii="宋体" w:hAnsi="宋体" w:eastAsia="宋体" w:cs="宋体"/>
                <w:color w:val="auto"/>
                <w:kern w:val="0"/>
                <w:sz w:val="24"/>
                <w:highlight w:val="none"/>
                <w:lang w:eastAsia="zh-CN"/>
              </w:rPr>
              <w:t>。</w:t>
            </w:r>
          </w:p>
        </w:tc>
      </w:tr>
    </w:tbl>
    <w:p>
      <w:pPr>
        <w:pStyle w:val="61"/>
        <w:jc w:val="left"/>
        <w:rPr>
          <w:rFonts w:hint="eastAsia"/>
          <w:b w:val="0"/>
          <w:bCs/>
          <w:color w:val="auto"/>
          <w:sz w:val="24"/>
          <w:szCs w:val="24"/>
          <w:highlight w:val="none"/>
          <w:lang w:val="en-US" w:eastAsia="zh-CN"/>
        </w:rPr>
      </w:pPr>
    </w:p>
    <w:p>
      <w:pPr>
        <w:pStyle w:val="61"/>
        <w:jc w:val="both"/>
        <w:rPr>
          <w:color w:val="auto"/>
          <w:sz w:val="24"/>
          <w:szCs w:val="24"/>
          <w:highlight w:val="none"/>
        </w:rPr>
      </w:pPr>
      <w:r>
        <w:rPr>
          <w:color w:val="auto"/>
          <w:sz w:val="24"/>
          <w:szCs w:val="24"/>
          <w:highlight w:val="none"/>
        </w:rPr>
        <w:t>价格扣除的规则如下：</w:t>
      </w:r>
    </w:p>
    <w:p>
      <w:pPr>
        <w:pStyle w:val="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小型、微型企业产品</w:t>
      </w:r>
    </w:p>
    <w:tbl>
      <w:tblPr>
        <w:tblStyle w:val="21"/>
        <w:tblW w:w="9588"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0"/>
        <w:gridCol w:w="1295"/>
        <w:gridCol w:w="942"/>
        <w:gridCol w:w="64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940" w:type="dxa"/>
            <w:noWrap w:val="0"/>
            <w:vAlign w:val="top"/>
          </w:tcPr>
          <w:p>
            <w:pPr>
              <w:pStyle w:val="61"/>
              <w:jc w:val="left"/>
              <w:outlineLvl w:val="9"/>
              <w:rPr>
                <w:color w:val="auto"/>
                <w:sz w:val="24"/>
                <w:szCs w:val="24"/>
                <w:highlight w:val="none"/>
              </w:rPr>
            </w:pPr>
            <w:r>
              <w:rPr>
                <w:b/>
                <w:color w:val="auto"/>
                <w:sz w:val="24"/>
                <w:szCs w:val="24"/>
                <w:highlight w:val="none"/>
              </w:rPr>
              <w:t>项目</w:t>
            </w:r>
          </w:p>
        </w:tc>
        <w:tc>
          <w:tcPr>
            <w:tcW w:w="1295" w:type="dxa"/>
            <w:noWrap w:val="0"/>
            <w:vAlign w:val="top"/>
          </w:tcPr>
          <w:p>
            <w:pPr>
              <w:pStyle w:val="61"/>
              <w:jc w:val="left"/>
              <w:outlineLvl w:val="9"/>
              <w:rPr>
                <w:color w:val="auto"/>
                <w:sz w:val="24"/>
                <w:szCs w:val="24"/>
                <w:highlight w:val="none"/>
              </w:rPr>
            </w:pPr>
            <w:r>
              <w:rPr>
                <w:b/>
                <w:color w:val="auto"/>
                <w:sz w:val="24"/>
                <w:szCs w:val="24"/>
                <w:highlight w:val="none"/>
              </w:rPr>
              <w:t>适用对象</w:t>
            </w:r>
          </w:p>
        </w:tc>
        <w:tc>
          <w:tcPr>
            <w:tcW w:w="942" w:type="dxa"/>
            <w:noWrap w:val="0"/>
            <w:vAlign w:val="top"/>
          </w:tcPr>
          <w:p>
            <w:pPr>
              <w:pStyle w:val="61"/>
              <w:jc w:val="left"/>
              <w:outlineLvl w:val="9"/>
              <w:rPr>
                <w:color w:val="auto"/>
                <w:sz w:val="24"/>
                <w:szCs w:val="24"/>
                <w:highlight w:val="none"/>
              </w:rPr>
            </w:pPr>
            <w:r>
              <w:rPr>
                <w:b/>
                <w:color w:val="auto"/>
                <w:sz w:val="24"/>
                <w:szCs w:val="24"/>
                <w:highlight w:val="none"/>
              </w:rPr>
              <w:t>比例</w:t>
            </w:r>
          </w:p>
        </w:tc>
        <w:tc>
          <w:tcPr>
            <w:tcW w:w="6411" w:type="dxa"/>
            <w:noWrap w:val="0"/>
            <w:vAlign w:val="top"/>
          </w:tcPr>
          <w:p>
            <w:pPr>
              <w:pStyle w:val="61"/>
              <w:jc w:val="left"/>
              <w:outlineLvl w:val="9"/>
              <w:rPr>
                <w:color w:val="auto"/>
                <w:sz w:val="24"/>
                <w:szCs w:val="24"/>
                <w:highlight w:val="none"/>
              </w:rPr>
            </w:pPr>
            <w:r>
              <w:rPr>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940" w:type="dxa"/>
            <w:noWrap w:val="0"/>
            <w:vAlign w:val="top"/>
          </w:tcPr>
          <w:p>
            <w:pPr>
              <w:pStyle w:val="61"/>
              <w:jc w:val="left"/>
              <w:outlineLvl w:val="9"/>
              <w:rPr>
                <w:b w:val="0"/>
                <w:bCs/>
                <w:color w:val="auto"/>
                <w:sz w:val="24"/>
                <w:szCs w:val="24"/>
                <w:highlight w:val="none"/>
              </w:rPr>
            </w:pPr>
            <w:r>
              <w:rPr>
                <w:b w:val="0"/>
                <w:bCs/>
                <w:color w:val="auto"/>
                <w:sz w:val="24"/>
                <w:szCs w:val="24"/>
                <w:highlight w:val="none"/>
              </w:rPr>
              <w:t>小型、微型企业，监狱企业，残疾人福利性单位</w:t>
            </w:r>
          </w:p>
        </w:tc>
        <w:tc>
          <w:tcPr>
            <w:tcW w:w="1295" w:type="dxa"/>
            <w:noWrap w:val="0"/>
            <w:vAlign w:val="top"/>
          </w:tcPr>
          <w:p>
            <w:pPr>
              <w:pStyle w:val="61"/>
              <w:jc w:val="left"/>
              <w:outlineLvl w:val="9"/>
              <w:rPr>
                <w:b w:val="0"/>
                <w:bCs/>
                <w:color w:val="auto"/>
                <w:sz w:val="24"/>
                <w:szCs w:val="24"/>
                <w:highlight w:val="none"/>
              </w:rPr>
            </w:pPr>
            <w:r>
              <w:rPr>
                <w:rFonts w:hint="eastAsia"/>
                <w:b w:val="0"/>
                <w:bCs/>
                <w:color w:val="auto"/>
                <w:sz w:val="24"/>
                <w:szCs w:val="24"/>
                <w:highlight w:val="none"/>
                <w:lang w:val="en-US" w:eastAsia="zh-CN"/>
              </w:rPr>
              <w:t>供应商</w:t>
            </w:r>
            <w:r>
              <w:rPr>
                <w:b w:val="0"/>
                <w:bCs/>
                <w:color w:val="auto"/>
                <w:sz w:val="24"/>
                <w:szCs w:val="24"/>
                <w:highlight w:val="none"/>
              </w:rPr>
              <w:t>或者联合体均为小型、微型企业</w:t>
            </w:r>
          </w:p>
        </w:tc>
        <w:tc>
          <w:tcPr>
            <w:tcW w:w="942" w:type="dxa"/>
            <w:noWrap w:val="0"/>
            <w:vAlign w:val="top"/>
          </w:tcPr>
          <w:p>
            <w:pPr>
              <w:pStyle w:val="61"/>
              <w:jc w:val="right"/>
              <w:outlineLvl w:val="9"/>
              <w:rPr>
                <w:b w:val="0"/>
                <w:bCs/>
                <w:color w:val="auto"/>
                <w:sz w:val="24"/>
                <w:szCs w:val="24"/>
                <w:highlight w:val="none"/>
              </w:rPr>
            </w:pPr>
            <w:r>
              <w:rPr>
                <w:b w:val="0"/>
                <w:bCs/>
                <w:color w:val="auto"/>
                <w:sz w:val="24"/>
                <w:szCs w:val="24"/>
                <w:highlight w:val="none"/>
              </w:rPr>
              <w:t>15.00%</w:t>
            </w:r>
          </w:p>
        </w:tc>
        <w:tc>
          <w:tcPr>
            <w:tcW w:w="6411" w:type="dxa"/>
            <w:noWrap w:val="0"/>
            <w:vAlign w:val="top"/>
          </w:tcPr>
          <w:p>
            <w:pPr>
              <w:pStyle w:val="61"/>
              <w:jc w:val="left"/>
              <w:outlineLvl w:val="9"/>
              <w:rPr>
                <w:b w:val="0"/>
                <w:bCs/>
                <w:color w:val="auto"/>
                <w:sz w:val="24"/>
                <w:szCs w:val="24"/>
                <w:highlight w:val="none"/>
              </w:rPr>
            </w:pPr>
            <w:r>
              <w:rPr>
                <w:b w:val="0"/>
                <w:bCs/>
                <w:color w:val="auto"/>
                <w:sz w:val="24"/>
                <w:szCs w:val="24"/>
                <w:highlight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4、本</w:t>
            </w:r>
            <w:r>
              <w:rPr>
                <w:rFonts w:hint="eastAsia"/>
                <w:b w:val="0"/>
                <w:bCs/>
                <w:color w:val="auto"/>
                <w:sz w:val="24"/>
                <w:szCs w:val="24"/>
                <w:highlight w:val="none"/>
                <w:lang w:val="en-US" w:eastAsia="zh-CN"/>
              </w:rPr>
              <w:t>采购</w:t>
            </w:r>
            <w:r>
              <w:rPr>
                <w:b w:val="0"/>
                <w:bCs/>
                <w:color w:val="auto"/>
                <w:sz w:val="24"/>
                <w:szCs w:val="24"/>
                <w:highlight w:val="none"/>
              </w:rPr>
              <w:t>包为</w:t>
            </w:r>
            <w:r>
              <w:rPr>
                <w:rFonts w:hint="eastAsia"/>
                <w:b w:val="0"/>
                <w:bCs/>
                <w:color w:val="auto"/>
                <w:sz w:val="24"/>
                <w:szCs w:val="24"/>
                <w:highlight w:val="none"/>
                <w:lang w:val="en-US" w:eastAsia="zh-CN"/>
              </w:rPr>
              <w:t>服务</w:t>
            </w:r>
            <w:r>
              <w:rPr>
                <w:b w:val="0"/>
                <w:bCs/>
                <w:color w:val="auto"/>
                <w:sz w:val="24"/>
                <w:szCs w:val="24"/>
                <w:highlight w:val="none"/>
              </w:rPr>
              <w:t>类采购，采购标的对应的中小企业划分标准所属行业为“</w:t>
            </w:r>
            <w:r>
              <w:rPr>
                <w:rFonts w:hint="eastAsia" w:ascii="宋体" w:hAnsi="宋体" w:eastAsia="宋体" w:cs="宋体"/>
                <w:color w:val="auto"/>
                <w:kern w:val="0"/>
                <w:sz w:val="24"/>
                <w:szCs w:val="24"/>
                <w:highlight w:val="none"/>
                <w:lang w:val="en-US" w:eastAsia="zh-CN" w:bidi="ar-SA"/>
              </w:rPr>
              <w:t>租赁和商务服务业</w:t>
            </w:r>
            <w:r>
              <w:rPr>
                <w:b w:val="0"/>
                <w:bCs/>
                <w:color w:val="auto"/>
                <w:sz w:val="24"/>
                <w:szCs w:val="24"/>
                <w:highlight w:val="none"/>
              </w:rPr>
              <w:t>”。</w:t>
            </w:r>
          </w:p>
        </w:tc>
      </w:tr>
    </w:tbl>
    <w:p>
      <w:pPr>
        <w:pStyle w:val="61"/>
        <w:jc w:val="both"/>
        <w:rPr>
          <w:rFonts w:hint="eastAsia" w:ascii="宋体" w:hAnsi="宋体" w:eastAsia="宋体" w:cs="宋体"/>
          <w:color w:val="auto"/>
          <w:sz w:val="24"/>
          <w:szCs w:val="24"/>
          <w:highlight w:val="none"/>
        </w:rPr>
      </w:pPr>
    </w:p>
    <w:p>
      <w:pPr>
        <w:pStyle w:val="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21"/>
        <w:tblW w:w="953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35"/>
        <w:gridCol w:w="1035"/>
        <w:gridCol w:w="64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35" w:type="dxa"/>
            <w:noWrap w:val="0"/>
            <w:vAlign w:val="top"/>
          </w:tcPr>
          <w:p>
            <w:pPr>
              <w:pStyle w:val="61"/>
              <w:jc w:val="both"/>
              <w:rPr>
                <w:color w:val="auto"/>
                <w:sz w:val="24"/>
                <w:szCs w:val="24"/>
                <w:highlight w:val="none"/>
              </w:rPr>
            </w:pPr>
            <w:r>
              <w:rPr>
                <w:color w:val="auto"/>
                <w:sz w:val="24"/>
                <w:szCs w:val="24"/>
                <w:highlight w:val="none"/>
              </w:rPr>
              <w:t xml:space="preserve"> 项目</w:t>
            </w:r>
          </w:p>
        </w:tc>
        <w:tc>
          <w:tcPr>
            <w:tcW w:w="1035" w:type="dxa"/>
            <w:noWrap w:val="0"/>
            <w:vAlign w:val="top"/>
          </w:tcPr>
          <w:p>
            <w:pPr>
              <w:pStyle w:val="61"/>
              <w:jc w:val="both"/>
              <w:rPr>
                <w:color w:val="auto"/>
                <w:sz w:val="24"/>
                <w:szCs w:val="24"/>
                <w:highlight w:val="none"/>
              </w:rPr>
            </w:pPr>
            <w:r>
              <w:rPr>
                <w:color w:val="auto"/>
                <w:sz w:val="24"/>
                <w:szCs w:val="24"/>
                <w:highlight w:val="none"/>
              </w:rPr>
              <w:t xml:space="preserve"> 比例</w:t>
            </w:r>
          </w:p>
        </w:tc>
        <w:tc>
          <w:tcPr>
            <w:tcW w:w="6462" w:type="dxa"/>
            <w:noWrap w:val="0"/>
            <w:vAlign w:val="top"/>
          </w:tcPr>
          <w:p>
            <w:pPr>
              <w:pStyle w:val="61"/>
              <w:jc w:val="both"/>
              <w:rPr>
                <w:color w:val="auto"/>
                <w:sz w:val="24"/>
                <w:szCs w:val="24"/>
                <w:highlight w:val="none"/>
              </w:rPr>
            </w:pPr>
            <w:r>
              <w:rPr>
                <w:color w:val="auto"/>
                <w:sz w:val="24"/>
                <w:szCs w:val="24"/>
                <w:highlight w:val="none"/>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35" w:type="dxa"/>
            <w:noWrap w:val="0"/>
            <w:vAlign w:val="top"/>
          </w:tcPr>
          <w:p>
            <w:pPr>
              <w:pStyle w:val="61"/>
              <w:jc w:val="both"/>
              <w:rPr>
                <w:color w:val="auto"/>
                <w:sz w:val="24"/>
                <w:szCs w:val="24"/>
                <w:highlight w:val="none"/>
              </w:rPr>
            </w:pPr>
            <w:r>
              <w:rPr>
                <w:color w:val="auto"/>
                <w:sz w:val="24"/>
                <w:szCs w:val="24"/>
                <w:highlight w:val="none"/>
              </w:rPr>
              <w:t>节能、环境标志产品</w:t>
            </w:r>
          </w:p>
        </w:tc>
        <w:tc>
          <w:tcPr>
            <w:tcW w:w="1035" w:type="dxa"/>
            <w:noWrap w:val="0"/>
            <w:vAlign w:val="top"/>
          </w:tcPr>
          <w:p>
            <w:pPr>
              <w:pStyle w:val="61"/>
              <w:jc w:val="right"/>
              <w:rPr>
                <w:color w:val="auto"/>
                <w:sz w:val="24"/>
                <w:szCs w:val="24"/>
                <w:highlight w:val="none"/>
              </w:rPr>
            </w:pPr>
            <w:r>
              <w:rPr>
                <w:color w:val="auto"/>
                <w:sz w:val="24"/>
                <w:szCs w:val="24"/>
                <w:highlight w:val="none"/>
              </w:rPr>
              <w:t>10.00%</w:t>
            </w:r>
          </w:p>
        </w:tc>
        <w:tc>
          <w:tcPr>
            <w:tcW w:w="6462" w:type="dxa"/>
            <w:noWrap w:val="0"/>
            <w:vAlign w:val="top"/>
          </w:tcPr>
          <w:p>
            <w:pPr>
              <w:pStyle w:val="61"/>
              <w:jc w:val="both"/>
              <w:rPr>
                <w:color w:val="auto"/>
                <w:sz w:val="24"/>
                <w:szCs w:val="24"/>
                <w:highlight w:val="none"/>
              </w:rPr>
            </w:pPr>
            <w:r>
              <w:rPr>
                <w:color w:val="auto"/>
                <w:sz w:val="24"/>
                <w:szCs w:val="24"/>
                <w:highlight w:val="none"/>
              </w:rPr>
              <w:t>1、同一采购包内，对节能产品、环境标志产品政府采购品目清单范围内，实施优先采购的产品，给予产品价格报价10%-20%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双屏台式工作站、显示器、空调为强制采购节能产品不享受价格扣除。</w:t>
            </w:r>
          </w:p>
        </w:tc>
      </w:tr>
    </w:tbl>
    <w:p>
      <w:pPr>
        <w:pStyle w:val="61"/>
        <w:jc w:val="left"/>
        <w:rPr>
          <w:rFonts w:hint="eastAsia"/>
          <w:b w:val="0"/>
          <w:bCs/>
          <w:color w:val="auto"/>
          <w:sz w:val="24"/>
          <w:szCs w:val="24"/>
          <w:highlight w:val="none"/>
          <w:lang w:val="en-US" w:eastAsia="zh-CN"/>
        </w:rPr>
      </w:pPr>
    </w:p>
    <w:p>
      <w:pPr>
        <w:pStyle w:val="61"/>
        <w:jc w:val="left"/>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其他：无</w:t>
      </w:r>
    </w:p>
    <w:p>
      <w:pPr>
        <w:pStyle w:val="61"/>
        <w:jc w:val="left"/>
        <w:rPr>
          <w:rFonts w:hint="eastAsia"/>
          <w:b w:val="0"/>
          <w:bCs/>
          <w:color w:val="auto"/>
          <w:sz w:val="24"/>
          <w:szCs w:val="24"/>
          <w:highlight w:val="none"/>
          <w:lang w:val="en-US" w:eastAsia="zh-CN"/>
        </w:rPr>
      </w:pPr>
    </w:p>
    <w:p>
      <w:pPr>
        <w:pStyle w:val="61"/>
        <w:jc w:val="left"/>
        <w:rPr>
          <w:b w:val="0"/>
          <w:bCs/>
          <w:color w:val="auto"/>
          <w:sz w:val="24"/>
          <w:szCs w:val="24"/>
          <w:highlight w:val="none"/>
        </w:rPr>
      </w:pPr>
      <w:r>
        <w:rPr>
          <w:rFonts w:hint="eastAsia"/>
          <w:b w:val="0"/>
          <w:bCs/>
          <w:color w:val="auto"/>
          <w:sz w:val="24"/>
          <w:szCs w:val="24"/>
          <w:highlight w:val="none"/>
          <w:lang w:val="en-US" w:eastAsia="zh-CN"/>
        </w:rPr>
        <w:t>②</w:t>
      </w:r>
      <w:r>
        <w:rPr>
          <w:b w:val="0"/>
          <w:bCs/>
          <w:color w:val="auto"/>
          <w:sz w:val="24"/>
          <w:szCs w:val="24"/>
          <w:highlight w:val="none"/>
        </w:rPr>
        <w:t>技术部分评分满分为</w:t>
      </w:r>
      <w:r>
        <w:rPr>
          <w:rFonts w:hint="eastAsia"/>
          <w:b w:val="0"/>
          <w:bCs/>
          <w:color w:val="auto"/>
          <w:sz w:val="24"/>
          <w:szCs w:val="24"/>
          <w:highlight w:val="none"/>
          <w:lang w:val="en-US" w:eastAsia="zh-CN"/>
        </w:rPr>
        <w:t>55</w:t>
      </w:r>
      <w:r>
        <w:rPr>
          <w:b w:val="0"/>
          <w:bCs/>
          <w:color w:val="auto"/>
          <w:sz w:val="24"/>
          <w:szCs w:val="24"/>
          <w:highlight w:val="none"/>
        </w:rPr>
        <w:t>.00分</w:t>
      </w:r>
    </w:p>
    <w:p>
      <w:pPr>
        <w:pStyle w:val="61"/>
        <w:jc w:val="left"/>
        <w:rPr>
          <w:b w:val="0"/>
          <w:bCs/>
          <w:color w:val="auto"/>
          <w:sz w:val="24"/>
          <w:szCs w:val="24"/>
          <w:highlight w:val="none"/>
        </w:rPr>
      </w:pPr>
    </w:p>
    <w:tbl>
      <w:tblPr>
        <w:tblStyle w:val="21"/>
        <w:tblW w:w="9517"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93"/>
        <w:gridCol w:w="882"/>
        <w:gridCol w:w="74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193" w:type="dxa"/>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w:t>
            </w:r>
          </w:p>
        </w:tc>
        <w:tc>
          <w:tcPr>
            <w:tcW w:w="882" w:type="dxa"/>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分值</w:t>
            </w:r>
          </w:p>
        </w:tc>
        <w:tc>
          <w:tcPr>
            <w:tcW w:w="7442" w:type="dxa"/>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193"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1、产品技术性能和功能</w:t>
            </w:r>
          </w:p>
        </w:tc>
        <w:tc>
          <w:tcPr>
            <w:tcW w:w="882" w:type="dxa"/>
            <w:vAlign w:val="top"/>
          </w:tcPr>
          <w:p>
            <w:pPr>
              <w:pStyle w:val="61"/>
              <w:jc w:val="righ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44</w:t>
            </w:r>
            <w:r>
              <w:rPr>
                <w:rFonts w:hint="eastAsia" w:asciiTheme="minorEastAsia" w:hAnsiTheme="minorEastAsia" w:eastAsiaTheme="minorEastAsia" w:cstheme="minorEastAsia"/>
                <w:b w:val="0"/>
                <w:bCs/>
                <w:color w:val="auto"/>
                <w:sz w:val="24"/>
                <w:szCs w:val="24"/>
                <w:highlight w:val="none"/>
              </w:rPr>
              <w:t>.00</w:t>
            </w:r>
          </w:p>
        </w:tc>
        <w:tc>
          <w:tcPr>
            <w:tcW w:w="7442"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1、产品技术性能和功能：根据各投标人对招标文件第三章二、技术要求各项技术要求的逐项应答情况由评委进行评议并评分，完全满足招标文件要求的得</w:t>
            </w:r>
            <w:r>
              <w:rPr>
                <w:rFonts w:hint="eastAsia" w:asciiTheme="minorEastAsia" w:hAnsiTheme="minorEastAsia" w:eastAsiaTheme="minorEastAsia" w:cstheme="minorEastAsia"/>
                <w:b w:val="0"/>
                <w:bCs/>
                <w:color w:val="auto"/>
                <w:sz w:val="24"/>
                <w:szCs w:val="24"/>
                <w:highlight w:val="none"/>
                <w:lang w:val="en-US" w:eastAsia="zh-CN"/>
              </w:rPr>
              <w:t>44</w:t>
            </w:r>
            <w:r>
              <w:rPr>
                <w:rFonts w:hint="eastAsia" w:asciiTheme="minorEastAsia" w:hAnsiTheme="minorEastAsia" w:eastAsiaTheme="minorEastAsia" w:cstheme="minorEastAsia"/>
                <w:b w:val="0"/>
                <w:bCs/>
                <w:color w:val="auto"/>
                <w:sz w:val="24"/>
                <w:szCs w:val="24"/>
                <w:highlight w:val="none"/>
              </w:rPr>
              <w:t>分，技术参数（以序号为准，共</w:t>
            </w:r>
            <w:r>
              <w:rPr>
                <w:rFonts w:hint="eastAsia" w:asciiTheme="minorEastAsia" w:hAnsiTheme="minorEastAsia" w:eastAsiaTheme="minorEastAsia" w:cstheme="minorEastAsia"/>
                <w:b w:val="0"/>
                <w:bCs/>
                <w:color w:val="auto"/>
                <w:sz w:val="24"/>
                <w:szCs w:val="24"/>
                <w:highlight w:val="none"/>
                <w:lang w:val="en-US" w:eastAsia="zh-CN"/>
              </w:rPr>
              <w:t>22</w:t>
            </w:r>
            <w:r>
              <w:rPr>
                <w:rFonts w:hint="eastAsia" w:asciiTheme="minorEastAsia" w:hAnsiTheme="minorEastAsia" w:eastAsiaTheme="minorEastAsia" w:cstheme="minorEastAsia"/>
                <w:b w:val="0"/>
                <w:bCs/>
                <w:color w:val="auto"/>
                <w:sz w:val="24"/>
                <w:szCs w:val="24"/>
                <w:highlight w:val="none"/>
              </w:rPr>
              <w:t>项）</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每负偏离一项扣</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193"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2、项目理解与熟悉程度</w:t>
            </w:r>
          </w:p>
        </w:tc>
        <w:tc>
          <w:tcPr>
            <w:tcW w:w="882" w:type="dxa"/>
            <w:vAlign w:val="top"/>
          </w:tcPr>
          <w:p>
            <w:pPr>
              <w:pStyle w:val="61"/>
              <w:jc w:val="righ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7442"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深刻理解布展主题与内容，并能对布展大纲的内容进行补充、对主题进行深入主题演绎，对展示故事逻辑进行创新与提升，提供相关方案，评委根据以下标准进行评分： </w:t>
            </w:r>
          </w:p>
          <w:p>
            <w:pPr>
              <w:pStyle w:val="61"/>
              <w:numPr>
                <w:ilvl w:val="0"/>
                <w:numId w:val="3"/>
              </w:numPr>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详实全面、可操作性强、针对性强的，得3分；   </w:t>
            </w:r>
          </w:p>
          <w:p>
            <w:pPr>
              <w:pStyle w:val="61"/>
              <w:numPr>
                <w:ilvl w:val="0"/>
                <w:numId w:val="3"/>
              </w:numPr>
              <w:ind w:left="0" w:leftChars="0" w:firstLine="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较为详细完整、较有针对性的，得2分；   </w:t>
            </w:r>
          </w:p>
          <w:p>
            <w:pPr>
              <w:pStyle w:val="61"/>
              <w:numPr>
                <w:ilvl w:val="0"/>
                <w:numId w:val="3"/>
              </w:numPr>
              <w:ind w:left="0" w:leftChars="0" w:firstLine="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科学合理可行性有待提升完善的，得 1分；   </w:t>
            </w:r>
          </w:p>
          <w:p>
            <w:pPr>
              <w:pStyle w:val="61"/>
              <w:numPr>
                <w:ilvl w:val="0"/>
                <w:numId w:val="0"/>
              </w:numPr>
              <w:ind w:left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4.差或未提供不得分。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193"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3、设计方案及总体平面布局</w:t>
            </w:r>
          </w:p>
        </w:tc>
        <w:tc>
          <w:tcPr>
            <w:tcW w:w="882" w:type="dxa"/>
            <w:vAlign w:val="top"/>
          </w:tcPr>
          <w:p>
            <w:pPr>
              <w:pStyle w:val="61"/>
              <w:jc w:val="righ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.00</w:t>
            </w:r>
          </w:p>
        </w:tc>
        <w:tc>
          <w:tcPr>
            <w:tcW w:w="7442"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总体设计方案、主要设计构思准确表达展示主题和思想内容，立意准确，富有创意，重点、亮点突出，感染力强。总体平面布局，合理，符合现场需求，提供相关方案</w:t>
            </w:r>
            <w:r>
              <w:rPr>
                <w:rFonts w:hint="eastAsia" w:asciiTheme="minorEastAsia" w:hAnsiTheme="minorEastAsia" w:eastAsiaTheme="minorEastAsia" w:cstheme="minorEastAsia"/>
                <w:b w:val="0"/>
                <w:bCs/>
                <w:color w:val="auto"/>
                <w:sz w:val="24"/>
                <w:szCs w:val="24"/>
                <w:highlight w:val="none"/>
                <w:lang w:eastAsia="zh-CN"/>
              </w:rPr>
              <w:t>及</w:t>
            </w:r>
            <w:r>
              <w:rPr>
                <w:rFonts w:hint="eastAsia" w:asciiTheme="minorEastAsia" w:hAnsiTheme="minorEastAsia" w:eastAsiaTheme="minorEastAsia" w:cstheme="minorEastAsia"/>
                <w:b w:val="0"/>
                <w:bCs/>
                <w:color w:val="auto"/>
                <w:sz w:val="24"/>
                <w:szCs w:val="24"/>
                <w:highlight w:val="none"/>
              </w:rPr>
              <w:t xml:space="preserve">总体平面布局图，评委根据以下标准进行评分： </w:t>
            </w:r>
          </w:p>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1.详实全面、科学合理、可操作性强、针对性强的，得</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 xml:space="preserve">分；   </w:t>
            </w:r>
          </w:p>
          <w:p>
            <w:pPr>
              <w:pStyle w:val="61"/>
              <w:numPr>
                <w:ilvl w:val="0"/>
                <w:numId w:val="4"/>
              </w:numPr>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较为详细完整、较有针对性的，得2分；   </w:t>
            </w:r>
          </w:p>
          <w:p>
            <w:pPr>
              <w:pStyle w:val="61"/>
              <w:numPr>
                <w:ilvl w:val="0"/>
                <w:numId w:val="4"/>
              </w:numPr>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科学合理可行性有待提升完善的，得 1分；   </w:t>
            </w:r>
          </w:p>
          <w:p>
            <w:pPr>
              <w:pStyle w:val="61"/>
              <w:numPr>
                <w:ilvl w:val="0"/>
                <w:numId w:val="0"/>
              </w:numPr>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4.差或未提供不得分。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193"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4、毕业展期服务</w:t>
            </w:r>
          </w:p>
        </w:tc>
        <w:tc>
          <w:tcPr>
            <w:tcW w:w="882" w:type="dxa"/>
            <w:vAlign w:val="top"/>
          </w:tcPr>
          <w:p>
            <w:pPr>
              <w:pStyle w:val="61"/>
              <w:jc w:val="righ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.00</w:t>
            </w:r>
          </w:p>
        </w:tc>
        <w:tc>
          <w:tcPr>
            <w:tcW w:w="7442"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毕业展期服务期满</w:t>
            </w:r>
            <w:r>
              <w:rPr>
                <w:rFonts w:hint="eastAsia" w:asciiTheme="minorEastAsia" w:hAnsiTheme="minorEastAsia" w:eastAsiaTheme="minorEastAsia" w:cstheme="minorEastAsia"/>
                <w:b w:val="0"/>
                <w:bCs/>
                <w:color w:val="auto"/>
                <w:sz w:val="24"/>
                <w:szCs w:val="24"/>
                <w:highlight w:val="none"/>
                <w:lang w:val="en-US" w:eastAsia="zh-CN"/>
              </w:rPr>
              <w:t>足磋商</w:t>
            </w:r>
            <w:r>
              <w:rPr>
                <w:rFonts w:hint="eastAsia" w:asciiTheme="minorEastAsia" w:hAnsiTheme="minorEastAsia" w:eastAsiaTheme="minorEastAsia" w:cstheme="minorEastAsia"/>
                <w:b w:val="0"/>
                <w:bCs/>
                <w:color w:val="auto"/>
                <w:sz w:val="24"/>
                <w:szCs w:val="24"/>
                <w:highlight w:val="none"/>
              </w:rPr>
              <w:t xml:space="preserve">文件要求的要求，服务期进度规划合理，有服务期进展表，提供相关方案及服务期展表，评委根据以下标准进行评分： </w:t>
            </w:r>
          </w:p>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1.详实全面、科学合理、可操作性强、针对性强的，得</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 xml:space="preserve">分；   </w:t>
            </w:r>
          </w:p>
          <w:p>
            <w:pPr>
              <w:pStyle w:val="61"/>
              <w:numPr>
                <w:ilvl w:val="0"/>
                <w:numId w:val="5"/>
              </w:numPr>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较为详细完整、较有针对性的，得2分；  </w:t>
            </w:r>
          </w:p>
          <w:p>
            <w:pPr>
              <w:pStyle w:val="61"/>
              <w:numPr>
                <w:ilvl w:val="0"/>
                <w:numId w:val="5"/>
              </w:numPr>
              <w:ind w:left="0" w:leftChars="0" w:firstLine="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科学合理可行性有待提升完善的，得 1分；   </w:t>
            </w:r>
          </w:p>
          <w:p>
            <w:pPr>
              <w:pStyle w:val="61"/>
              <w:numPr>
                <w:ilvl w:val="0"/>
                <w:numId w:val="0"/>
              </w:numPr>
              <w:ind w:left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4.差或未提供不得分。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193"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5、服务质量保证和承诺</w:t>
            </w:r>
          </w:p>
        </w:tc>
        <w:tc>
          <w:tcPr>
            <w:tcW w:w="882" w:type="dxa"/>
            <w:vAlign w:val="top"/>
          </w:tcPr>
          <w:p>
            <w:pPr>
              <w:pStyle w:val="61"/>
              <w:jc w:val="righ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.00</w:t>
            </w:r>
          </w:p>
        </w:tc>
        <w:tc>
          <w:tcPr>
            <w:tcW w:w="7442"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根据各投标人的服务承诺以及是否能够承诺保证有足够的资源保证按时按质按量完成本项目业务，提供相关方案及服务承诺，评委根据以下标准进行评分： </w:t>
            </w:r>
          </w:p>
          <w:p>
            <w:pPr>
              <w:pStyle w:val="61"/>
              <w:numPr>
                <w:ilvl w:val="0"/>
                <w:numId w:val="6"/>
              </w:numPr>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详实全面、科学合理、可操作性强、针对性强的，得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 xml:space="preserve">分；   </w:t>
            </w:r>
          </w:p>
          <w:p>
            <w:pPr>
              <w:pStyle w:val="61"/>
              <w:numPr>
                <w:ilvl w:val="0"/>
                <w:numId w:val="6"/>
              </w:numPr>
              <w:ind w:left="0" w:leftChars="0" w:firstLine="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较为详细完整、较有针对性的，得</w:t>
            </w:r>
            <w:r>
              <w:rPr>
                <w:rFonts w:hint="eastAsia" w:asciiTheme="minorEastAsia" w:hAnsiTheme="minorEastAsia" w:eastAsiaTheme="minorEastAsia" w:cstheme="minorEastAsia"/>
                <w:b w:val="0"/>
                <w:bCs/>
                <w:color w:val="auto"/>
                <w:sz w:val="24"/>
                <w:szCs w:val="24"/>
                <w:highlight w:val="none"/>
                <w:lang w:val="en-US" w:eastAsia="zh-CN"/>
              </w:rPr>
              <w:t>1.5</w:t>
            </w:r>
            <w:r>
              <w:rPr>
                <w:rFonts w:hint="eastAsia" w:asciiTheme="minorEastAsia" w:hAnsiTheme="minorEastAsia" w:eastAsiaTheme="minorEastAsia" w:cstheme="minorEastAsia"/>
                <w:b w:val="0"/>
                <w:bCs/>
                <w:color w:val="auto"/>
                <w:sz w:val="24"/>
                <w:szCs w:val="24"/>
                <w:highlight w:val="none"/>
              </w:rPr>
              <w:t xml:space="preserve">分；   </w:t>
            </w:r>
          </w:p>
          <w:p>
            <w:pPr>
              <w:pStyle w:val="61"/>
              <w:numPr>
                <w:ilvl w:val="0"/>
                <w:numId w:val="6"/>
              </w:numPr>
              <w:ind w:left="0" w:leftChars="0" w:firstLine="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科学合理可行性有待提升完善的，得 1分；   </w:t>
            </w:r>
          </w:p>
          <w:p>
            <w:pPr>
              <w:pStyle w:val="61"/>
              <w:numPr>
                <w:ilvl w:val="0"/>
                <w:numId w:val="0"/>
              </w:numPr>
              <w:ind w:leftChars="0"/>
              <w:jc w:val="left"/>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sz w:val="24"/>
                <w:szCs w:val="24"/>
                <w:highlight w:val="none"/>
              </w:rPr>
              <w:t>4.差或未提供不得分。</w:t>
            </w:r>
          </w:p>
        </w:tc>
      </w:tr>
    </w:tbl>
    <w:p>
      <w:pPr>
        <w:pStyle w:val="61"/>
        <w:jc w:val="left"/>
        <w:rPr>
          <w:b w:val="0"/>
          <w:bCs/>
          <w:color w:val="auto"/>
          <w:sz w:val="24"/>
          <w:szCs w:val="24"/>
          <w:highlight w:val="none"/>
        </w:rPr>
      </w:pPr>
    </w:p>
    <w:p>
      <w:pPr>
        <w:pStyle w:val="61"/>
        <w:jc w:val="left"/>
        <w:rPr>
          <w:b w:val="0"/>
          <w:bCs/>
          <w:color w:val="auto"/>
          <w:sz w:val="24"/>
          <w:szCs w:val="24"/>
          <w:highlight w:val="none"/>
        </w:rPr>
      </w:pPr>
      <w:r>
        <w:rPr>
          <w:rFonts w:hint="eastAsia"/>
          <w:b w:val="0"/>
          <w:bCs/>
          <w:color w:val="auto"/>
          <w:sz w:val="24"/>
          <w:szCs w:val="24"/>
          <w:highlight w:val="none"/>
          <w:lang w:val="en-US" w:eastAsia="zh-CN"/>
        </w:rPr>
        <w:t>③</w:t>
      </w:r>
      <w:r>
        <w:rPr>
          <w:b w:val="0"/>
          <w:bCs/>
          <w:color w:val="auto"/>
          <w:sz w:val="24"/>
          <w:szCs w:val="24"/>
          <w:highlight w:val="none"/>
        </w:rPr>
        <w:t>商务部分评分满分为</w:t>
      </w:r>
      <w:r>
        <w:rPr>
          <w:rFonts w:hint="eastAsia"/>
          <w:b w:val="0"/>
          <w:bCs/>
          <w:color w:val="auto"/>
          <w:sz w:val="24"/>
          <w:szCs w:val="24"/>
          <w:highlight w:val="none"/>
          <w:lang w:val="en-US" w:eastAsia="zh-CN"/>
        </w:rPr>
        <w:t>15</w:t>
      </w:r>
      <w:r>
        <w:rPr>
          <w:b w:val="0"/>
          <w:bCs/>
          <w:color w:val="auto"/>
          <w:sz w:val="24"/>
          <w:szCs w:val="24"/>
          <w:highlight w:val="none"/>
        </w:rPr>
        <w:t>.00分</w:t>
      </w:r>
    </w:p>
    <w:p>
      <w:pPr>
        <w:pStyle w:val="61"/>
        <w:jc w:val="left"/>
        <w:rPr>
          <w:b w:val="0"/>
          <w:bCs/>
          <w:color w:val="auto"/>
          <w:sz w:val="24"/>
          <w:szCs w:val="24"/>
          <w:highlight w:val="none"/>
        </w:rPr>
      </w:pPr>
    </w:p>
    <w:tbl>
      <w:tblPr>
        <w:tblStyle w:val="21"/>
        <w:tblW w:w="9622"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5"/>
        <w:gridCol w:w="915"/>
        <w:gridCol w:w="74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235" w:type="dxa"/>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w:t>
            </w:r>
          </w:p>
        </w:tc>
        <w:tc>
          <w:tcPr>
            <w:tcW w:w="915" w:type="dxa"/>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分值</w:t>
            </w:r>
          </w:p>
        </w:tc>
        <w:tc>
          <w:tcPr>
            <w:tcW w:w="7472" w:type="dxa"/>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235"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1、综合实力及经营情况</w:t>
            </w:r>
          </w:p>
        </w:tc>
        <w:tc>
          <w:tcPr>
            <w:tcW w:w="915" w:type="dxa"/>
            <w:vAlign w:val="top"/>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.00</w:t>
            </w:r>
          </w:p>
        </w:tc>
        <w:tc>
          <w:tcPr>
            <w:tcW w:w="7472"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根据各投标人提供单位信誉、技术状况、履约能力等方案；评委根据以下标准进行评分： </w:t>
            </w:r>
          </w:p>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1.详实全面、科学合理、可操作性强、针对性强的，得</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 xml:space="preserve">分；   </w:t>
            </w:r>
          </w:p>
          <w:p>
            <w:pPr>
              <w:pStyle w:val="61"/>
              <w:numPr>
                <w:ilvl w:val="0"/>
                <w:numId w:val="7"/>
              </w:numPr>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较为详细完整、较有针对性的，得2分；  </w:t>
            </w:r>
          </w:p>
          <w:p>
            <w:pPr>
              <w:pStyle w:val="61"/>
              <w:numPr>
                <w:ilvl w:val="0"/>
                <w:numId w:val="7"/>
              </w:numPr>
              <w:ind w:left="0" w:leftChars="0" w:firstLine="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科学合理可行性有待提升完善的，得 1分；   </w:t>
            </w:r>
          </w:p>
          <w:p>
            <w:pPr>
              <w:pStyle w:val="61"/>
              <w:numPr>
                <w:ilvl w:val="0"/>
                <w:numId w:val="0"/>
              </w:numPr>
              <w:ind w:left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4.差或未提供不得分。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235"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、拟投入专业人员情况</w:t>
            </w:r>
          </w:p>
        </w:tc>
        <w:tc>
          <w:tcPr>
            <w:tcW w:w="915" w:type="dxa"/>
            <w:vAlign w:val="top"/>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.00</w:t>
            </w:r>
          </w:p>
        </w:tc>
        <w:tc>
          <w:tcPr>
            <w:tcW w:w="7472"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架构健全、人员齐备、专业配套、具备相关真实有效的岗位证书。投标人拥有一批专</w:t>
            </w:r>
            <w:r>
              <w:rPr>
                <w:rFonts w:hint="eastAsia" w:asciiTheme="minorEastAsia" w:hAnsiTheme="minorEastAsia" w:eastAsiaTheme="minorEastAsia" w:cstheme="minorEastAsia"/>
                <w:b w:val="0"/>
                <w:bCs/>
                <w:color w:val="auto"/>
                <w:sz w:val="24"/>
                <w:szCs w:val="24"/>
                <w:highlight w:val="none"/>
                <w:lang w:val="en-US" w:eastAsia="zh-CN"/>
              </w:rPr>
              <w:t>业</w:t>
            </w:r>
            <w:r>
              <w:rPr>
                <w:rFonts w:hint="eastAsia" w:asciiTheme="minorEastAsia" w:hAnsiTheme="minorEastAsia" w:eastAsiaTheme="minorEastAsia" w:cstheme="minorEastAsia"/>
                <w:b w:val="0"/>
                <w:bCs/>
                <w:color w:val="auto"/>
                <w:sz w:val="24"/>
                <w:szCs w:val="24"/>
                <w:highlight w:val="none"/>
              </w:rPr>
              <w:t xml:space="preserve">技术团队，具有本科及以上展示空间设计、视觉传达、艺术设计、工艺美术等专业技术人员，并具有合格的分工安排和作用能力。提供相关方案及证书等证明材料，评委根据以下标准进行评分： </w:t>
            </w:r>
          </w:p>
          <w:p>
            <w:pPr>
              <w:pStyle w:val="61"/>
              <w:numPr>
                <w:ilvl w:val="0"/>
                <w:numId w:val="8"/>
              </w:numPr>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详实全面、科学合理、可操作性强、针对性强的，得3分；   </w:t>
            </w:r>
          </w:p>
          <w:p>
            <w:pPr>
              <w:pStyle w:val="61"/>
              <w:numPr>
                <w:ilvl w:val="0"/>
                <w:numId w:val="8"/>
              </w:numPr>
              <w:ind w:left="0" w:leftChars="0" w:firstLine="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较为详细完整、较有针对性的，得2分；   </w:t>
            </w:r>
          </w:p>
          <w:p>
            <w:pPr>
              <w:pStyle w:val="61"/>
              <w:numPr>
                <w:ilvl w:val="0"/>
                <w:numId w:val="8"/>
              </w:numPr>
              <w:ind w:left="0" w:leftChars="0" w:firstLine="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科学合理可行性有待提升完善的，得 1分；   </w:t>
            </w:r>
          </w:p>
          <w:p>
            <w:pPr>
              <w:pStyle w:val="61"/>
              <w:numPr>
                <w:ilvl w:val="0"/>
                <w:numId w:val="0"/>
              </w:numPr>
              <w:ind w:leftChars="0"/>
              <w:jc w:val="left"/>
              <w:rPr>
                <w:rFonts w:hint="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4.差或未提供不得分。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235"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、售后服方案</w:t>
            </w:r>
          </w:p>
        </w:tc>
        <w:tc>
          <w:tcPr>
            <w:tcW w:w="915" w:type="dxa"/>
            <w:vAlign w:val="top"/>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.00</w:t>
            </w:r>
          </w:p>
        </w:tc>
        <w:tc>
          <w:tcPr>
            <w:tcW w:w="7472"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根据投标人针对本项目的售后服务方案，评委根据以下标准进行评分： </w:t>
            </w:r>
          </w:p>
          <w:p>
            <w:pPr>
              <w:pStyle w:val="61"/>
              <w:numPr>
                <w:ilvl w:val="0"/>
                <w:numId w:val="9"/>
              </w:numPr>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详实全面、科学合理、可操作性强、针对性强的，得3分；   </w:t>
            </w:r>
          </w:p>
          <w:p>
            <w:pPr>
              <w:pStyle w:val="61"/>
              <w:numPr>
                <w:ilvl w:val="0"/>
                <w:numId w:val="9"/>
              </w:numPr>
              <w:ind w:left="0" w:leftChars="0" w:firstLine="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较为详细完整、较有针对性的，得2分；   </w:t>
            </w:r>
          </w:p>
          <w:p>
            <w:pPr>
              <w:pStyle w:val="61"/>
              <w:numPr>
                <w:ilvl w:val="0"/>
                <w:numId w:val="9"/>
              </w:numPr>
              <w:ind w:left="0" w:leftChars="0" w:firstLine="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科学合理可行性有待提升完善的，得 1分；   </w:t>
            </w:r>
          </w:p>
          <w:p>
            <w:pPr>
              <w:pStyle w:val="61"/>
              <w:numPr>
                <w:ilvl w:val="0"/>
                <w:numId w:val="0"/>
              </w:numPr>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4.差或未提供不得分。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235"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、服务便利性</w:t>
            </w:r>
            <w:r>
              <w:rPr>
                <w:rFonts w:hint="eastAsia" w:asciiTheme="minorEastAsia" w:hAnsiTheme="minorEastAsia" w:eastAsiaTheme="minorEastAsia" w:cstheme="minorEastAsia"/>
                <w:b w:val="0"/>
                <w:bCs/>
                <w:color w:val="auto"/>
                <w:sz w:val="24"/>
                <w:szCs w:val="24"/>
                <w:highlight w:val="none"/>
              </w:rPr>
              <w:tab/>
            </w:r>
          </w:p>
        </w:tc>
        <w:tc>
          <w:tcPr>
            <w:tcW w:w="915" w:type="dxa"/>
            <w:vAlign w:val="top"/>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.00</w:t>
            </w:r>
          </w:p>
        </w:tc>
        <w:tc>
          <w:tcPr>
            <w:tcW w:w="7472"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color w:val="auto"/>
                <w:sz w:val="24"/>
                <w:szCs w:val="24"/>
                <w:highlight w:val="none"/>
              </w:rPr>
              <w:t>投标人承诺在接到采购人故障通知后，到达现场时间不超过2个小时的得</w:t>
            </w:r>
            <w:r>
              <w:rPr>
                <w:rFonts w:hint="eastAsia"/>
                <w:color w:val="auto"/>
                <w:sz w:val="24"/>
                <w:szCs w:val="24"/>
                <w:highlight w:val="none"/>
                <w:lang w:val="en-US" w:eastAsia="zh-CN"/>
              </w:rPr>
              <w:t>3</w:t>
            </w:r>
            <w:r>
              <w:rPr>
                <w:color w:val="auto"/>
                <w:sz w:val="24"/>
                <w:szCs w:val="24"/>
                <w:highlight w:val="none"/>
              </w:rPr>
              <w:t>分，不超过4小时的得</w:t>
            </w:r>
            <w:r>
              <w:rPr>
                <w:rFonts w:hint="eastAsia"/>
                <w:color w:val="auto"/>
                <w:sz w:val="24"/>
                <w:szCs w:val="24"/>
                <w:highlight w:val="none"/>
                <w:lang w:val="en-US" w:eastAsia="zh-CN"/>
              </w:rPr>
              <w:t>2</w:t>
            </w:r>
            <w:r>
              <w:rPr>
                <w:color w:val="auto"/>
                <w:sz w:val="24"/>
                <w:szCs w:val="24"/>
                <w:highlight w:val="none"/>
              </w:rPr>
              <w:t>分，</w:t>
            </w:r>
            <w:r>
              <w:rPr>
                <w:rFonts w:hint="eastAsia"/>
                <w:color w:val="auto"/>
                <w:sz w:val="24"/>
                <w:szCs w:val="24"/>
                <w:highlight w:val="none"/>
                <w:lang w:val="en-US" w:eastAsia="zh-CN"/>
              </w:rPr>
              <w:t>其他的不得分，</w:t>
            </w:r>
            <w:r>
              <w:rPr>
                <w:color w:val="auto"/>
                <w:sz w:val="24"/>
                <w:szCs w:val="24"/>
                <w:highlight w:val="none"/>
              </w:rPr>
              <w:t>需提供承诺函并加盖投标人公章。未提供或提供不完整的不得分。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235" w:type="dxa"/>
            <w:vAlign w:val="top"/>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企业综合管理能力</w:t>
            </w:r>
          </w:p>
        </w:tc>
        <w:tc>
          <w:tcPr>
            <w:tcW w:w="915" w:type="dxa"/>
            <w:vAlign w:val="top"/>
          </w:tcPr>
          <w:p>
            <w:pPr>
              <w:pStyle w:val="61"/>
              <w:jc w:val="center"/>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3.00</w:t>
            </w:r>
          </w:p>
        </w:tc>
        <w:tc>
          <w:tcPr>
            <w:tcW w:w="7472" w:type="dxa"/>
            <w:vAlign w:val="top"/>
          </w:tcPr>
          <w:p>
            <w:pPr>
              <w:pStyle w:val="61"/>
              <w:jc w:val="lef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1.投标人具有ISO9001质量管理体系认证证书，得1分。需提供有效相关证书的复印件，否则不得分；  </w:t>
            </w:r>
          </w:p>
          <w:p>
            <w:pPr>
              <w:pStyle w:val="61"/>
              <w:numPr>
                <w:ilvl w:val="0"/>
                <w:numId w:val="0"/>
              </w:numPr>
              <w:ind w:leftChars="0"/>
              <w:jc w:val="lef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2.投标人具有ISO45001职业健康安全管理体系认证证书，得1分。需提供有效相关证书的复印件，否则不得分； </w:t>
            </w:r>
          </w:p>
          <w:p>
            <w:pPr>
              <w:pStyle w:val="61"/>
              <w:numPr>
                <w:ilvl w:val="0"/>
                <w:numId w:val="0"/>
              </w:numPr>
              <w:ind w:left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3.投标人具有ISO14001环境管理体系认证证书，得1分。需提供有效相关证书的复印件，否则不得分；  </w:t>
            </w:r>
          </w:p>
        </w:tc>
      </w:tr>
      <w:bookmarkEnd w:id="1"/>
    </w:tbl>
    <w:p>
      <w:pPr>
        <w:rPr>
          <w:color w:val="auto"/>
          <w:highlight w:val="none"/>
        </w:rPr>
      </w:pPr>
    </w:p>
    <w:p>
      <w:pPr>
        <w:pStyle w:val="14"/>
        <w:spacing w:before="75" w:beforeAutospacing="0" w:after="75" w:afterAutospacing="0" w:line="440" w:lineRule="exact"/>
        <w:ind w:firstLine="480"/>
        <w:rPr>
          <w:color w:val="auto"/>
          <w:highlight w:val="none"/>
        </w:rPr>
      </w:pPr>
      <w:r>
        <w:rPr>
          <w:color w:val="auto"/>
          <w:highlight w:val="none"/>
        </w:rPr>
        <w:t>（4）成交候选供应商排列规则顺序和并列相同时的处理约定如下：</w:t>
      </w:r>
    </w:p>
    <w:p>
      <w:pPr>
        <w:pStyle w:val="14"/>
        <w:spacing w:before="75" w:beforeAutospacing="0" w:after="75" w:afterAutospacing="0" w:line="440" w:lineRule="exact"/>
        <w:ind w:firstLine="480"/>
        <w:rPr>
          <w:color w:val="auto"/>
          <w:highlight w:val="none"/>
        </w:rPr>
      </w:pPr>
      <w:r>
        <w:rPr>
          <w:color w:val="auto"/>
          <w:highlight w:val="none"/>
        </w:rPr>
        <w:t>a.成交候选供应商按照综合评审总得分（FA）由高到低顺序排列推荐。</w:t>
      </w:r>
    </w:p>
    <w:p>
      <w:pPr>
        <w:pStyle w:val="14"/>
        <w:spacing w:before="75" w:beforeAutospacing="0" w:after="75" w:afterAutospacing="0" w:line="440" w:lineRule="exact"/>
        <w:ind w:firstLine="480"/>
        <w:rPr>
          <w:color w:val="auto"/>
          <w:highlight w:val="none"/>
        </w:rPr>
      </w:pPr>
      <w:r>
        <w:rPr>
          <w:color w:val="auto"/>
          <w:highlight w:val="none"/>
        </w:rPr>
        <w:t>b.综合评审总得分（FA）相同的，按照经评审最后磋商报价（即经政府采购优惠政策进行价格扣除后的最后报价）由低到高顺序推荐。</w:t>
      </w:r>
    </w:p>
    <w:p>
      <w:pPr>
        <w:pStyle w:val="14"/>
        <w:spacing w:before="0" w:beforeAutospacing="0" w:after="0" w:afterAutospacing="0" w:line="440" w:lineRule="exact"/>
        <w:ind w:firstLine="465"/>
        <w:rPr>
          <w:color w:val="auto"/>
          <w:highlight w:val="none"/>
        </w:rPr>
      </w:pPr>
      <w:r>
        <w:rPr>
          <w:color w:val="auto"/>
          <w:highlight w:val="none"/>
        </w:rPr>
        <w:t>c.综合评审总得分（FA）且经评审最后磋商报价（即经政府采购优惠政策进行价格扣除后的最后报价）仍然相同的，按照技术指标优劣顺序推荐。</w:t>
      </w:r>
    </w:p>
    <w:p>
      <w:pPr>
        <w:pStyle w:val="14"/>
        <w:spacing w:before="0" w:beforeAutospacing="0" w:after="0" w:afterAutospacing="0" w:line="440" w:lineRule="exact"/>
        <w:ind w:firstLine="465"/>
        <w:rPr>
          <w:rFonts w:ascii="宋体" w:hAnsi="宋体" w:cs="宋体"/>
          <w:color w:val="auto"/>
          <w:kern w:val="0"/>
          <w:sz w:val="24"/>
          <w:szCs w:val="24"/>
          <w:highlight w:val="none"/>
        </w:rPr>
      </w:pPr>
      <w:r>
        <w:rPr>
          <w:color w:val="auto"/>
          <w:highlight w:val="none"/>
        </w:rPr>
        <w:t>d.经前述顺序处理仍然并列相同的，则通过随机抽取方式确定优先顺序推荐。</w:t>
      </w:r>
    </w:p>
    <w:p>
      <w:pPr>
        <w:pStyle w:val="2"/>
        <w:rPr>
          <w:rFonts w:ascii="宋体" w:hAnsi="宋体" w:cs="宋体"/>
          <w:color w:val="auto"/>
          <w:kern w:val="0"/>
          <w:sz w:val="24"/>
          <w:szCs w:val="24"/>
          <w:highlight w:val="none"/>
        </w:rPr>
      </w:pPr>
    </w:p>
    <w:p>
      <w:pPr>
        <w:pStyle w:val="2"/>
        <w:rPr>
          <w:rFonts w:ascii="宋体" w:hAnsi="宋体" w:cs="宋体"/>
          <w:color w:val="auto"/>
          <w:kern w:val="0"/>
          <w:sz w:val="24"/>
          <w:szCs w:val="24"/>
          <w:highlight w:val="none"/>
        </w:rPr>
      </w:pP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四、评审报告</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4.1磋商小组完成评审后，应当编写评审报告并提交给采购人。</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4.2评审报告应当包括以下主要内容：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（一）邀请供应商参加采购活动的具体方式和相关情况；</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（二）响应文件开启日期和地点；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（三）获取磋商文件的供应商名单和磋商小组成员名单；</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（四）评审情况记录和说明，包括对供应商的资格审查情况、供应商响应文件评审情况、磋商情况、报价情况等；</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（五）提出的成交候选供应商的排序名单及理由。</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75" w:after="75" w:line="420" w:lineRule="atLeast"/>
        <w:ind w:firstLine="48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五、其他规定</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5.1其他规定</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5.1.1评审应全程保密且不得透露给任一供应商或与评审工作无关的人员。</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5.1.2评审将进行全程实时录音录像，录音录像资料随采购文件一并存档。</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5.1.3若供应商有任何试图干扰具体评审事务，影响磋商小组独立履行职责的行为，其响应无效且不予退还磋商保证金。情节严重的，由财政部门列入不良行为记录。</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5.1.4根据采购项目的特点和需要，需要加以详细说明的其他磋商程序规定、要求等内容：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无。</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第2节 竞争性磋商须知</w:t>
      </w:r>
      <w:r>
        <w:rPr>
          <w:rFonts w:ascii="宋体" w:hAnsi="宋体" w:cs="宋体"/>
          <w:b/>
          <w:bCs/>
          <w:color w:val="auto"/>
          <w:kern w:val="0"/>
          <w:sz w:val="36"/>
          <w:szCs w:val="36"/>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一、总则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1.适用范围：</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1.1适用于磋商文件载明项目的采购活动（以下简称：“本次采购活动”）。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2.定义及要求：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2.1“采购标的”指磋商文件载明的需要采购的货物、服务、工程。</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2.2“采购人”指本次采购项目的买方、或业主方、或甲方，具体见磋商文件第一章；“采购代理机构”系指接受采购人委托，组织开展竞争性磋商采购活动的代理机构，具体见磋商文件第一章。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2.3“潜在供应商”按照磋商文件第一章规定进行报名，且有意向参加本项目响应磋商的供应商。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2.4“供应商”指按照磋商文件第一章规定进行报名，且已经提交响应文件的法人或其他组织或自然人。只有适合自然人参与和承接的政府采购项目，供应商才可以是自然人。</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2.5“单位负责人”指单位法定代表人（供应商为法人的）或法律、法规规定代表单位行使职权的主要负责人（供应商为其他组织的）。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3.合格的</w:t>
      </w:r>
      <w:r>
        <w:rPr>
          <w:rFonts w:ascii="宋体" w:hAnsi="宋体" w:cs="宋体"/>
          <w:color w:val="auto"/>
          <w:kern w:val="0"/>
          <w:sz w:val="24"/>
          <w:szCs w:val="24"/>
          <w:highlight w:val="none"/>
        </w:rPr>
        <w:t>供应商</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3.1一般规定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3.1.1供应商应当遵守中国的有关法律、法规和规章的规定，参加政府采购活动时已经自觉检查并按照政府采购相关法律规定，主动回避相应利害关系。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3.1.2为采购项目提供整体设计、规范编制或项目管理、监理、检测等服务的供应商，不得再参加该采购项目除整体设计、规范编制和项目管理、监理、检测等服务之外的其他采购活动</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供应商有责任检查自身情况，在响应文件中对是否违反以上一般规定做出如实声明，否则其响应文件将被否决。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3.2特别规定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3.2.1供应商的资格要求：详见竞争性磋商须知前附表第</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项。</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3.2.2是否接受联合体形式的响应磋商：详见竞争性磋商须知前附表第</w:t>
      </w:r>
      <w:r>
        <w:rPr>
          <w:rFonts w:ascii="宋体" w:hAnsi="宋体" w:cs="宋体"/>
          <w:color w:val="auto"/>
          <w:kern w:val="0"/>
          <w:sz w:val="24"/>
          <w:szCs w:val="24"/>
          <w:highlight w:val="none"/>
          <w:u w:val="single"/>
        </w:rPr>
        <w:t>2</w:t>
      </w:r>
      <w:r>
        <w:rPr>
          <w:rFonts w:ascii="宋体" w:hAnsi="宋体" w:cs="宋体"/>
          <w:color w:val="auto"/>
          <w:kern w:val="0"/>
          <w:sz w:val="24"/>
          <w:szCs w:val="24"/>
          <w:highlight w:val="none"/>
        </w:rPr>
        <w:t>项。若接受联合体形式且供应商为联合体，则联合体各方除了应遵守本章第3.1条规定外，还应遵守下列规定：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（1）联合体各方应提交联合体协议，联合体协议应符合磋商文件规定。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（2）联合体各方不得再单独参加或与其他供应商另外组成联合体参加同一合同项下的响应磋商。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（3）联合体各方应共同与采购人签订政府采购合同，就政府采购合同约定的事项对采购人承担连带责任。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4.参与竞争性磋商费用：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4.1除法律法规或采购文件另有规定之外，供应商应自行承担其准备与参加竞争性磋商所涉及的一切费用。</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二、竞争性磋商文件</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5.竞争性磋商文件的组成：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5.1竞争性磋商文件由下述部分组成：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第一章 采购公告（或采购邀请书）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第二章 竞争性磋商须知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第三章 采购内容及要求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第四章 合同主要条款及格式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第五章 首次响应文件格式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5.2除上述内容以外，采购人、采购代理机构或者磋商小组在采购过程期间对磋商文件所作的澄清、修改或补充，均构成磋商文件的组成部分，对采购人和供应商具有约束力。</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6.竞争性磋商文件的澄清、补充、修改及现场考察等：</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6.3采购人、采购代理机构可以视采购项目的具体情况，组织供应商进行现场考察或召开磋商前答疑会，是否组织现场考察或召开磋商前答疑会详见竞争性磋商须知前附表第</w:t>
      </w:r>
      <w:r>
        <w:rPr>
          <w:rFonts w:ascii="宋体" w:hAnsi="宋体" w:cs="宋体"/>
          <w:color w:val="auto"/>
          <w:kern w:val="0"/>
          <w:sz w:val="24"/>
          <w:szCs w:val="24"/>
          <w:highlight w:val="none"/>
          <w:u w:val="single"/>
        </w:rPr>
        <w:t>3</w:t>
      </w:r>
      <w:r>
        <w:rPr>
          <w:rFonts w:ascii="宋体" w:hAnsi="宋体" w:cs="宋体"/>
          <w:color w:val="auto"/>
          <w:kern w:val="0"/>
          <w:sz w:val="24"/>
          <w:szCs w:val="24"/>
          <w:highlight w:val="none"/>
        </w:rPr>
        <w:t>项。</w:t>
      </w:r>
    </w:p>
    <w:p>
      <w:pPr>
        <w:widowControl/>
        <w:spacing w:before="75" w:after="75" w:line="435" w:lineRule="atLeast"/>
        <w:ind w:firstLine="48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三、响应文件编制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7.应标要求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7.2供应商代表在同一个合同项下只能接受一个供应商的委托参加响应磋商，否则其响应文件将被否决。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7.3供应商应仔细阅读磋商文件的所有内容和要求，按磋商文件的规定提供响应文件，并对其所提供的全部资料、承诺和声明的真实性、合法性和准确性负责。</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7.4除非竞争性磋商须知前附表另有规定外，供应商提供的响应文件应使用中文文本，若有不同文字文本，以中文文本为准。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7.6除非竞争性磋商须知前附表另有规定外，供应商承诺的报价应以人民币进行报价，合同实施结算时亦以人民币支付；所有计量均采用中华人民共和国法定计量单位。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8.首次响应文件的组成：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8.1首次响应文件包括但不限于下列部分：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（1）响应函</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（3）资格证明文件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（4）磋商保证金凭证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（5）技术和商务偏离表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（7）供应商提交的其他资料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（8）要求作为响应文件组成部分的其他内容（若有）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9.响应文件有效期：</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9.1响应文件有效期见竞争性磋商须知前附表第</w:t>
      </w:r>
      <w:r>
        <w:rPr>
          <w:rFonts w:ascii="宋体" w:hAnsi="宋体" w:cs="宋体"/>
          <w:color w:val="auto"/>
          <w:kern w:val="0"/>
          <w:sz w:val="24"/>
          <w:szCs w:val="24"/>
          <w:highlight w:val="none"/>
          <w:u w:val="single"/>
        </w:rPr>
        <w:t>4</w:t>
      </w:r>
      <w:r>
        <w:rPr>
          <w:rFonts w:ascii="宋体" w:hAnsi="宋体" w:cs="宋体"/>
          <w:color w:val="auto"/>
          <w:kern w:val="0"/>
          <w:sz w:val="24"/>
          <w:szCs w:val="24"/>
          <w:highlight w:val="none"/>
        </w:rPr>
        <w:t>项，响应文件承诺的有效期不得少于磋商文件载明的有效期，</w:t>
      </w:r>
      <w:r>
        <w:rPr>
          <w:rFonts w:ascii="宋体" w:hAnsi="宋体" w:cs="宋体"/>
          <w:b/>
          <w:bCs/>
          <w:color w:val="auto"/>
          <w:kern w:val="0"/>
          <w:sz w:val="24"/>
          <w:szCs w:val="24"/>
          <w:highlight w:val="none"/>
        </w:rPr>
        <w:t>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10.磋商保证金：</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10.1供应商应在参加竞争性磋商之前按竞争性磋商须知前附表第</w:t>
      </w:r>
      <w:r>
        <w:rPr>
          <w:rFonts w:ascii="宋体" w:hAnsi="宋体" w:cs="宋体"/>
          <w:color w:val="auto"/>
          <w:kern w:val="0"/>
          <w:sz w:val="24"/>
          <w:szCs w:val="24"/>
          <w:highlight w:val="none"/>
          <w:u w:val="single"/>
        </w:rPr>
        <w:t>5</w:t>
      </w:r>
      <w:r>
        <w:rPr>
          <w:rFonts w:ascii="宋体" w:hAnsi="宋体" w:cs="宋体"/>
          <w:color w:val="auto"/>
          <w:kern w:val="0"/>
          <w:sz w:val="24"/>
          <w:szCs w:val="24"/>
          <w:highlight w:val="none"/>
        </w:rPr>
        <w:t>项规定的金额、形式等要求提交磋商保证金。磋商文件若接受联合体形式且供应商为联合体的，则可以由联合体中的牵头方提交磋商保证金，其提交的磋商保证金对联合体各方均具有约束力。</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10.2磋商保证金为响应文件的重要组成部分之一。磋商保证金用于保护本次磋商活动免受供应商的违约或失信行为而引起的风险。未按规定提交磋商保证金的，</w:t>
      </w:r>
      <w:r>
        <w:rPr>
          <w:rFonts w:ascii="宋体" w:hAnsi="宋体" w:cs="宋体"/>
          <w:b/>
          <w:bCs/>
          <w:color w:val="auto"/>
          <w:kern w:val="0"/>
          <w:sz w:val="24"/>
          <w:szCs w:val="24"/>
          <w:highlight w:val="none"/>
        </w:rPr>
        <w:t>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10.3磋商保证金退还：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ascii="宋体" w:hAnsi="宋体" w:cs="宋体"/>
          <w:color w:val="auto"/>
          <w:kern w:val="0"/>
          <w:sz w:val="24"/>
          <w:szCs w:val="24"/>
          <w:highlight w:val="none"/>
          <w:u w:val="single"/>
        </w:rPr>
        <w:t>6</w:t>
      </w:r>
      <w:r>
        <w:rPr>
          <w:rFonts w:ascii="宋体" w:hAnsi="宋体" w:cs="宋体"/>
          <w:color w:val="auto"/>
          <w:kern w:val="0"/>
          <w:sz w:val="24"/>
          <w:szCs w:val="24"/>
          <w:highlight w:val="none"/>
        </w:rPr>
        <w:t>项。</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10.4如果供应商发生以下任何一种情况时，其磋商保证金将被不予退还：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(1)供应商在提交响应文件截止时间后撤回响应文件的；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(2)供应商在响应文件中提供虚假材料的；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(3)除因不可抗力或磋商文件认可的情形以外，成交人不与采购人签订合同的；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(4)供应商与采购人、其他供应商或者采购代理机构恶意串通的；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(5)供应商在提交最后报价后要求退出磋商的；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(6)供应商假借以他人名义参加磋商或者以其他方式弄虚作假，骗取成交；</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(7)国家法律法规以及磋商文件中规定的其他磋商保证金不予退还的情形。</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上述不予退还磋商保证金的情况不能抵偿给采购人或采购代理机构造成损失的，供应商还要承担赔偿责任。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11.响应文件基本编制要求：</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11.1供应商须编制由本须知规定组成的响应文件正副本份数详见竞争性磋商须知前附表第</w:t>
      </w:r>
      <w:r>
        <w:rPr>
          <w:rFonts w:ascii="宋体" w:hAnsi="宋体" w:cs="宋体"/>
          <w:color w:val="auto"/>
          <w:kern w:val="0"/>
          <w:sz w:val="24"/>
          <w:szCs w:val="24"/>
          <w:highlight w:val="none"/>
          <w:u w:val="single"/>
        </w:rPr>
        <w:t>7</w:t>
      </w:r>
      <w:r>
        <w:rPr>
          <w:rFonts w:ascii="宋体" w:hAnsi="宋体" w:cs="宋体"/>
          <w:color w:val="auto"/>
          <w:kern w:val="0"/>
          <w:sz w:val="24"/>
          <w:szCs w:val="24"/>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11.2响应文件应由供应商代表签字并加盖公章。供应商代表如果不是竞争性磋商须知中定义的“单位负责人”，则其响应文件中还必须提供“单位负责人授权书”。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11.3响应文件应尽量避免涂改、行间插字或删除。如果出现上述情况，改动之处应加盖供应商单位公章或由供应商代表签字确认。</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11.4供应商应提交证明其拟提供货物、服务或工程符合磋商文件要求的技术和商务响应文件，该文件可以是文字资料、图纸和数据，并对拟提供的货物、服务或工程的主要内容进行详细描述。</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12.纸质响应文件的密封、标识、签署和提交（除磋商文件相应章节已有规定之外，电子竞争性磋商活动的具体操作流程以福建省政府采购网上公开信息系统设定的为准。）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12.1供应商应当将响应文件密封包装提交，并在外封套上标识项目名称、项目编号、供应商单位名称以及“于</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四、竞争性磋商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13.评审和磋商基本准则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13.1对所有供应商的评审和磋商，都采用相同的程序和标准。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13.2磋商及评审过程将严格按照磋商文件的要求和条件进行，磋商小组将根据供应商的响应文件，按磋商文件规定的磋商程序及评审的标准和方法进行评审、磋商，并推荐成交候选人。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14.磋商程序以及评审标准和方法</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14.1采购人将根据项目的特点依法组建磋商小组。磋商小组将根据磋商文件规定的程序、评审标准和方法等内容对供应商进行评审、磋商。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14.2.1供应商有下列情况之一者，其提交的响应文件将被视为未实质性响应磋商文件要求，磋商小组将否决其响应文件，按无效处理：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(1)响应文件中提供的资格证明文件不全的；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(2)响应文件未按磋商文件规定由供应商代表签字，或未按磋商文件规定加盖供应商单位公章的；或供应商代表未获得有效授权的；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(3)供应商未按磋商文件规定提交磋商保证金的；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(4)响应文件有效期不满足磋商文件要求的；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(5)响应内容与磋商采购内容及要求有重大偏离或保留的，限制了采购人的权利或者减少成交人合同项下的义务；（由于磋商项目本身特点，不能详细列明采购标的的技术、服务要求的除外）；</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(6)响应文件中附有采购人无法接受的条件的；</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(7)不符合磋商文件中规定的其它实质性条款（比如：报价超过了磋商文件规定的最高限价）。</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14.2.2其他情形</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包：1 </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包一般情形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无</w:t>
      </w:r>
    </w:p>
    <w:p>
      <w:pPr>
        <w:widowControl/>
        <w:jc w:val="left"/>
        <w:rPr>
          <w:rFonts w:hint="eastAsia" w:ascii="宋体" w:hAnsi="宋体" w:eastAsia="宋体" w:cs="宋体"/>
          <w:color w:val="auto"/>
          <w:kern w:val="0"/>
          <w:sz w:val="24"/>
          <w:szCs w:val="24"/>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技术符合性 </w:t>
      </w:r>
    </w:p>
    <w:tbl>
      <w:tblPr>
        <w:tblStyle w:val="21"/>
        <w:tblW w:w="94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95"/>
        <w:gridCol w:w="79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495" w:type="dxa"/>
            <w:noWrap w:val="0"/>
            <w:vAlign w:val="top"/>
          </w:tcPr>
          <w:p>
            <w:pPr>
              <w:pStyle w:val="61"/>
              <w:jc w:val="left"/>
              <w:outlineLvl w:val="9"/>
              <w:rPr>
                <w:color w:val="auto"/>
                <w:sz w:val="24"/>
                <w:szCs w:val="24"/>
                <w:highlight w:val="none"/>
              </w:rPr>
            </w:pPr>
            <w:r>
              <w:rPr>
                <w:color w:val="auto"/>
                <w:sz w:val="24"/>
                <w:szCs w:val="24"/>
                <w:highlight w:val="none"/>
              </w:rPr>
              <w:t>情形</w:t>
            </w:r>
          </w:p>
        </w:tc>
        <w:tc>
          <w:tcPr>
            <w:tcW w:w="7950" w:type="dxa"/>
            <w:noWrap w:val="0"/>
            <w:vAlign w:val="top"/>
          </w:tcPr>
          <w:p>
            <w:pPr>
              <w:pStyle w:val="61"/>
              <w:jc w:val="left"/>
              <w:outlineLvl w:val="9"/>
              <w:rPr>
                <w:color w:val="auto"/>
                <w:sz w:val="24"/>
                <w:szCs w:val="24"/>
                <w:highlight w:val="none"/>
              </w:rPr>
            </w:pPr>
            <w:r>
              <w:rPr>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495" w:type="dxa"/>
            <w:noWrap w:val="0"/>
            <w:vAlign w:val="top"/>
          </w:tcPr>
          <w:p>
            <w:pPr>
              <w:pStyle w:val="61"/>
              <w:jc w:val="left"/>
              <w:outlineLvl w:val="9"/>
              <w:rPr>
                <w:color w:val="auto"/>
                <w:sz w:val="24"/>
                <w:szCs w:val="24"/>
                <w:highlight w:val="none"/>
              </w:rPr>
            </w:pPr>
            <w:r>
              <w:rPr>
                <w:color w:val="auto"/>
                <w:sz w:val="24"/>
                <w:szCs w:val="24"/>
                <w:highlight w:val="none"/>
              </w:rPr>
              <w:t>其他情形</w:t>
            </w:r>
          </w:p>
        </w:tc>
        <w:tc>
          <w:tcPr>
            <w:tcW w:w="7950" w:type="dxa"/>
            <w:noWrap w:val="0"/>
            <w:vAlign w:val="top"/>
          </w:tcPr>
          <w:p>
            <w:pPr>
              <w:pStyle w:val="61"/>
              <w:jc w:val="left"/>
              <w:outlineLvl w:val="9"/>
              <w:rPr>
                <w:color w:val="auto"/>
                <w:sz w:val="24"/>
                <w:szCs w:val="24"/>
                <w:highlight w:val="none"/>
              </w:rPr>
            </w:pPr>
            <w:r>
              <w:rPr>
                <w:color w:val="auto"/>
                <w:sz w:val="24"/>
                <w:szCs w:val="24"/>
                <w:highlight w:val="none"/>
              </w:rPr>
              <w:t>（1）</w:t>
            </w:r>
            <w:r>
              <w:rPr>
                <w:rFonts w:hint="eastAsia"/>
                <w:color w:val="auto"/>
                <w:sz w:val="24"/>
                <w:szCs w:val="24"/>
                <w:highlight w:val="none"/>
              </w:rPr>
              <w:t>供应商响应文件技术部分实质性要求内容出现负偏离的，视为无效响应。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495" w:type="dxa"/>
            <w:noWrap w:val="0"/>
            <w:vAlign w:val="top"/>
          </w:tcPr>
          <w:p>
            <w:pPr>
              <w:pStyle w:val="61"/>
              <w:jc w:val="left"/>
              <w:outlineLvl w:val="9"/>
              <w:rPr>
                <w:color w:val="auto"/>
                <w:sz w:val="24"/>
                <w:szCs w:val="24"/>
                <w:highlight w:val="none"/>
              </w:rPr>
            </w:pPr>
            <w:r>
              <w:rPr>
                <w:color w:val="auto"/>
                <w:sz w:val="24"/>
                <w:szCs w:val="24"/>
                <w:highlight w:val="none"/>
              </w:rPr>
              <w:t>其他情形</w:t>
            </w:r>
          </w:p>
        </w:tc>
        <w:tc>
          <w:tcPr>
            <w:tcW w:w="7950" w:type="dxa"/>
            <w:noWrap w:val="0"/>
            <w:vAlign w:val="top"/>
          </w:tcPr>
          <w:p>
            <w:pPr>
              <w:pStyle w:val="61"/>
              <w:jc w:val="left"/>
              <w:outlineLvl w:val="9"/>
              <w:rPr>
                <w:color w:val="auto"/>
                <w:sz w:val="24"/>
                <w:szCs w:val="24"/>
                <w:highlight w:val="none"/>
              </w:rPr>
            </w:pPr>
            <w:r>
              <w:rPr>
                <w:color w:val="auto"/>
                <w:sz w:val="24"/>
                <w:szCs w:val="24"/>
                <w:highlight w:val="none"/>
              </w:rPr>
              <w:t>（2）供应商响应文件技术部分中提供虚假或失实证明材料的，视为无效响应。</w:t>
            </w:r>
          </w:p>
        </w:tc>
      </w:tr>
    </w:tbl>
    <w:p>
      <w:pPr>
        <w:widowControl/>
        <w:jc w:val="left"/>
        <w:rPr>
          <w:rFonts w:hint="eastAsia" w:ascii="宋体" w:hAnsi="宋体" w:eastAsia="宋体" w:cs="宋体"/>
          <w:color w:val="auto"/>
          <w:kern w:val="0"/>
          <w:sz w:val="24"/>
          <w:szCs w:val="24"/>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商务符合性 </w:t>
      </w:r>
    </w:p>
    <w:tbl>
      <w:tblPr>
        <w:tblStyle w:val="21"/>
        <w:tblW w:w="94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25"/>
        <w:gridCol w:w="79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5" w:type="dxa"/>
            <w:noWrap w:val="0"/>
            <w:vAlign w:val="top"/>
          </w:tcPr>
          <w:p>
            <w:pPr>
              <w:pStyle w:val="61"/>
              <w:jc w:val="left"/>
              <w:outlineLvl w:val="9"/>
              <w:rPr>
                <w:color w:val="auto"/>
                <w:sz w:val="24"/>
                <w:szCs w:val="24"/>
                <w:highlight w:val="none"/>
              </w:rPr>
            </w:pPr>
            <w:r>
              <w:rPr>
                <w:color w:val="auto"/>
                <w:sz w:val="24"/>
                <w:szCs w:val="24"/>
                <w:highlight w:val="none"/>
              </w:rPr>
              <w:t>情形</w:t>
            </w:r>
          </w:p>
        </w:tc>
        <w:tc>
          <w:tcPr>
            <w:tcW w:w="7935" w:type="dxa"/>
            <w:noWrap w:val="0"/>
            <w:vAlign w:val="top"/>
          </w:tcPr>
          <w:p>
            <w:pPr>
              <w:pStyle w:val="61"/>
              <w:jc w:val="left"/>
              <w:outlineLvl w:val="9"/>
              <w:rPr>
                <w:color w:val="auto"/>
                <w:sz w:val="24"/>
                <w:szCs w:val="24"/>
                <w:highlight w:val="none"/>
              </w:rPr>
            </w:pPr>
            <w:r>
              <w:rPr>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5" w:type="dxa"/>
            <w:noWrap w:val="0"/>
            <w:vAlign w:val="top"/>
          </w:tcPr>
          <w:p>
            <w:pPr>
              <w:pStyle w:val="61"/>
              <w:jc w:val="left"/>
              <w:outlineLvl w:val="9"/>
              <w:rPr>
                <w:color w:val="auto"/>
                <w:sz w:val="24"/>
                <w:szCs w:val="24"/>
                <w:highlight w:val="none"/>
              </w:rPr>
            </w:pPr>
            <w:r>
              <w:rPr>
                <w:color w:val="auto"/>
                <w:sz w:val="24"/>
                <w:szCs w:val="24"/>
                <w:highlight w:val="none"/>
              </w:rPr>
              <w:t>其他情形</w:t>
            </w:r>
          </w:p>
        </w:tc>
        <w:tc>
          <w:tcPr>
            <w:tcW w:w="7935" w:type="dxa"/>
            <w:noWrap w:val="0"/>
            <w:vAlign w:val="top"/>
          </w:tcPr>
          <w:p>
            <w:pPr>
              <w:pStyle w:val="61"/>
              <w:jc w:val="left"/>
              <w:outlineLvl w:val="9"/>
              <w:rPr>
                <w:color w:val="auto"/>
                <w:sz w:val="24"/>
                <w:szCs w:val="24"/>
                <w:highlight w:val="none"/>
              </w:rPr>
            </w:pPr>
            <w:r>
              <w:rPr>
                <w:color w:val="auto"/>
                <w:sz w:val="24"/>
                <w:szCs w:val="24"/>
                <w:highlight w:val="none"/>
              </w:rPr>
              <w:t>（1）供应商响应文件的商务条件响应出现负偏离的，视为无效响应。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5" w:type="dxa"/>
            <w:noWrap w:val="0"/>
            <w:vAlign w:val="top"/>
          </w:tcPr>
          <w:p>
            <w:pPr>
              <w:pStyle w:val="61"/>
              <w:jc w:val="left"/>
              <w:outlineLvl w:val="9"/>
              <w:rPr>
                <w:color w:val="auto"/>
                <w:sz w:val="24"/>
                <w:szCs w:val="24"/>
                <w:highlight w:val="none"/>
              </w:rPr>
            </w:pPr>
            <w:r>
              <w:rPr>
                <w:color w:val="auto"/>
                <w:sz w:val="24"/>
                <w:szCs w:val="24"/>
                <w:highlight w:val="none"/>
              </w:rPr>
              <w:t>其他情形</w:t>
            </w:r>
          </w:p>
        </w:tc>
        <w:tc>
          <w:tcPr>
            <w:tcW w:w="7935" w:type="dxa"/>
            <w:noWrap w:val="0"/>
            <w:vAlign w:val="top"/>
          </w:tcPr>
          <w:p>
            <w:pPr>
              <w:pStyle w:val="61"/>
              <w:jc w:val="left"/>
              <w:outlineLvl w:val="9"/>
              <w:rPr>
                <w:color w:val="auto"/>
                <w:sz w:val="24"/>
                <w:szCs w:val="24"/>
                <w:highlight w:val="none"/>
              </w:rPr>
            </w:pPr>
            <w:r>
              <w:rPr>
                <w:color w:val="auto"/>
                <w:sz w:val="24"/>
                <w:szCs w:val="24"/>
                <w:highlight w:val="none"/>
              </w:rPr>
              <w:t>（2）供应商响应文件商务部分中提供虚假或失实证明材料的，视为无效响应。</w:t>
            </w:r>
          </w:p>
        </w:tc>
      </w:tr>
    </w:tbl>
    <w:p>
      <w:pPr>
        <w:widowControl/>
        <w:jc w:val="left"/>
        <w:rPr>
          <w:rFonts w:hint="eastAsia" w:ascii="宋体" w:hAnsi="宋体" w:eastAsia="宋体" w:cs="宋体"/>
          <w:color w:val="auto"/>
          <w:kern w:val="0"/>
          <w:sz w:val="24"/>
          <w:szCs w:val="24"/>
          <w:highlight w:val="none"/>
          <w:lang w:eastAsia="zh-CN"/>
        </w:rPr>
      </w:pPr>
    </w:p>
    <w:p>
      <w:pPr>
        <w:widowControl/>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附加符合性</w:t>
      </w:r>
    </w:p>
    <w:p>
      <w:pPr>
        <w:widowControl/>
        <w:jc w:val="left"/>
        <w:rPr>
          <w:rFonts w:hint="eastAsia" w:ascii="宋体" w:hAnsi="宋体" w:eastAsia="宋体" w:cs="宋体"/>
          <w:b/>
          <w:bCs/>
          <w:color w:val="auto"/>
          <w:kern w:val="0"/>
          <w:sz w:val="24"/>
          <w:szCs w:val="24"/>
          <w:highlight w:val="none"/>
          <w:lang w:eastAsia="zh-CN"/>
        </w:rPr>
      </w:pPr>
      <w:r>
        <w:rPr>
          <w:rFonts w:ascii="宋体" w:hAnsi="宋体" w:cs="宋体"/>
          <w:b/>
          <w:bCs/>
          <w:color w:val="auto"/>
          <w:kern w:val="0"/>
          <w:sz w:val="24"/>
          <w:szCs w:val="24"/>
          <w:highlight w:val="none"/>
        </w:rPr>
        <w:t>         无</w:t>
      </w:r>
    </w:p>
    <w:p>
      <w:pPr>
        <w:pStyle w:val="10"/>
        <w:rPr>
          <w:rFonts w:hint="eastAsia"/>
          <w:color w:val="auto"/>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价格符合性 </w:t>
      </w:r>
    </w:p>
    <w:tbl>
      <w:tblPr>
        <w:tblStyle w:val="21"/>
        <w:tblW w:w="9334"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334" w:type="dxa"/>
            <w:noWrap w:val="0"/>
            <w:vAlign w:val="center"/>
          </w:tcPr>
          <w:p>
            <w:pPr>
              <w:jc w:val="center"/>
              <w:outlineLvl w:val="9"/>
              <w:rPr>
                <w:b/>
                <w:color w:val="auto"/>
                <w:highlight w:val="none"/>
              </w:rPr>
            </w:pPr>
            <w:r>
              <w:rPr>
                <w:rFonts w:ascii="宋体" w:hAnsi="宋体" w:cs="宋体"/>
                <w:b/>
                <w:color w:val="auto"/>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tblCellSpacing w:w="0" w:type="dxa"/>
        </w:trPr>
        <w:tc>
          <w:tcPr>
            <w:tcW w:w="9334" w:type="dxa"/>
            <w:noWrap w:val="0"/>
            <w:vAlign w:val="center"/>
          </w:tcPr>
          <w:p>
            <w:pPr>
              <w:outlineLvl w:val="9"/>
              <w:rPr>
                <w:rFonts w:ascii="宋体" w:hAnsi="宋体" w:cs="宋体"/>
                <w:color w:val="auto"/>
                <w:sz w:val="24"/>
                <w:highlight w:val="none"/>
              </w:rPr>
            </w:pPr>
            <w:r>
              <w:rPr>
                <w:rFonts w:hint="eastAsia" w:ascii="宋体" w:hAnsi="宋体" w:cs="宋体"/>
                <w:color w:val="auto"/>
                <w:sz w:val="24"/>
                <w:highlight w:val="none"/>
              </w:rPr>
              <w:t>供应商提交的是可选择的报价；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334" w:type="dxa"/>
            <w:noWrap w:val="0"/>
            <w:vAlign w:val="center"/>
          </w:tcPr>
          <w:p>
            <w:pPr>
              <w:outlineLvl w:val="9"/>
              <w:rPr>
                <w:rFonts w:ascii="宋体" w:hAnsi="宋体" w:cs="宋体"/>
                <w:color w:val="auto"/>
                <w:sz w:val="24"/>
                <w:highlight w:val="none"/>
              </w:rPr>
            </w:pPr>
            <w:r>
              <w:rPr>
                <w:rFonts w:hint="eastAsia" w:ascii="宋体" w:hAnsi="宋体" w:cs="宋体"/>
                <w:color w:val="auto"/>
                <w:sz w:val="24"/>
                <w:highlight w:val="none"/>
              </w:rPr>
              <w:t>供应商提交的报价超过</w:t>
            </w:r>
            <w:r>
              <w:rPr>
                <w:rFonts w:hint="eastAsia" w:ascii="宋体" w:hAnsi="宋体"/>
                <w:color w:val="auto"/>
                <w:sz w:val="24"/>
                <w:highlight w:val="none"/>
              </w:rPr>
              <w:t>采购最高限价</w:t>
            </w:r>
            <w:r>
              <w:rPr>
                <w:rFonts w:hint="eastAsia" w:ascii="宋体" w:hAnsi="宋体" w:cs="宋体"/>
                <w:color w:val="auto"/>
                <w:sz w:val="24"/>
                <w:highlight w:val="none"/>
              </w:rPr>
              <w:t>。</w:t>
            </w:r>
          </w:p>
        </w:tc>
      </w:tr>
    </w:tbl>
    <w:p>
      <w:pPr>
        <w:pStyle w:val="2"/>
        <w:rPr>
          <w:color w:val="auto"/>
          <w:highlight w:val="none"/>
        </w:rPr>
      </w:pP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磋商小组决定供应商的响应性只根据响应文件本身的内容，而不寻求其他的外部证据。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ascii="宋体" w:hAnsi="宋体" w:cs="宋体"/>
          <w:color w:val="auto"/>
          <w:kern w:val="0"/>
          <w:sz w:val="24"/>
          <w:szCs w:val="24"/>
          <w:highlight w:val="none"/>
          <w:u w:val="single"/>
        </w:rPr>
        <w:t>8</w:t>
      </w:r>
      <w:r>
        <w:rPr>
          <w:rFonts w:ascii="宋体" w:hAnsi="宋体" w:cs="宋体"/>
          <w:color w:val="auto"/>
          <w:kern w:val="0"/>
          <w:sz w:val="24"/>
          <w:szCs w:val="24"/>
          <w:highlight w:val="none"/>
        </w:rPr>
        <w:t>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14.10供应商提交的响应文件和资料将给予保密，但不退回（有关证件或证照的原件除外）。</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五、合同授予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15.授予合同的准则：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15.1除不可抗力等因素外，合同将授予响应文件符合竞争性磋商文件要求，能够圆满地履行合同，且被磋商小组推荐为第一成交候选人的供应商。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15.3为维护国家利益和社会公共利益，最低报价不是被授予合同的绝对保证。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16.确定成交供应商：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16.1采购人委托代理机构组织竞争性磋商采购活动的，采购代理机构在评审结束后2个工作日内将评审报告送采购人确认。</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17.成交通知: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18.签订合同：</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18.2竞争性磋商文件、成交人的响应文件及其有关澄清承诺文件等，均为签订政府采购合同的依据和组成部分。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六、询问、质疑与投诉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19.询问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19.1潜在供应商或供应商对本次采购活动的有关事项若有疑问，可向采购人或采购代理机构提出询问，采购人或采购代理机构将按照政府采购法及实施条例的有关规定进行答复。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20.质疑</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20.1质疑应在政府采购法及实施条例规定的时效内提出，并符合下列条件：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20.1.2质疑人应提交质疑函原件。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20.1.3质疑函应包括下列主要内容：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t>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t>所质疑项目的基本信息，至少包括：项目编号、项目名称等；</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③</w:t>
      </w:r>
      <w:r>
        <w:rPr>
          <w:rFonts w:ascii="宋体" w:hAnsi="宋体" w:cs="宋体"/>
          <w:color w:val="auto"/>
          <w:kern w:val="0"/>
          <w:sz w:val="24"/>
          <w:szCs w:val="24"/>
          <w:highlight w:val="none"/>
        </w:rPr>
        <w:t>所质疑的具体事项（以下简称：“质疑事项”）；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④</w:t>
      </w:r>
      <w:r>
        <w:rPr>
          <w:rFonts w:ascii="宋体" w:hAnsi="宋体" w:cs="宋体"/>
          <w:color w:val="auto"/>
          <w:kern w:val="0"/>
          <w:sz w:val="24"/>
          <w:szCs w:val="24"/>
          <w:highlight w:val="none"/>
        </w:rPr>
        <w:t>质疑人自身权益受到损害的事实依据和证明材料，至少包括：</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a1所质疑的具体事项事实存在的证明材料；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⑤</w:t>
      </w:r>
      <w:r>
        <w:rPr>
          <w:rFonts w:ascii="宋体" w:hAnsi="宋体" w:cs="宋体"/>
          <w:color w:val="auto"/>
          <w:kern w:val="0"/>
          <w:sz w:val="24"/>
          <w:szCs w:val="24"/>
          <w:highlight w:val="none"/>
        </w:rPr>
        <w:t>针对质疑事项提出的明确请求和法律依据，</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⑥</w:t>
      </w:r>
      <w:r>
        <w:rPr>
          <w:rFonts w:ascii="宋体" w:hAnsi="宋体" w:cs="宋体"/>
          <w:color w:val="auto"/>
          <w:kern w:val="0"/>
          <w:sz w:val="24"/>
          <w:szCs w:val="24"/>
          <w:highlight w:val="none"/>
        </w:rPr>
        <w:t>提出质疑的日期以及质疑人代表联系方式，至少包括：姓名、手机、电子信箱、邮寄地址等。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20.2对不符合前文第20.1条规定的质疑，采购人或采购代理机构将按照下列规定进行处理：</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20.2.1超过质疑时效提交的或者质疑人不是直接参与所质疑项目采购活动的供应商，书面告知质疑人其质疑不成立的原因和理由。</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20.3对符合前文第20.1条规定的质疑，采购人或采购代理机构将按照政府采购法及实施条例的有关规定进行答复。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21.投诉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21.1若对质疑答复不满意或质疑答复未在答复期限内作出，质疑人可在答复期限届满之日起15个工作日内向磋商文件中载明的监督管理部门投诉。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21.2投诉应有明确的请求和必要的证明材料，投诉的事项不得超出已质疑事项的范围。</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七、有关信息公告和监督部门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22.政府采购信息公告媒体</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22.2信息公告指定媒体：详见竞争性磋商须知前附表第</w:t>
      </w:r>
      <w:r>
        <w:rPr>
          <w:rFonts w:ascii="宋体" w:hAnsi="宋体" w:cs="宋体"/>
          <w:color w:val="auto"/>
          <w:kern w:val="0"/>
          <w:sz w:val="24"/>
          <w:szCs w:val="24"/>
          <w:highlight w:val="none"/>
          <w:u w:val="single"/>
        </w:rPr>
        <w:t>11</w:t>
      </w:r>
      <w:r>
        <w:rPr>
          <w:rFonts w:ascii="宋体" w:hAnsi="宋体" w:cs="宋体"/>
          <w:color w:val="auto"/>
          <w:kern w:val="0"/>
          <w:sz w:val="24"/>
          <w:szCs w:val="24"/>
          <w:highlight w:val="none"/>
        </w:rPr>
        <w:t>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23.监督管理部门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23.1磋商采购活动的监督管理部门详见竞争性磋商须知前附表第</w:t>
      </w:r>
      <w:r>
        <w:rPr>
          <w:rFonts w:ascii="宋体" w:hAnsi="宋体" w:cs="宋体"/>
          <w:color w:val="auto"/>
          <w:kern w:val="0"/>
          <w:sz w:val="24"/>
          <w:szCs w:val="24"/>
          <w:highlight w:val="none"/>
          <w:u w:val="single"/>
        </w:rPr>
        <w:t>12</w:t>
      </w:r>
      <w:r>
        <w:rPr>
          <w:rFonts w:ascii="宋体" w:hAnsi="宋体" w:cs="宋体"/>
          <w:color w:val="auto"/>
          <w:kern w:val="0"/>
          <w:sz w:val="24"/>
          <w:szCs w:val="24"/>
          <w:highlight w:val="none"/>
        </w:rPr>
        <w:t>项。</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八、根据采购项目特点或政策需要补充的其他内容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24.履约保证金</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24.1采购人可以根据项目特点和需要，确定是否要求成交人在合同签订前，按照磋商文件规定的时间、形式、金额提交履约保证金，履约保证金的数额不超过中标合同金额的10%，具体详见磋商须知前附表第</w:t>
      </w:r>
      <w:r>
        <w:rPr>
          <w:rFonts w:ascii="宋体" w:hAnsi="宋体" w:cs="宋体"/>
          <w:color w:val="auto"/>
          <w:kern w:val="0"/>
          <w:sz w:val="24"/>
          <w:szCs w:val="24"/>
          <w:highlight w:val="none"/>
          <w:u w:val="single"/>
        </w:rPr>
        <w:t>13</w:t>
      </w:r>
      <w:r>
        <w:rPr>
          <w:rFonts w:ascii="宋体" w:hAnsi="宋体" w:cs="宋体"/>
          <w:color w:val="auto"/>
          <w:kern w:val="0"/>
          <w:sz w:val="24"/>
          <w:szCs w:val="24"/>
          <w:highlight w:val="none"/>
        </w:rPr>
        <w:t>项规定。</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24.2磋商文件要求在合同签订前提交履约保证金，如果成交人无故拖延或者拒不提交履约保证金的，则视为成交人拒绝与采购人签订合同，该成交人将承担违法行为的法律责任。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25.其他新增内容：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根据采购项目特点或政策需要补充的其他新增内容详见竞争性磋商须知前附表第</w:t>
      </w:r>
      <w:r>
        <w:rPr>
          <w:rFonts w:ascii="宋体" w:hAnsi="宋体" w:cs="宋体"/>
          <w:color w:val="auto"/>
          <w:kern w:val="0"/>
          <w:sz w:val="24"/>
          <w:szCs w:val="24"/>
          <w:highlight w:val="none"/>
          <w:u w:val="single"/>
        </w:rPr>
        <w:t>14</w:t>
      </w:r>
      <w:r>
        <w:rPr>
          <w:rFonts w:ascii="宋体" w:hAnsi="宋体" w:cs="宋体"/>
          <w:color w:val="auto"/>
          <w:kern w:val="0"/>
          <w:sz w:val="24"/>
          <w:szCs w:val="24"/>
          <w:highlight w:val="none"/>
        </w:rPr>
        <w:t>项。</w:t>
      </w:r>
    </w:p>
    <w:p>
      <w:pPr>
        <w:widowControl/>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pPr>
        <w:pStyle w:val="34"/>
        <w:numPr>
          <w:ilvl w:val="0"/>
          <w:numId w:val="0"/>
        </w:numPr>
        <w:jc w:val="center"/>
        <w:rPr>
          <w:rFonts w:ascii="宋体" w:hAnsi="宋体" w:cs="宋体"/>
          <w:b/>
          <w:color w:val="auto"/>
          <w:highlight w:val="none"/>
        </w:rPr>
      </w:pPr>
      <w:r>
        <w:rPr>
          <w:rFonts w:ascii="宋体" w:hAnsi="宋体" w:cs="宋体"/>
          <w:b/>
          <w:bCs/>
          <w:color w:val="auto"/>
          <w:kern w:val="0"/>
          <w:sz w:val="36"/>
          <w:szCs w:val="36"/>
          <w:highlight w:val="none"/>
        </w:rPr>
        <w:t>第三章  </w:t>
      </w:r>
      <w:r>
        <w:rPr>
          <w:rFonts w:hint="eastAsia" w:ascii="宋体" w:hAnsi="宋体" w:cs="宋体"/>
          <w:b/>
          <w:bCs/>
          <w:color w:val="auto"/>
          <w:kern w:val="0"/>
          <w:sz w:val="36"/>
          <w:szCs w:val="36"/>
          <w:highlight w:val="none"/>
        </w:rPr>
        <w:t>招标内容及要求</w:t>
      </w:r>
    </w:p>
    <w:p>
      <w:pPr>
        <w:pStyle w:val="11"/>
        <w:numPr>
          <w:ilvl w:val="0"/>
          <w:numId w:val="10"/>
        </w:numPr>
        <w:spacing w:beforeLines="50" w:afterLines="50" w:line="500" w:lineRule="exact"/>
        <w:rPr>
          <w:rFonts w:hint="eastAsia" w:ascii="宋体" w:hAnsi="宋体" w:cs="宋体"/>
          <w:b/>
          <w:color w:val="auto"/>
          <w:kern w:val="1"/>
          <w:sz w:val="24"/>
          <w:szCs w:val="24"/>
          <w:highlight w:val="none"/>
        </w:rPr>
      </w:pPr>
      <w:r>
        <w:rPr>
          <w:rFonts w:ascii="宋体" w:hAnsi="宋体"/>
          <w:b/>
          <w:bCs/>
          <w:color w:val="auto"/>
          <w:sz w:val="24"/>
          <w:szCs w:val="24"/>
          <w:highlight w:val="none"/>
        </w:rPr>
        <w:t>项目概况（采购标的）</w:t>
      </w:r>
      <w:r>
        <w:rPr>
          <w:rFonts w:hint="eastAsia" w:ascii="宋体" w:hAnsi="宋体" w:cs="宋体"/>
          <w:b/>
          <w:bCs/>
          <w:color w:val="auto"/>
          <w:kern w:val="1"/>
          <w:sz w:val="24"/>
          <w:szCs w:val="24"/>
          <w:highlight w:val="none"/>
        </w:rPr>
        <w:t>（</w:t>
      </w:r>
      <w:r>
        <w:rPr>
          <w:rFonts w:hint="eastAsia" w:ascii="宋体" w:hAnsi="宋体" w:cs="宋体"/>
          <w:b/>
          <w:color w:val="auto"/>
          <w:kern w:val="1"/>
          <w:sz w:val="24"/>
          <w:szCs w:val="24"/>
          <w:highlight w:val="none"/>
        </w:rPr>
        <w:t>以“”标示的内容为不允许负偏离的实质性要求）</w:t>
      </w:r>
    </w:p>
    <w:tbl>
      <w:tblPr>
        <w:tblStyle w:val="21"/>
        <w:tblpPr w:leftFromText="180" w:rightFromText="180" w:vertAnchor="text" w:horzAnchor="page" w:tblpX="1412" w:tblpY="432"/>
        <w:tblOverlap w:val="never"/>
        <w:tblW w:w="9443" w:type="dxa"/>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857"/>
        <w:gridCol w:w="3358"/>
        <w:gridCol w:w="773"/>
        <w:gridCol w:w="1484"/>
        <w:gridCol w:w="1483"/>
        <w:gridCol w:w="14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90" w:hRule="atLeast"/>
          <w:tblCellSpacing w:w="15" w:type="dxa"/>
        </w:trPr>
        <w:tc>
          <w:tcPr>
            <w:tcW w:w="812" w:type="dxa"/>
            <w:tcBorders>
              <w:tl2br w:val="nil"/>
              <w:tr2bl w:val="nil"/>
            </w:tcBorders>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合同包</w:t>
            </w:r>
          </w:p>
        </w:tc>
        <w:tc>
          <w:tcPr>
            <w:tcW w:w="3328" w:type="dxa"/>
            <w:tcBorders>
              <w:tl2br w:val="nil"/>
              <w:tr2bl w:val="nil"/>
            </w:tcBorders>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采购服务项目名称</w:t>
            </w:r>
          </w:p>
        </w:tc>
        <w:tc>
          <w:tcPr>
            <w:tcW w:w="743" w:type="dxa"/>
            <w:tcBorders>
              <w:tl2br w:val="nil"/>
              <w:tr2bl w:val="nil"/>
            </w:tcBorders>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p>
        </w:tc>
        <w:tc>
          <w:tcPr>
            <w:tcW w:w="1454" w:type="dxa"/>
            <w:tcBorders>
              <w:tl2br w:val="nil"/>
              <w:tr2bl w:val="nil"/>
            </w:tcBorders>
            <w:tcMar>
              <w:top w:w="0" w:type="dxa"/>
              <w:left w:w="105" w:type="dxa"/>
              <w:bottom w:w="0" w:type="dxa"/>
              <w:right w:w="105" w:type="dxa"/>
            </w:tcMar>
            <w:vAlign w:val="center"/>
          </w:tcPr>
          <w:p>
            <w:pPr>
              <w:pStyle w:val="14"/>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预算价（元）</w:t>
            </w:r>
          </w:p>
        </w:tc>
        <w:tc>
          <w:tcPr>
            <w:tcW w:w="1453" w:type="dxa"/>
            <w:tcBorders>
              <w:tl2br w:val="nil"/>
              <w:tr2bl w:val="nil"/>
            </w:tcBorders>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投标保证金（元）</w:t>
            </w:r>
          </w:p>
        </w:tc>
        <w:tc>
          <w:tcPr>
            <w:tcW w:w="1443" w:type="dxa"/>
            <w:tcBorders>
              <w:tl2br w:val="nil"/>
              <w:tr2bl w:val="nil"/>
            </w:tcBorders>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所属行业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612" w:hRule="atLeast"/>
          <w:tblCellSpacing w:w="15" w:type="dxa"/>
        </w:trPr>
        <w:tc>
          <w:tcPr>
            <w:tcW w:w="812" w:type="dxa"/>
            <w:tcBorders>
              <w:tl2br w:val="nil"/>
              <w:tr2bl w:val="nil"/>
            </w:tcBorders>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3328" w:type="dxa"/>
            <w:tcBorders>
              <w:tl2br w:val="nil"/>
              <w:tr2bl w:val="nil"/>
            </w:tcBorders>
            <w:tcMar>
              <w:top w:w="0" w:type="dxa"/>
              <w:left w:w="105" w:type="dxa"/>
              <w:bottom w:w="0" w:type="dxa"/>
              <w:right w:w="105" w:type="dxa"/>
            </w:tcMar>
            <w:vAlign w:val="center"/>
          </w:tcPr>
          <w:p>
            <w:pPr>
              <w:pStyle w:val="14"/>
              <w:widowControl/>
              <w:jc w:val="center"/>
              <w:rPr>
                <w:rFonts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2024年学院毕业展技术服务</w:t>
            </w:r>
          </w:p>
        </w:tc>
        <w:tc>
          <w:tcPr>
            <w:tcW w:w="743" w:type="dxa"/>
            <w:tcBorders>
              <w:tl2br w:val="nil"/>
              <w:tr2bl w:val="nil"/>
            </w:tcBorders>
            <w:tcMar>
              <w:top w:w="0" w:type="dxa"/>
              <w:left w:w="105" w:type="dxa"/>
              <w:bottom w:w="0" w:type="dxa"/>
              <w:right w:w="105" w:type="dxa"/>
            </w:tcMar>
            <w:vAlign w:val="center"/>
          </w:tcPr>
          <w:p>
            <w:pPr>
              <w:pStyle w:val="14"/>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w:t>
            </w:r>
          </w:p>
        </w:tc>
        <w:tc>
          <w:tcPr>
            <w:tcW w:w="1454" w:type="dxa"/>
            <w:tcBorders>
              <w:tl2br w:val="nil"/>
              <w:tr2bl w:val="nil"/>
            </w:tcBorders>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490000</w:t>
            </w:r>
          </w:p>
        </w:tc>
        <w:tc>
          <w:tcPr>
            <w:tcW w:w="1453" w:type="dxa"/>
            <w:tcBorders>
              <w:tl2br w:val="nil"/>
              <w:tr2bl w:val="nil"/>
            </w:tcBorders>
            <w:tcMar>
              <w:top w:w="0" w:type="dxa"/>
              <w:left w:w="105" w:type="dxa"/>
              <w:bottom w:w="0" w:type="dxa"/>
              <w:right w:w="105" w:type="dxa"/>
            </w:tcMar>
            <w:vAlign w:val="center"/>
          </w:tcPr>
          <w:p>
            <w:pPr>
              <w:pStyle w:val="14"/>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4900</w:t>
            </w:r>
          </w:p>
        </w:tc>
        <w:tc>
          <w:tcPr>
            <w:tcW w:w="1443" w:type="dxa"/>
            <w:tcBorders>
              <w:tl2br w:val="nil"/>
              <w:tr2bl w:val="nil"/>
            </w:tcBorders>
            <w:tcMar>
              <w:top w:w="0" w:type="dxa"/>
              <w:left w:w="105" w:type="dxa"/>
              <w:bottom w:w="0" w:type="dxa"/>
              <w:right w:w="105" w:type="dxa"/>
            </w:tcMar>
            <w:vAlign w:val="center"/>
          </w:tcPr>
          <w:p>
            <w:pPr>
              <w:pStyle w:val="6"/>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租赁和商务服务业</w:t>
            </w:r>
          </w:p>
        </w:tc>
      </w:tr>
    </w:tbl>
    <w:p>
      <w:pPr>
        <w:pStyle w:val="11"/>
        <w:numPr>
          <w:ilvl w:val="0"/>
          <w:numId w:val="0"/>
        </w:numPr>
        <w:spacing w:beforeLines="50" w:afterLines="50" w:line="500" w:lineRule="exact"/>
        <w:rPr>
          <w:rStyle w:val="25"/>
          <w:rFonts w:hint="eastAsia" w:ascii="宋体" w:hAnsi="宋体" w:cs="宋体"/>
          <w:bCs/>
          <w:color w:val="auto"/>
          <w:highlight w:val="none"/>
        </w:rPr>
      </w:pPr>
      <w:r>
        <w:rPr>
          <w:rFonts w:hint="eastAsia" w:ascii="宋体" w:hAnsi="宋体" w:cs="宋体"/>
          <w:b/>
          <w:bCs/>
          <w:color w:val="auto"/>
          <w:kern w:val="1"/>
          <w:sz w:val="24"/>
          <w:szCs w:val="24"/>
          <w:highlight w:val="none"/>
          <w:lang w:val="en-US" w:eastAsia="zh-CN"/>
        </w:rPr>
        <w:t>二、</w:t>
      </w:r>
      <w:r>
        <w:rPr>
          <w:rFonts w:hint="eastAsia" w:ascii="宋体" w:hAnsi="宋体" w:cs="宋体"/>
          <w:b/>
          <w:bCs/>
          <w:color w:val="auto"/>
          <w:kern w:val="1"/>
          <w:sz w:val="24"/>
          <w:szCs w:val="24"/>
          <w:highlight w:val="none"/>
        </w:rPr>
        <w:t>技术和服务要求（</w:t>
      </w:r>
      <w:r>
        <w:rPr>
          <w:rFonts w:hint="eastAsia" w:ascii="宋体" w:hAnsi="宋体" w:cs="宋体"/>
          <w:b/>
          <w:color w:val="auto"/>
          <w:kern w:val="1"/>
          <w:sz w:val="24"/>
          <w:szCs w:val="24"/>
          <w:highlight w:val="none"/>
        </w:rPr>
        <w:t>以“★”标示的内容为不允许负偏离的实质性要求）</w:t>
      </w:r>
    </w:p>
    <w:p>
      <w:pPr>
        <w:pStyle w:val="11"/>
        <w:numPr>
          <w:ilvl w:val="0"/>
          <w:numId w:val="0"/>
        </w:numPr>
        <w:spacing w:beforeLines="50" w:afterLines="50" w:line="500" w:lineRule="exact"/>
        <w:rPr>
          <w:rFonts w:ascii="宋体" w:hAnsi="宋体" w:cs="宋体"/>
          <w:b/>
          <w:color w:val="auto"/>
          <w:kern w:val="1"/>
          <w:sz w:val="24"/>
          <w:szCs w:val="24"/>
          <w:highlight w:val="none"/>
        </w:rPr>
      </w:pPr>
      <w:r>
        <w:rPr>
          <w:rFonts w:hint="eastAsia"/>
          <w:b/>
          <w:color w:val="auto"/>
          <w:sz w:val="24"/>
          <w:szCs w:val="24"/>
          <w:highlight w:val="none"/>
          <w:lang w:val="en-US" w:eastAsia="zh-CN"/>
        </w:rPr>
        <w:t>（一）</w:t>
      </w:r>
      <w:r>
        <w:rPr>
          <w:rFonts w:hint="eastAsia" w:ascii="宋体" w:hAnsi="宋体" w:cs="宋体"/>
          <w:b/>
          <w:color w:val="auto"/>
          <w:kern w:val="1"/>
          <w:sz w:val="24"/>
          <w:szCs w:val="24"/>
          <w:highlight w:val="none"/>
        </w:rPr>
        <w:t>★</w:t>
      </w:r>
      <w:r>
        <w:rPr>
          <w:rFonts w:hint="eastAsia"/>
          <w:b/>
          <w:color w:val="auto"/>
          <w:sz w:val="24"/>
          <w:szCs w:val="24"/>
          <w:highlight w:val="none"/>
          <w:lang w:val="en-US" w:eastAsia="zh-CN"/>
        </w:rPr>
        <w:t>招标内容及清单</w:t>
      </w:r>
    </w:p>
    <w:tbl>
      <w:tblPr>
        <w:tblStyle w:val="21"/>
        <w:tblW w:w="9241" w:type="dxa"/>
        <w:tblInd w:w="117"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48"/>
        <w:gridCol w:w="2137"/>
        <w:gridCol w:w="2701"/>
        <w:gridCol w:w="850"/>
        <w:gridCol w:w="745"/>
        <w:gridCol w:w="131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4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区域</w:t>
            </w:r>
          </w:p>
        </w:tc>
        <w:tc>
          <w:tcPr>
            <w:tcW w:w="21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27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技术要求、服务内容</w:t>
            </w:r>
          </w:p>
        </w:tc>
        <w:tc>
          <w:tcPr>
            <w:tcW w:w="8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7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9241" w:type="dxa"/>
            <w:gridSpan w:val="7"/>
            <w:tcBorders>
              <w:top w:val="nil"/>
              <w:left w:val="single" w:color="000000" w:sz="4" w:space="0"/>
              <w:bottom w:val="single" w:color="000000" w:sz="4" w:space="0"/>
              <w:right w:val="single" w:color="000000" w:sz="4" w:space="0"/>
            </w:tcBorders>
            <w:shd w:val="clear" w:color="auto" w:fill="DDEBF7"/>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一、户外展区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48" w:type="dxa"/>
            <w:vMerge w:val="restart"/>
            <w:tcBorders>
              <w:top w:val="single" w:color="000000" w:sz="4" w:space="0"/>
              <w:left w:val="nil"/>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公共氛围</w:t>
            </w:r>
          </w:p>
        </w:tc>
        <w:tc>
          <w:tcPr>
            <w:tcW w:w="21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校门口左边欢迎牌</w:t>
            </w:r>
          </w:p>
        </w:tc>
        <w:tc>
          <w:tcPr>
            <w:tcW w:w="27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8*3m高桁架+高清黑底灯布</w:t>
            </w:r>
          </w:p>
        </w:tc>
        <w:tc>
          <w:tcPr>
            <w:tcW w:w="8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13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校门口右边预祝牌</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8*3m高桁架+高清黑底灯布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活动主背景（校门口）</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高职办学20年</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黄炎培校长奖</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垃圾分类一站式</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校园跑</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71"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导视牌</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1*2m高*0.8m厚*13个，桁架+高清黑底灯布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彩旗</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四色彩旗</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150</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图书馆立面大条幅</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12m*58m网格布，四边钢丝绳加固，高空作业</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696</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文明校园</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特装</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11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全国健康学校</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特装</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12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全国数字校园</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特装</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13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无偿献血</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特装</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14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急救教育试点学校</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特装</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学雷锋教育基地</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特装</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16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848" w:type="dxa"/>
            <w:vMerge w:val="continue"/>
            <w:tcBorders>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校园20周年大事记展示区</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8X3米0.8厚桁架+高清黑底灯布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17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9241" w:type="dxa"/>
            <w:gridSpan w:val="7"/>
            <w:tcBorders>
              <w:top w:val="nil"/>
              <w:left w:val="single" w:color="000000" w:sz="4" w:space="0"/>
              <w:bottom w:val="single" w:color="000000" w:sz="4" w:space="0"/>
              <w:right w:val="single" w:color="000000" w:sz="4" w:space="0"/>
            </w:tcBorders>
            <w:shd w:val="clear" w:color="auto" w:fill="DDEBF7"/>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、工匠大道--院系展区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8</w:t>
            </w:r>
          </w:p>
        </w:tc>
        <w:tc>
          <w:tcPr>
            <w:tcW w:w="848" w:type="dxa"/>
            <w:vMerge w:val="restart"/>
            <w:tcBorders>
              <w:top w:val="single" w:color="000000" w:sz="4" w:space="0"/>
              <w:left w:val="nil"/>
              <w:bottom w:val="nil"/>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p>
          <w:p>
            <w:pPr>
              <w:pStyle w:val="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建筑工程系</w:t>
            </w:r>
          </w:p>
        </w:tc>
        <w:tc>
          <w:tcPr>
            <w:tcW w:w="21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门口特色展示区</w:t>
            </w:r>
          </w:p>
        </w:tc>
        <w:tc>
          <w:tcPr>
            <w:tcW w:w="27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特装立体造型</w:t>
            </w:r>
          </w:p>
        </w:tc>
        <w:tc>
          <w:tcPr>
            <w:tcW w:w="8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18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61"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848" w:type="dxa"/>
            <w:vMerge w:val="continue"/>
            <w:tcBorders>
              <w:top w:val="single" w:color="000000" w:sz="4" w:space="0"/>
              <w:left w:val="nil"/>
              <w:bottom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系部</w:t>
            </w:r>
            <w:r>
              <w:rPr>
                <w:rFonts w:hint="eastAsia" w:asciiTheme="minorEastAsia" w:hAnsiTheme="minorEastAsia" w:eastAsiaTheme="minorEastAsia" w:cstheme="minorEastAsia"/>
                <w:color w:val="auto"/>
                <w:sz w:val="24"/>
                <w:szCs w:val="24"/>
                <w:highlight w:val="none"/>
              </w:rPr>
              <w:t>简介背景板</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*3m</w:t>
            </w:r>
            <w:r>
              <w:rPr>
                <w:rFonts w:hint="eastAsia" w:asciiTheme="minorEastAsia" w:hAnsiTheme="minorEastAsia" w:eastAsiaTheme="minorEastAsia" w:cstheme="minorEastAsia"/>
                <w:color w:val="auto"/>
                <w:sz w:val="24"/>
                <w:szCs w:val="24"/>
                <w:highlight w:val="none"/>
              </w:rPr>
              <w:t>*0.8m厚桁架+黑底高精度灯布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1312"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19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20</w:t>
            </w:r>
          </w:p>
        </w:tc>
        <w:tc>
          <w:tcPr>
            <w:tcW w:w="848"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工艺美术系</w:t>
            </w: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门口特色展示区</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特装立体造型</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848" w:type="dxa"/>
            <w:vMerge w:val="continue"/>
            <w:tcBorders>
              <w:top w:val="nil"/>
              <w:left w:val="nil"/>
              <w:bottom w:val="nil"/>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系部</w:t>
            </w:r>
            <w:r>
              <w:rPr>
                <w:rFonts w:hint="eastAsia" w:asciiTheme="minorEastAsia" w:hAnsiTheme="minorEastAsia" w:eastAsiaTheme="minorEastAsia" w:cstheme="minorEastAsia"/>
                <w:color w:val="auto"/>
                <w:sz w:val="24"/>
                <w:szCs w:val="24"/>
                <w:highlight w:val="none"/>
              </w:rPr>
              <w:t>简介背景板</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*3m</w:t>
            </w:r>
            <w:r>
              <w:rPr>
                <w:rFonts w:hint="eastAsia" w:asciiTheme="minorEastAsia" w:hAnsiTheme="minorEastAsia" w:eastAsiaTheme="minorEastAsia" w:cstheme="minorEastAsia"/>
                <w:color w:val="auto"/>
                <w:sz w:val="24"/>
                <w:szCs w:val="24"/>
                <w:highlight w:val="none"/>
              </w:rPr>
              <w:t>*0.8m厚桁架+黑底高精度灯布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1312"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21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22</w:t>
            </w:r>
          </w:p>
        </w:tc>
        <w:tc>
          <w:tcPr>
            <w:tcW w:w="848"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智能制造系</w:t>
            </w: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门口特色展示区</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特装立体造型</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22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23</w:t>
            </w:r>
          </w:p>
        </w:tc>
        <w:tc>
          <w:tcPr>
            <w:tcW w:w="848" w:type="dxa"/>
            <w:vMerge w:val="continue"/>
            <w:tcBorders>
              <w:top w:val="single" w:color="000000" w:sz="4" w:space="0"/>
              <w:left w:val="nil"/>
              <w:bottom w:val="single" w:color="000000"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系部</w:t>
            </w:r>
            <w:r>
              <w:rPr>
                <w:rFonts w:hint="eastAsia" w:asciiTheme="minorEastAsia" w:hAnsiTheme="minorEastAsia" w:eastAsiaTheme="minorEastAsia" w:cstheme="minorEastAsia"/>
                <w:color w:val="auto"/>
                <w:sz w:val="24"/>
                <w:szCs w:val="24"/>
                <w:highlight w:val="none"/>
              </w:rPr>
              <w:t>简介背景板</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*3m</w:t>
            </w:r>
            <w:r>
              <w:rPr>
                <w:rFonts w:hint="eastAsia" w:asciiTheme="minorEastAsia" w:hAnsiTheme="minorEastAsia" w:eastAsiaTheme="minorEastAsia" w:cstheme="minorEastAsia"/>
                <w:color w:val="auto"/>
                <w:sz w:val="24"/>
                <w:szCs w:val="24"/>
                <w:highlight w:val="none"/>
              </w:rPr>
              <w:t>高*0.8m厚桁架+高清黑底灯布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23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848" w:type="dxa"/>
            <w:vMerge w:val="restart"/>
            <w:tcBorders>
              <w:top w:val="nil"/>
              <w:left w:val="nil"/>
              <w:bottom w:val="nil"/>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化学工程系</w:t>
            </w: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门口特色展示区</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特装立体造型</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nil"/>
              <w:left w:val="nil"/>
              <w:bottom w:val="nil"/>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848" w:type="dxa"/>
            <w:vMerge w:val="continue"/>
            <w:tcBorders>
              <w:top w:val="single" w:color="000000" w:sz="4" w:space="0"/>
              <w:left w:val="nil"/>
              <w:bottom w:val="single" w:color="000000"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系部</w:t>
            </w:r>
            <w:r>
              <w:rPr>
                <w:rFonts w:hint="eastAsia" w:asciiTheme="minorEastAsia" w:hAnsiTheme="minorEastAsia" w:eastAsiaTheme="minorEastAsia" w:cstheme="minorEastAsia"/>
                <w:color w:val="auto"/>
                <w:sz w:val="24"/>
                <w:szCs w:val="24"/>
                <w:highlight w:val="none"/>
              </w:rPr>
              <w:t>简介背景板</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*3m</w:t>
            </w:r>
            <w:r>
              <w:rPr>
                <w:rFonts w:hint="eastAsia" w:asciiTheme="minorEastAsia" w:hAnsiTheme="minorEastAsia" w:eastAsiaTheme="minorEastAsia" w:cstheme="minorEastAsia"/>
                <w:color w:val="auto"/>
                <w:sz w:val="24"/>
                <w:szCs w:val="24"/>
                <w:highlight w:val="none"/>
              </w:rPr>
              <w:t>*0.8m厚桁架+黑底高精度灯布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1312"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w:t>
            </w:r>
          </w:p>
        </w:tc>
        <w:tc>
          <w:tcPr>
            <w:tcW w:w="84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国防教育学院</w:t>
            </w: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门口特色展示区</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特装立体造型</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26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848" w:type="dxa"/>
            <w:vMerge w:val="continue"/>
            <w:tcBorders>
              <w:top w:val="nil"/>
              <w:left w:val="nil"/>
              <w:bottom w:val="single" w:color="000000"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系部</w:t>
            </w:r>
            <w:r>
              <w:rPr>
                <w:rFonts w:hint="eastAsia" w:asciiTheme="minorEastAsia" w:hAnsiTheme="minorEastAsia" w:eastAsiaTheme="minorEastAsia" w:cstheme="minorEastAsia"/>
                <w:color w:val="auto"/>
                <w:sz w:val="24"/>
                <w:szCs w:val="24"/>
                <w:highlight w:val="none"/>
              </w:rPr>
              <w:t>简介背景板</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*3m</w:t>
            </w:r>
            <w:r>
              <w:rPr>
                <w:rFonts w:hint="eastAsia" w:asciiTheme="minorEastAsia" w:hAnsiTheme="minorEastAsia" w:eastAsiaTheme="minorEastAsia" w:cstheme="minorEastAsia"/>
                <w:color w:val="auto"/>
                <w:sz w:val="24"/>
                <w:szCs w:val="24"/>
                <w:highlight w:val="none"/>
              </w:rPr>
              <w:t>*0.8m厚桁架+黑底高精度灯布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27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84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学前教育系</w:t>
            </w: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门口特色展示区</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特装立体造型</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nil"/>
              <w:left w:val="nil"/>
              <w:bottom w:val="nil"/>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28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29</w:t>
            </w:r>
          </w:p>
        </w:tc>
        <w:tc>
          <w:tcPr>
            <w:tcW w:w="848" w:type="dxa"/>
            <w:vMerge w:val="continue"/>
            <w:tcBorders>
              <w:top w:val="nil"/>
              <w:left w:val="nil"/>
              <w:bottom w:val="single" w:color="000000"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系部</w:t>
            </w:r>
            <w:r>
              <w:rPr>
                <w:rFonts w:hint="eastAsia" w:asciiTheme="minorEastAsia" w:hAnsiTheme="minorEastAsia" w:eastAsiaTheme="minorEastAsia" w:cstheme="minorEastAsia"/>
                <w:color w:val="auto"/>
                <w:sz w:val="24"/>
                <w:szCs w:val="24"/>
                <w:highlight w:val="none"/>
              </w:rPr>
              <w:t>简介背景板</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*3m</w:t>
            </w:r>
            <w:r>
              <w:rPr>
                <w:rFonts w:hint="eastAsia" w:asciiTheme="minorEastAsia" w:hAnsiTheme="minorEastAsia" w:eastAsiaTheme="minorEastAsia" w:cstheme="minorEastAsia"/>
                <w:color w:val="auto"/>
                <w:sz w:val="24"/>
                <w:szCs w:val="24"/>
                <w:highlight w:val="none"/>
              </w:rPr>
              <w:t>*0.8m厚桁架+黑底高精度灯布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1312"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29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84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医学健康系</w:t>
            </w: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门口特色展示区</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特装立体造型</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648"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w:t>
            </w:r>
          </w:p>
        </w:tc>
        <w:tc>
          <w:tcPr>
            <w:tcW w:w="848" w:type="dxa"/>
            <w:vMerge w:val="continue"/>
            <w:tcBorders>
              <w:top w:val="nil"/>
              <w:left w:val="nil"/>
              <w:bottom w:val="single" w:color="000000"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系部</w:t>
            </w:r>
            <w:r>
              <w:rPr>
                <w:rFonts w:hint="eastAsia" w:asciiTheme="minorEastAsia" w:hAnsiTheme="minorEastAsia" w:eastAsiaTheme="minorEastAsia" w:cstheme="minorEastAsia"/>
                <w:color w:val="auto"/>
                <w:sz w:val="24"/>
                <w:szCs w:val="24"/>
                <w:highlight w:val="none"/>
              </w:rPr>
              <w:t>简介背景板</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*3m</w:t>
            </w:r>
            <w:r>
              <w:rPr>
                <w:rFonts w:hint="eastAsia" w:asciiTheme="minorEastAsia" w:hAnsiTheme="minorEastAsia" w:eastAsiaTheme="minorEastAsia" w:cstheme="minorEastAsia"/>
                <w:color w:val="auto"/>
                <w:sz w:val="24"/>
                <w:szCs w:val="24"/>
                <w:highlight w:val="none"/>
              </w:rPr>
              <w:t>*0.8m厚桁架+黑底高精度灯布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31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6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w:t>
            </w:r>
          </w:p>
        </w:tc>
        <w:tc>
          <w:tcPr>
            <w:tcW w:w="848" w:type="dxa"/>
            <w:vMerge w:val="restart"/>
            <w:tcBorders>
              <w:top w:val="nil"/>
              <w:left w:val="single" w:color="auto"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工商系</w:t>
            </w: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门口特色展示区</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特装立体造型</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32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33</w:t>
            </w:r>
          </w:p>
        </w:tc>
        <w:tc>
          <w:tcPr>
            <w:tcW w:w="848" w:type="dxa"/>
            <w:vMerge w:val="continue"/>
            <w:tcBorders>
              <w:left w:val="single" w:color="auto" w:sz="4" w:space="0"/>
              <w:bottom w:val="single" w:color="000000"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系部</w:t>
            </w:r>
            <w:r>
              <w:rPr>
                <w:rFonts w:hint="eastAsia" w:asciiTheme="minorEastAsia" w:hAnsiTheme="minorEastAsia" w:eastAsiaTheme="minorEastAsia" w:cstheme="minorEastAsia"/>
                <w:color w:val="auto"/>
                <w:sz w:val="24"/>
                <w:szCs w:val="24"/>
                <w:highlight w:val="none"/>
              </w:rPr>
              <w:t>简介背景板</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*3m</w:t>
            </w:r>
            <w:r>
              <w:rPr>
                <w:rFonts w:hint="eastAsia" w:asciiTheme="minorEastAsia" w:hAnsiTheme="minorEastAsia" w:eastAsiaTheme="minorEastAsia" w:cstheme="minorEastAsia"/>
                <w:color w:val="auto"/>
                <w:sz w:val="24"/>
                <w:szCs w:val="24"/>
                <w:highlight w:val="none"/>
              </w:rPr>
              <w:t>*0.8m厚桁架+黑底高精度灯布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33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34</w:t>
            </w:r>
          </w:p>
        </w:tc>
        <w:tc>
          <w:tcPr>
            <w:tcW w:w="848" w:type="dxa"/>
            <w:vMerge w:val="restart"/>
            <w:tcBorders>
              <w:top w:val="nil"/>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信息系</w:t>
            </w: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门口特色展示区</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特装立体造型</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648"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35</w:t>
            </w:r>
          </w:p>
        </w:tc>
        <w:tc>
          <w:tcPr>
            <w:tcW w:w="848" w:type="dxa"/>
            <w:vMerge w:val="continue"/>
            <w:tcBorders>
              <w:left w:val="nil"/>
              <w:bottom w:val="single" w:color="000000"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系部</w:t>
            </w:r>
            <w:r>
              <w:rPr>
                <w:rFonts w:hint="eastAsia" w:asciiTheme="minorEastAsia" w:hAnsiTheme="minorEastAsia" w:eastAsiaTheme="minorEastAsia" w:cstheme="minorEastAsia"/>
                <w:color w:val="auto"/>
                <w:sz w:val="24"/>
                <w:szCs w:val="24"/>
                <w:highlight w:val="none"/>
              </w:rPr>
              <w:t>简介背景板</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*3m</w:t>
            </w:r>
            <w:r>
              <w:rPr>
                <w:rFonts w:hint="eastAsia" w:asciiTheme="minorEastAsia" w:hAnsiTheme="minorEastAsia" w:eastAsiaTheme="minorEastAsia" w:cstheme="minorEastAsia"/>
                <w:color w:val="auto"/>
                <w:sz w:val="24"/>
                <w:szCs w:val="24"/>
                <w:highlight w:val="none"/>
              </w:rPr>
              <w:t>*0.8m厚桁架+黑底高精度灯布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35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36</w:t>
            </w:r>
          </w:p>
        </w:tc>
        <w:tc>
          <w:tcPr>
            <w:tcW w:w="848" w:type="dxa"/>
            <w:vMerge w:val="restart"/>
            <w:tcBorders>
              <w:top w:val="nil"/>
              <w:left w:val="nil"/>
              <w:right w:val="single" w:color="000000" w:sz="4" w:space="0"/>
            </w:tcBorders>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自动化系</w:t>
            </w: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门口特色展示区</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特装立体造型</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36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648"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37</w:t>
            </w:r>
          </w:p>
        </w:tc>
        <w:tc>
          <w:tcPr>
            <w:tcW w:w="848" w:type="dxa"/>
            <w:vMerge w:val="continue"/>
            <w:tcBorders>
              <w:left w:val="nil"/>
              <w:bottom w:val="single" w:color="000000"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系部</w:t>
            </w:r>
            <w:r>
              <w:rPr>
                <w:rFonts w:hint="eastAsia" w:asciiTheme="minorEastAsia" w:hAnsiTheme="minorEastAsia" w:eastAsiaTheme="minorEastAsia" w:cstheme="minorEastAsia"/>
                <w:color w:val="auto"/>
                <w:sz w:val="24"/>
                <w:szCs w:val="24"/>
                <w:highlight w:val="none"/>
              </w:rPr>
              <w:t>简介背景板</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*3m</w:t>
            </w:r>
            <w:r>
              <w:rPr>
                <w:rFonts w:hint="eastAsia" w:asciiTheme="minorEastAsia" w:hAnsiTheme="minorEastAsia" w:eastAsiaTheme="minorEastAsia" w:cstheme="minorEastAsia"/>
                <w:color w:val="auto"/>
                <w:sz w:val="24"/>
                <w:szCs w:val="24"/>
                <w:highlight w:val="none"/>
              </w:rPr>
              <w:t>*0.8m厚桁架+黑底高精度灯布</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37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9241" w:type="dxa"/>
            <w:gridSpan w:val="7"/>
            <w:tcBorders>
              <w:top w:val="nil"/>
              <w:left w:val="single" w:color="000000" w:sz="4" w:space="0"/>
              <w:bottom w:val="single" w:color="000000" w:sz="4" w:space="0"/>
              <w:right w:val="single" w:color="000000" w:sz="4" w:space="0"/>
            </w:tcBorders>
            <w:shd w:val="clear" w:color="auto" w:fill="DDEBF7"/>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、其它费用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71"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38</w:t>
            </w:r>
          </w:p>
        </w:tc>
        <w:tc>
          <w:tcPr>
            <w:tcW w:w="848"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p>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其它</w:t>
            </w:r>
          </w:p>
        </w:tc>
        <w:tc>
          <w:tcPr>
            <w:tcW w:w="21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电源</w:t>
            </w:r>
          </w:p>
        </w:tc>
        <w:tc>
          <w:tcPr>
            <w:tcW w:w="27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现场电路铺设域配置220V电源（含排插、电线、射灯）</w:t>
            </w:r>
          </w:p>
        </w:tc>
        <w:tc>
          <w:tcPr>
            <w:tcW w:w="8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38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39</w:t>
            </w:r>
          </w:p>
        </w:tc>
        <w:tc>
          <w:tcPr>
            <w:tcW w:w="848" w:type="dxa"/>
            <w:vMerge w:val="continue"/>
            <w:tcBorders>
              <w:top w:val="single" w:color="000000" w:sz="4" w:space="0"/>
              <w:left w:val="nil"/>
              <w:bottom w:val="single" w:color="000000"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运输装卸费用</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物料装卸运输费用</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39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40</w:t>
            </w:r>
          </w:p>
        </w:tc>
        <w:tc>
          <w:tcPr>
            <w:tcW w:w="848" w:type="dxa"/>
            <w:vMerge w:val="continue"/>
            <w:tcBorders>
              <w:top w:val="single" w:color="000000" w:sz="4" w:space="0"/>
              <w:left w:val="nil"/>
              <w:bottom w:val="single" w:color="000000"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清洁费</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现场物料清理</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w:t>
            </w:r>
          </w:p>
        </w:tc>
        <w:tc>
          <w:tcPr>
            <w:tcW w:w="848" w:type="dxa"/>
            <w:vMerge w:val="continue"/>
            <w:tcBorders>
              <w:top w:val="single" w:color="000000" w:sz="4" w:space="0"/>
              <w:left w:val="nil"/>
              <w:bottom w:val="single" w:color="000000" w:sz="4" w:space="0"/>
              <w:right w:val="single" w:color="000000" w:sz="4" w:space="0"/>
            </w:tcBorders>
          </w:tcPr>
          <w:p>
            <w:pPr>
              <w:rPr>
                <w:rFonts w:hint="eastAsia" w:asciiTheme="minorEastAsia" w:hAnsiTheme="minorEastAsia" w:eastAsiaTheme="minorEastAsia" w:cstheme="minorEastAsia"/>
                <w:color w:val="auto"/>
                <w:sz w:val="24"/>
                <w:szCs w:val="24"/>
                <w:highlight w:val="none"/>
              </w:rPr>
            </w:pPr>
          </w:p>
        </w:tc>
        <w:tc>
          <w:tcPr>
            <w:tcW w:w="21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现场执行费用</w:t>
            </w:r>
          </w:p>
        </w:tc>
        <w:tc>
          <w:tcPr>
            <w:tcW w:w="27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人员现场安装，拆卸，执行费用</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1"/>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评审项</w:t>
            </w:r>
            <w:r>
              <w:rPr>
                <w:rFonts w:hint="eastAsia" w:asciiTheme="minorEastAsia" w:hAnsiTheme="minorEastAsia" w:eastAsiaTheme="minorEastAsia" w:cstheme="minorEastAsia"/>
                <w:color w:val="auto"/>
                <w:sz w:val="24"/>
                <w:szCs w:val="24"/>
                <w:highlight w:val="none"/>
                <w:lang w:val="en-US" w:eastAsia="zh-CN"/>
              </w:rPr>
              <w:t>41</w:t>
            </w:r>
          </w:p>
        </w:tc>
      </w:tr>
    </w:tbl>
    <w:p>
      <w:pPr>
        <w:numPr>
          <w:ilvl w:val="0"/>
          <w:numId w:val="0"/>
        </w:numPr>
        <w:ind w:left="840" w:leftChars="0"/>
        <w:rPr>
          <w:rFonts w:hint="eastAsia" w:ascii="宋体" w:hAnsi="宋体" w:cs="宋体"/>
          <w:color w:val="auto"/>
          <w:kern w:val="0"/>
          <w:sz w:val="24"/>
          <w:szCs w:val="24"/>
          <w:highlight w:val="none"/>
          <w:lang w:val="en-US" w:eastAsia="zh-CN" w:bidi="ar-SA"/>
        </w:rPr>
      </w:pPr>
    </w:p>
    <w:p>
      <w:pPr>
        <w:numPr>
          <w:ilvl w:val="0"/>
          <w:numId w:val="0"/>
        </w:numPr>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（二）</w:t>
      </w:r>
      <w:r>
        <w:rPr>
          <w:rFonts w:hint="eastAsia" w:ascii="宋体" w:hAnsi="宋体" w:eastAsia="宋体" w:cs="宋体"/>
          <w:b/>
          <w:bCs/>
          <w:color w:val="auto"/>
          <w:kern w:val="0"/>
          <w:sz w:val="24"/>
          <w:szCs w:val="24"/>
          <w:highlight w:val="none"/>
          <w:lang w:val="en-US" w:eastAsia="zh-CN" w:bidi="ar-SA"/>
        </w:rPr>
        <w:t>工作内容及要求</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成交供应商承担本项目设备的保管、安装、调试及现场技术支持服务，提供全天候的现场服务，包括但不限于下列工作：</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1、服务内容</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（1）执行采购人认可的服务方案并提供相应的设备并负责保管；</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（2）项目中使用的设备在要求的进场时间运输至本项目现场； </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（3）完成设备的安装、调试、维修，保证提供的设备功能完备、运转正常，以满足采购人使用需求；</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（4）本项目完成后进行安全拆除，并将设备运离制作场地。 </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项目中使用的设备的要求</w:t>
      </w:r>
      <w:r>
        <w:rPr>
          <w:rFonts w:hint="eastAsia" w:ascii="宋体" w:hAnsi="宋体" w:cs="宋体"/>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①供应商</w:t>
      </w:r>
      <w:r>
        <w:rPr>
          <w:rFonts w:hint="eastAsia" w:ascii="宋体" w:hAnsi="宋体" w:eastAsia="宋体" w:cs="宋体"/>
          <w:color w:val="auto"/>
          <w:kern w:val="0"/>
          <w:sz w:val="24"/>
          <w:szCs w:val="24"/>
          <w:highlight w:val="none"/>
          <w:lang w:val="en-US" w:eastAsia="zh-CN" w:bidi="ar-SA"/>
        </w:rPr>
        <w:t>应保证提供的所有设备、器材必须符合国际及国家相关质量标准，并确保符合采购人的节目制作要求。</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②供应商</w:t>
      </w:r>
      <w:r>
        <w:rPr>
          <w:rFonts w:hint="eastAsia" w:ascii="宋体" w:hAnsi="宋体" w:eastAsia="宋体" w:cs="宋体"/>
          <w:color w:val="auto"/>
          <w:kern w:val="0"/>
          <w:sz w:val="24"/>
          <w:szCs w:val="24"/>
          <w:highlight w:val="none"/>
          <w:lang w:val="en-US" w:eastAsia="zh-CN" w:bidi="ar-SA"/>
        </w:rPr>
        <w:t>应保证提供的所有设备、器材必须确保达到国际及国家相关安全标准。</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2、技术服务人员要求：</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（1）技术服务人员要求具有安装、调试、现场设备运行保障维护和应急处理设备故障的技术能力；需具有登高作业证和低压电工证</w:t>
      </w:r>
      <w:r>
        <w:rPr>
          <w:rFonts w:hint="eastAsia" w:ascii="宋体" w:hAnsi="宋体" w:cs="宋体"/>
          <w:color w:val="auto"/>
          <w:kern w:val="0"/>
          <w:sz w:val="24"/>
          <w:szCs w:val="24"/>
          <w:highlight w:val="none"/>
          <w:lang w:val="en-US" w:eastAsia="zh-CN" w:bidi="ar-SA"/>
        </w:rPr>
        <w:t>（投标时需提供相关证书复印件）</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（2）技术服务人员需服从采购人的工作安排，严格遵守采购人场地、保卫、消防、防疫、保密等管理制度。</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b/>
          <w:color w:val="auto"/>
          <w:kern w:val="1"/>
          <w:sz w:val="24"/>
          <w:szCs w:val="24"/>
          <w:highlight w:val="none"/>
        </w:rPr>
        <w:t>★</w:t>
      </w:r>
      <w:r>
        <w:rPr>
          <w:rFonts w:hint="eastAsia" w:ascii="宋体" w:hAnsi="宋体" w:eastAsia="宋体" w:cs="宋体"/>
          <w:color w:val="auto"/>
          <w:kern w:val="0"/>
          <w:sz w:val="24"/>
          <w:szCs w:val="24"/>
          <w:highlight w:val="none"/>
          <w:lang w:val="en-US" w:eastAsia="zh-CN" w:bidi="ar-SA"/>
        </w:rPr>
        <w:t>（3）因现场录播宣传需要，无人机近景和远景服务，操作人员需要</w:t>
      </w:r>
      <w:r>
        <w:rPr>
          <w:rFonts w:hint="eastAsia" w:ascii="宋体" w:hAnsi="宋体" w:cs="宋体"/>
          <w:color w:val="auto"/>
          <w:kern w:val="0"/>
          <w:sz w:val="24"/>
          <w:szCs w:val="24"/>
          <w:highlight w:val="none"/>
          <w:lang w:val="en-US" w:eastAsia="zh-CN" w:bidi="ar-SA"/>
        </w:rPr>
        <w:t>具备</w:t>
      </w:r>
      <w:r>
        <w:rPr>
          <w:rFonts w:hint="eastAsia" w:ascii="宋体" w:hAnsi="宋体" w:eastAsia="宋体" w:cs="宋体"/>
          <w:color w:val="auto"/>
          <w:kern w:val="0"/>
          <w:sz w:val="24"/>
          <w:szCs w:val="24"/>
          <w:highlight w:val="none"/>
          <w:lang w:val="en-US" w:eastAsia="zh-CN" w:bidi="ar-SA"/>
        </w:rPr>
        <w:t>中国民航CAAC驾驶员证书</w:t>
      </w:r>
      <w:r>
        <w:rPr>
          <w:rFonts w:hint="eastAsia" w:ascii="宋体" w:hAnsi="宋体" w:cs="宋体"/>
          <w:color w:val="auto"/>
          <w:kern w:val="0"/>
          <w:sz w:val="24"/>
          <w:szCs w:val="24"/>
          <w:highlight w:val="none"/>
          <w:lang w:val="en-US" w:eastAsia="zh-CN" w:bidi="ar-SA"/>
        </w:rPr>
        <w:t>（投标时需提供相关证书复印件）</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3、技术服务质量要求：</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（1）设备安装要求在采购人招标要求的时间按时完成，接受采购人相关管理部门的统一调度，确保设备能按照需求规定的时间准时交付使用；</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（2）成交供应商需随时配合采购人相关管理部门进行现场技术服务，现场服务问题处理要求立即响应；</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（3）展会期间出现的技术问题要求立即解决；</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（4）展会展示结束后，设备拆除要在采购人要求的时间内完成拆除。</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12</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4、技术服务安全要求：</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成交人</w:t>
      </w:r>
      <w:r>
        <w:rPr>
          <w:rFonts w:hint="eastAsia" w:ascii="宋体" w:hAnsi="宋体" w:eastAsia="宋体" w:cs="宋体"/>
          <w:color w:val="auto"/>
          <w:kern w:val="0"/>
          <w:sz w:val="24"/>
          <w:szCs w:val="24"/>
          <w:highlight w:val="none"/>
          <w:lang w:val="en-US" w:eastAsia="zh-CN" w:bidi="ar-SA"/>
        </w:rPr>
        <w:t>在项目实施过程中应遵守节目制作场地的相关安全规定及安全施工规范，在本项目制作过程中因成交供应商及所派驻技术服务人员的原因所造成或遭受的任何人身损害和财产损失，由成交供应商负全责。</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（2）成交供应商全程自行管理自己的设备，制作完成并安全拆除后，由成交供应商自行将设备运输回成交供应商自己的仓库，采购人不提供设备运输和设备保管地。</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14</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5、合理分配搭建、调试时间，保障活动顺利进行；</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6、在项目实施过程中，服务团队应能够与采购人及时沟通，并充分尊重委托方意愿，配合采购人完成各项工作。</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16</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7、负责活动场地搭建、组织实施等环节的安全责任，活动场地搭建要确保安全、环保，项目实施过程中要加强管理，确保安全，若建设及服务期间发生人员伤亡或相关事故相关责任及费用均由成交供应商承担；</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17</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8、在项目实施过程中，严格遵守国家相关保密与安全法律法规，遵循采购人各项安全保密制度和规章；</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9、要求服务工作人员对工作中涉及到的用户的数据、文件等任何资料进行保密。因工作人员的行为造成泄密等问题由成交单位承担相应的责任；</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10、因施工场地的特殊性，采购人不提供食宿且不允许成交人在施工地私自搭建临时宿舍等，成交人应统筹考虑此项费用；</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宋体" w:hAnsi="宋体" w:cs="宋体"/>
          <w:b/>
          <w:bCs/>
          <w:color w:val="auto"/>
          <w:kern w:val="0"/>
          <w:sz w:val="24"/>
          <w:szCs w:val="24"/>
          <w:highlight w:val="none"/>
          <w:lang w:val="en-US" w:eastAsia="zh-CN" w:bidi="ar-SA"/>
        </w:rPr>
        <w:t>0</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11、施工期间严禁发生偷盗等违法犯罪行为或有损于采购人形象的情况。如发生上述情况，采购人有权取消其成交资格并按照合同条款及相关法律法规追究成交。</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21</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12、随机配备的备品备件、易损件、另配件、专用工具、辅助性物品充足，给予项目技术保障。</w:t>
      </w:r>
      <w:r>
        <w:rPr>
          <w:rFonts w:hint="eastAsia" w:ascii="宋体" w:hAnsi="宋体" w:eastAsia="宋体" w:cs="宋体"/>
          <w:b/>
          <w:bCs/>
          <w:color w:val="auto"/>
          <w:kern w:val="0"/>
          <w:sz w:val="24"/>
          <w:szCs w:val="24"/>
          <w:highlight w:val="none"/>
          <w:lang w:val="en-US" w:eastAsia="zh-CN" w:bidi="ar-SA"/>
        </w:rPr>
        <w:t>（</w:t>
      </w:r>
      <w:r>
        <w:rPr>
          <w:rFonts w:hint="eastAsia" w:asciiTheme="minorEastAsia" w:hAnsiTheme="minorEastAsia" w:eastAsiaTheme="minorEastAsia" w:cstheme="minorEastAsia"/>
          <w:b/>
          <w:bCs/>
          <w:color w:val="auto"/>
          <w:sz w:val="24"/>
          <w:szCs w:val="24"/>
          <w:highlight w:val="none"/>
          <w:lang w:eastAsia="zh-CN"/>
        </w:rPr>
        <w:t>评审项</w:t>
      </w: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ascii="宋体" w:hAnsi="宋体" w:cs="宋体"/>
          <w:b/>
          <w:bCs/>
          <w:color w:val="auto"/>
          <w:kern w:val="0"/>
          <w:sz w:val="24"/>
          <w:szCs w:val="24"/>
          <w:highlight w:val="none"/>
        </w:rPr>
      </w:pP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三、商务条件</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1、交付地点：采购人指定地点 </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2、交付时间：自合同签订之日起20日</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3、交付条件：验收合格。</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4、是否收取履约保证金：否</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rPr>
        <w:t>5、是否邀请投标人参与验收：否</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ascii="宋体" w:hAnsi="宋体" w:cs="Times New Roman"/>
          <w:b/>
          <w:color w:val="auto"/>
          <w:sz w:val="24"/>
          <w:szCs w:val="24"/>
          <w:highlight w:val="none"/>
        </w:rPr>
      </w:pPr>
      <w:r>
        <w:rPr>
          <w:rFonts w:ascii="宋体" w:hAnsi="宋体" w:cs="宋体"/>
          <w:b/>
          <w:bCs/>
          <w:color w:val="auto"/>
          <w:kern w:val="0"/>
          <w:sz w:val="24"/>
          <w:szCs w:val="24"/>
          <w:highlight w:val="none"/>
        </w:rPr>
        <w:t>6、验收方式数据表格</w:t>
      </w:r>
    </w:p>
    <w:tbl>
      <w:tblPr>
        <w:tblStyle w:val="21"/>
        <w:tblW w:w="9181" w:type="dxa"/>
        <w:jc w:val="center"/>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14"/>
        <w:gridCol w:w="7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Header/>
          <w:tblCellSpacing w:w="0" w:type="dxa"/>
          <w:jc w:val="center"/>
        </w:trPr>
        <w:tc>
          <w:tcPr>
            <w:tcW w:w="1214" w:type="dxa"/>
            <w:vAlign w:val="center"/>
          </w:tcPr>
          <w:p>
            <w:pPr>
              <w:widowControl/>
              <w:jc w:val="center"/>
              <w:rPr>
                <w:color w:val="auto"/>
                <w:highlight w:val="none"/>
              </w:rPr>
            </w:pPr>
            <w:r>
              <w:rPr>
                <w:rFonts w:ascii="宋体" w:hAnsi="宋体" w:cs="宋体"/>
                <w:color w:val="auto"/>
                <w:kern w:val="0"/>
                <w:sz w:val="24"/>
                <w:highlight w:val="none"/>
              </w:rPr>
              <w:t>验收期次</w:t>
            </w:r>
          </w:p>
        </w:tc>
        <w:tc>
          <w:tcPr>
            <w:tcW w:w="7967" w:type="dxa"/>
            <w:vAlign w:val="center"/>
          </w:tcPr>
          <w:p>
            <w:pPr>
              <w:widowControl/>
              <w:jc w:val="center"/>
              <w:rPr>
                <w:color w:val="auto"/>
                <w:highlight w:val="none"/>
              </w:rPr>
            </w:pPr>
            <w:r>
              <w:rPr>
                <w:rFonts w:ascii="宋体" w:hAnsi="宋体" w:cs="宋体"/>
                <w:color w:val="auto"/>
                <w:kern w:val="0"/>
                <w:sz w:val="24"/>
                <w:highlight w:val="none"/>
              </w:rPr>
              <w:t>验收期次说明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214" w:type="dxa"/>
            <w:vAlign w:val="center"/>
          </w:tcPr>
          <w:p>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1</w:t>
            </w:r>
          </w:p>
        </w:tc>
        <w:tc>
          <w:tcPr>
            <w:tcW w:w="7967" w:type="dxa"/>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1、期次1，说明：</w:t>
            </w:r>
            <w:r>
              <w:rPr>
                <w:rFonts w:hint="eastAsia" w:ascii="宋体" w:hAnsi="宋体" w:cs="宋体"/>
                <w:color w:val="auto"/>
                <w:kern w:val="0"/>
                <w:sz w:val="24"/>
                <w:highlight w:val="none"/>
                <w:lang w:eastAsia="zh-CN"/>
              </w:rPr>
              <w:t>成交人</w:t>
            </w:r>
            <w:r>
              <w:rPr>
                <w:rFonts w:hint="eastAsia" w:ascii="宋体" w:hAnsi="宋体" w:eastAsia="宋体" w:cs="宋体"/>
                <w:color w:val="auto"/>
                <w:kern w:val="0"/>
                <w:sz w:val="24"/>
                <w:highlight w:val="none"/>
              </w:rPr>
              <w:t>应按磋商文件要求完成展区设计和物料搭建的任务内容，经负责人初次验收合格后，再经采购人组织进行验收，验收通过后方可完成交付。</w:t>
            </w:r>
          </w:p>
        </w:tc>
      </w:tr>
    </w:tbl>
    <w:tbl>
      <w:tblPr>
        <w:tblStyle w:val="21"/>
        <w:tblpPr w:leftFromText="180" w:rightFromText="180" w:vertAnchor="text" w:horzAnchor="page" w:tblpX="1336" w:tblpY="400"/>
        <w:tblOverlap w:val="never"/>
        <w:tblW w:w="9285" w:type="dxa"/>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1350"/>
        <w:gridCol w:w="66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Header/>
          <w:tblCellSpacing w:w="0" w:type="dxa"/>
        </w:trPr>
        <w:tc>
          <w:tcPr>
            <w:tcW w:w="1290" w:type="dxa"/>
            <w:vAlign w:val="center"/>
          </w:tcPr>
          <w:p>
            <w:pPr>
              <w:widowControl/>
              <w:jc w:val="center"/>
              <w:rPr>
                <w:color w:val="auto"/>
                <w:sz w:val="24"/>
                <w:szCs w:val="24"/>
                <w:highlight w:val="none"/>
              </w:rPr>
            </w:pPr>
            <w:r>
              <w:rPr>
                <w:rFonts w:ascii="宋体" w:hAnsi="宋体" w:cs="宋体"/>
                <w:color w:val="auto"/>
                <w:kern w:val="0"/>
                <w:sz w:val="24"/>
                <w:szCs w:val="24"/>
                <w:highlight w:val="none"/>
              </w:rPr>
              <w:t>支付期次</w:t>
            </w:r>
          </w:p>
        </w:tc>
        <w:tc>
          <w:tcPr>
            <w:tcW w:w="1350" w:type="dxa"/>
            <w:vAlign w:val="center"/>
          </w:tcPr>
          <w:p>
            <w:pPr>
              <w:widowControl/>
              <w:jc w:val="center"/>
              <w:rPr>
                <w:color w:val="auto"/>
                <w:sz w:val="24"/>
                <w:szCs w:val="24"/>
                <w:highlight w:val="none"/>
              </w:rPr>
            </w:pPr>
            <w:r>
              <w:rPr>
                <w:rFonts w:ascii="宋体" w:hAnsi="宋体" w:cs="宋体"/>
                <w:color w:val="auto"/>
                <w:kern w:val="0"/>
                <w:sz w:val="24"/>
                <w:szCs w:val="24"/>
                <w:highlight w:val="none"/>
              </w:rPr>
              <w:t>支付比例(%)</w:t>
            </w:r>
          </w:p>
        </w:tc>
        <w:tc>
          <w:tcPr>
            <w:tcW w:w="6645" w:type="dxa"/>
            <w:vAlign w:val="center"/>
          </w:tcPr>
          <w:p>
            <w:pPr>
              <w:widowControl/>
              <w:jc w:val="left"/>
              <w:rPr>
                <w:color w:val="auto"/>
                <w:sz w:val="24"/>
                <w:szCs w:val="24"/>
                <w:highlight w:val="none"/>
              </w:rPr>
            </w:pPr>
            <w:r>
              <w:rPr>
                <w:rFonts w:ascii="宋体" w:hAnsi="宋体" w:cs="宋体"/>
                <w:color w:val="auto"/>
                <w:kern w:val="0"/>
                <w:sz w:val="24"/>
                <w:szCs w:val="24"/>
                <w:highlight w:val="none"/>
              </w:rPr>
              <w:t>支付期次说明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trPr>
        <w:tc>
          <w:tcPr>
            <w:tcW w:w="1290" w:type="dxa"/>
            <w:vAlign w:val="top"/>
          </w:tcPr>
          <w:p>
            <w:pPr>
              <w:pStyle w:val="61"/>
              <w:jc w:val="left"/>
              <w:rPr>
                <w:rFonts w:hint="eastAsia" w:eastAsia="宋体"/>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350" w:type="dxa"/>
            <w:vAlign w:val="top"/>
          </w:tcPr>
          <w:p>
            <w:pPr>
              <w:pStyle w:val="61"/>
              <w:jc w:val="left"/>
              <w:rPr>
                <w:rFonts w:hint="default" w:eastAsia="宋体"/>
                <w:color w:val="auto"/>
                <w:sz w:val="24"/>
                <w:szCs w:val="24"/>
                <w:highlight w:val="none"/>
                <w:lang w:val="en-US" w:eastAsia="zh-CN"/>
              </w:rPr>
            </w:pPr>
            <w:r>
              <w:rPr>
                <w:rFonts w:hint="eastAsia"/>
                <w:color w:val="auto"/>
                <w:sz w:val="24"/>
                <w:szCs w:val="24"/>
                <w:highlight w:val="none"/>
                <w:lang w:val="en-US" w:eastAsia="zh-CN"/>
              </w:rPr>
              <w:t>100</w:t>
            </w:r>
          </w:p>
        </w:tc>
        <w:tc>
          <w:tcPr>
            <w:tcW w:w="6645" w:type="dxa"/>
            <w:vAlign w:val="top"/>
          </w:tcPr>
          <w:p>
            <w:pPr>
              <w:pStyle w:val="61"/>
              <w:jc w:val="left"/>
              <w:rPr>
                <w:rFonts w:hint="eastAsia" w:eastAsia="宋体"/>
                <w:color w:val="auto"/>
                <w:sz w:val="24"/>
                <w:szCs w:val="24"/>
                <w:highlight w:val="none"/>
                <w:lang w:eastAsia="zh-CN"/>
              </w:rPr>
            </w:pPr>
            <w:r>
              <w:rPr>
                <w:rFonts w:hint="eastAsia"/>
                <w:color w:val="auto"/>
                <w:sz w:val="24"/>
                <w:szCs w:val="24"/>
                <w:highlight w:val="none"/>
              </w:rPr>
              <w:t>1、展区设计和物料搭建展会结束后</w:t>
            </w:r>
            <w:r>
              <w:rPr>
                <w:rFonts w:hint="eastAsia"/>
                <w:color w:val="auto"/>
                <w:sz w:val="24"/>
                <w:szCs w:val="24"/>
                <w:highlight w:val="none"/>
                <w:lang w:eastAsia="zh-CN"/>
              </w:rPr>
              <w:t>成交人</w:t>
            </w:r>
            <w:r>
              <w:rPr>
                <w:rFonts w:hint="eastAsia"/>
                <w:color w:val="auto"/>
                <w:sz w:val="24"/>
                <w:szCs w:val="24"/>
                <w:highlight w:val="none"/>
              </w:rPr>
              <w:t>开具普通发票，达到付款条件起30日内，支付合同总金额的100.00%</w:t>
            </w:r>
            <w:r>
              <w:rPr>
                <w:rFonts w:hint="eastAsia"/>
                <w:color w:val="auto"/>
                <w:sz w:val="24"/>
                <w:szCs w:val="24"/>
                <w:highlight w:val="none"/>
                <w:lang w:eastAsia="zh-CN"/>
              </w:rPr>
              <w:t>。</w:t>
            </w:r>
          </w:p>
        </w:tc>
      </w:tr>
    </w:tbl>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7</w:t>
      </w:r>
      <w:r>
        <w:rPr>
          <w:rFonts w:hint="eastAsia" w:ascii="宋体" w:hAnsi="宋体" w:cs="宋体"/>
          <w:b/>
          <w:bCs/>
          <w:color w:val="auto"/>
          <w:kern w:val="0"/>
          <w:sz w:val="24"/>
          <w:szCs w:val="24"/>
          <w:highlight w:val="none"/>
        </w:rPr>
        <w:t>、支付方式数据表格</w:t>
      </w:r>
      <w:r>
        <w:rPr>
          <w:rFonts w:ascii="宋体" w:hAnsi="宋体" w:cs="宋体"/>
          <w:b/>
          <w:bCs/>
          <w:color w:val="auto"/>
          <w:kern w:val="0"/>
          <w:sz w:val="24"/>
          <w:szCs w:val="24"/>
          <w:highlight w:val="none"/>
        </w:rPr>
        <w:t xml:space="preserve"> </w:t>
      </w:r>
    </w:p>
    <w:p>
      <w:pPr>
        <w:pStyle w:val="1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textAlignment w:val="auto"/>
        <w:rPr>
          <w:rFonts w:hint="eastAsia" w:ascii="宋体" w:hAnsi="宋体" w:eastAsia="宋体" w:cs="宋体"/>
          <w:color w:val="auto"/>
          <w:sz w:val="24"/>
          <w:szCs w:val="24"/>
          <w:highlight w:val="none"/>
        </w:rPr>
      </w:pPr>
      <w:r>
        <w:rPr>
          <w:rFonts w:hint="eastAsia" w:ascii="宋体" w:hAnsi="宋体" w:cs="宋体"/>
          <w:b/>
          <w:bCs w:val="0"/>
          <w:color w:val="auto"/>
          <w:sz w:val="24"/>
          <w:szCs w:val="24"/>
          <w:highlight w:val="none"/>
        </w:rPr>
        <w:t>8、</w:t>
      </w:r>
      <w:r>
        <w:rPr>
          <w:rFonts w:hint="eastAsia" w:ascii="宋体" w:hAnsi="宋体" w:eastAsia="宋体" w:cs="宋体"/>
          <w:color w:val="auto"/>
          <w:sz w:val="24"/>
          <w:szCs w:val="24"/>
          <w:highlight w:val="none"/>
        </w:rPr>
        <w:t>违约责任</w:t>
      </w:r>
    </w:p>
    <w:p>
      <w:pPr>
        <w:pStyle w:val="1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1因</w:t>
      </w:r>
      <w:r>
        <w:rPr>
          <w:rFonts w:hint="eastAsia" w:cs="宋体"/>
          <w:color w:val="auto"/>
          <w:sz w:val="24"/>
          <w:szCs w:val="24"/>
          <w:highlight w:val="none"/>
          <w:lang w:eastAsia="zh-CN"/>
        </w:rPr>
        <w:t>成交人</w:t>
      </w:r>
      <w:r>
        <w:rPr>
          <w:rFonts w:hint="eastAsia" w:ascii="宋体" w:hAnsi="宋体" w:eastAsia="宋体" w:cs="宋体"/>
          <w:color w:val="auto"/>
          <w:sz w:val="24"/>
          <w:szCs w:val="24"/>
          <w:highlight w:val="none"/>
        </w:rPr>
        <w:t>原因造成采购合同无法按时签订，视为</w:t>
      </w:r>
      <w:r>
        <w:rPr>
          <w:rFonts w:hint="eastAsia" w:cs="宋体"/>
          <w:color w:val="auto"/>
          <w:sz w:val="24"/>
          <w:szCs w:val="24"/>
          <w:highlight w:val="none"/>
          <w:lang w:eastAsia="zh-CN"/>
        </w:rPr>
        <w:t>成交人</w:t>
      </w:r>
      <w:r>
        <w:rPr>
          <w:rFonts w:hint="eastAsia" w:ascii="宋体" w:hAnsi="宋体" w:eastAsia="宋体" w:cs="宋体"/>
          <w:color w:val="auto"/>
          <w:sz w:val="24"/>
          <w:szCs w:val="24"/>
          <w:highlight w:val="none"/>
        </w:rPr>
        <w:t>违约，采购人有权没收其投标保证金；采购合同之后，</w:t>
      </w:r>
      <w:r>
        <w:rPr>
          <w:rFonts w:hint="eastAsia" w:cs="宋体"/>
          <w:color w:val="auto"/>
          <w:sz w:val="24"/>
          <w:szCs w:val="24"/>
          <w:highlight w:val="none"/>
          <w:lang w:eastAsia="zh-CN"/>
        </w:rPr>
        <w:t>成交人</w:t>
      </w:r>
      <w:r>
        <w:rPr>
          <w:rFonts w:hint="eastAsia" w:ascii="宋体" w:hAnsi="宋体" w:eastAsia="宋体" w:cs="宋体"/>
          <w:color w:val="auto"/>
          <w:sz w:val="24"/>
          <w:szCs w:val="24"/>
          <w:highlight w:val="none"/>
        </w:rPr>
        <w:t>要求解除合同的，视为</w:t>
      </w:r>
      <w:r>
        <w:rPr>
          <w:rFonts w:hint="eastAsia" w:cs="宋体"/>
          <w:color w:val="auto"/>
          <w:sz w:val="24"/>
          <w:szCs w:val="24"/>
          <w:highlight w:val="none"/>
          <w:lang w:eastAsia="zh-CN"/>
        </w:rPr>
        <w:t>成交人</w:t>
      </w:r>
      <w:r>
        <w:rPr>
          <w:rFonts w:hint="eastAsia" w:ascii="宋体" w:hAnsi="宋体" w:eastAsia="宋体" w:cs="宋体"/>
          <w:color w:val="auto"/>
          <w:sz w:val="24"/>
          <w:szCs w:val="24"/>
          <w:highlight w:val="none"/>
        </w:rPr>
        <w:t>违约，中标还需另行支付相应的赔偿。</w:t>
      </w:r>
    </w:p>
    <w:p>
      <w:pPr>
        <w:pStyle w:val="1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2因</w:t>
      </w:r>
      <w:r>
        <w:rPr>
          <w:rFonts w:hint="eastAsia" w:cs="宋体"/>
          <w:color w:val="auto"/>
          <w:sz w:val="24"/>
          <w:szCs w:val="24"/>
          <w:highlight w:val="none"/>
          <w:lang w:eastAsia="zh-CN"/>
        </w:rPr>
        <w:t>成交人</w:t>
      </w:r>
      <w:r>
        <w:rPr>
          <w:rFonts w:hint="eastAsia" w:ascii="宋体" w:hAnsi="宋体" w:eastAsia="宋体" w:cs="宋体"/>
          <w:color w:val="auto"/>
          <w:sz w:val="24"/>
          <w:szCs w:val="24"/>
          <w:highlight w:val="none"/>
        </w:rPr>
        <w:t>原因发生重大质量事故，除依约承担赔偿责任外，还将按有关质量管理办法规定执行。同时，采购人有权保留更换</w:t>
      </w:r>
      <w:r>
        <w:rPr>
          <w:rFonts w:hint="eastAsia" w:cs="宋体"/>
          <w:color w:val="auto"/>
          <w:sz w:val="24"/>
          <w:szCs w:val="24"/>
          <w:highlight w:val="none"/>
          <w:lang w:eastAsia="zh-CN"/>
        </w:rPr>
        <w:t>成交人</w:t>
      </w:r>
      <w:r>
        <w:rPr>
          <w:rFonts w:hint="eastAsia" w:ascii="宋体" w:hAnsi="宋体" w:eastAsia="宋体" w:cs="宋体"/>
          <w:color w:val="auto"/>
          <w:sz w:val="24"/>
          <w:szCs w:val="24"/>
          <w:highlight w:val="none"/>
        </w:rPr>
        <w:t>的权利，并报相关行政主管部门处罚。</w:t>
      </w:r>
    </w:p>
    <w:p>
      <w:pPr>
        <w:pStyle w:val="1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w:t>
      </w:r>
      <w:r>
        <w:rPr>
          <w:rFonts w:hint="eastAsia" w:cs="宋体"/>
          <w:color w:val="auto"/>
          <w:sz w:val="24"/>
          <w:szCs w:val="24"/>
          <w:highlight w:val="none"/>
          <w:lang w:eastAsia="zh-CN"/>
        </w:rPr>
        <w:t>成交人</w:t>
      </w:r>
      <w:r>
        <w:rPr>
          <w:rFonts w:hint="eastAsia" w:ascii="宋体" w:hAnsi="宋体" w:eastAsia="宋体" w:cs="宋体"/>
          <w:color w:val="auto"/>
          <w:sz w:val="24"/>
          <w:szCs w:val="24"/>
          <w:highlight w:val="none"/>
        </w:rPr>
        <w:t>，给采购人造成的损失，还应承担赔偿责任。</w:t>
      </w:r>
    </w:p>
    <w:p>
      <w:pPr>
        <w:pStyle w:val="1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4在明确违约责任后，</w:t>
      </w:r>
      <w:r>
        <w:rPr>
          <w:rFonts w:hint="eastAsia" w:cs="宋体"/>
          <w:color w:val="auto"/>
          <w:sz w:val="24"/>
          <w:szCs w:val="24"/>
          <w:highlight w:val="none"/>
          <w:lang w:eastAsia="zh-CN"/>
        </w:rPr>
        <w:t>成交人</w:t>
      </w:r>
      <w:r>
        <w:rPr>
          <w:rFonts w:hint="eastAsia" w:ascii="宋体" w:hAnsi="宋体" w:eastAsia="宋体" w:cs="宋体"/>
          <w:color w:val="auto"/>
          <w:sz w:val="24"/>
          <w:szCs w:val="24"/>
          <w:highlight w:val="none"/>
        </w:rPr>
        <w:t>应在接到书面通知书起七天内支付违约金、赔偿金等。</w:t>
      </w:r>
    </w:p>
    <w:p>
      <w:pPr>
        <w:pStyle w:val="1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1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cs="宋体"/>
          <w:b w:val="0"/>
          <w:bCs/>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6除合同规定外，如果</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方由于自身的原因未能按期履行合同，采购人有权按每延期一天收取合同价款0.5%的违约金，但总额不得超过合同价款的3%。该部分违约金采购人有权直接从对</w:t>
      </w:r>
      <w:r>
        <w:rPr>
          <w:rFonts w:hint="eastAsia" w:cs="宋体"/>
          <w:color w:val="auto"/>
          <w:sz w:val="24"/>
          <w:szCs w:val="24"/>
          <w:highlight w:val="none"/>
          <w:lang w:eastAsia="zh-CN"/>
        </w:rPr>
        <w:t>成交方</w:t>
      </w:r>
      <w:r>
        <w:rPr>
          <w:rFonts w:hint="eastAsia" w:ascii="宋体" w:hAnsi="宋体" w:eastAsia="宋体" w:cs="宋体"/>
          <w:color w:val="auto"/>
          <w:sz w:val="24"/>
          <w:szCs w:val="24"/>
          <w:highlight w:val="none"/>
        </w:rPr>
        <w:t>的应付款中扣减。如果达到最高限额，采购人有权终止合同。</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2" w:firstLineChars="200"/>
        <w:jc w:val="both"/>
        <w:textAlignment w:val="auto"/>
        <w:rPr>
          <w:rFonts w:hint="default" w:ascii="宋体" w:hAnsi="宋体" w:eastAsia="宋体" w:cs="宋体"/>
          <w:b/>
          <w:bCs w:val="0"/>
          <w:color w:val="auto"/>
          <w:sz w:val="24"/>
          <w:szCs w:val="24"/>
          <w:highlight w:val="none"/>
          <w:lang w:val="en-US" w:eastAsia="zh-CN"/>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2" w:firstLineChars="200"/>
        <w:jc w:val="both"/>
        <w:textAlignment w:val="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四、其他事项</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1、除招标文件另有规定外，若出现有关法律、法规和规章有强制性规定但招标文件未列明的情形，则</w:t>
      </w:r>
      <w:r>
        <w:rPr>
          <w:rFonts w:hint="eastAsia" w:cs="宋体"/>
          <w:b w:val="0"/>
          <w:bCs/>
          <w:color w:val="auto"/>
          <w:sz w:val="24"/>
          <w:szCs w:val="24"/>
          <w:highlight w:val="none"/>
          <w:lang w:eastAsia="zh-CN"/>
        </w:rPr>
        <w:t>供应商</w:t>
      </w:r>
      <w:r>
        <w:rPr>
          <w:rFonts w:hint="eastAsia" w:ascii="宋体" w:hAnsi="宋体" w:cs="宋体"/>
          <w:b w:val="0"/>
          <w:bCs/>
          <w:color w:val="auto"/>
          <w:sz w:val="24"/>
          <w:szCs w:val="24"/>
          <w:highlight w:val="none"/>
        </w:rPr>
        <w:t>应按照有关法律、法规和规章强制性规定执行。</w:t>
      </w: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hint="eastAsia" w:ascii="宋体" w:hAnsi="宋体" w:eastAsia="宋体" w:cs="宋体"/>
          <w:color w:val="auto"/>
          <w:kern w:val="0"/>
          <w:sz w:val="24"/>
          <w:szCs w:val="24"/>
          <w:highlight w:val="none"/>
          <w:lang w:val="en-US" w:eastAsia="zh-CN"/>
        </w:rPr>
      </w:pPr>
      <w:r>
        <w:rPr>
          <w:rFonts w:hint="eastAsia" w:ascii="宋体" w:hAnsi="宋体" w:cs="宋体"/>
          <w:b w:val="0"/>
          <w:bCs/>
          <w:color w:val="auto"/>
          <w:sz w:val="24"/>
          <w:szCs w:val="24"/>
          <w:highlight w:val="none"/>
          <w:lang w:val="en-US" w:eastAsia="zh-CN"/>
        </w:rPr>
        <w:t xml:space="preserve">     2</w:t>
      </w:r>
      <w:r>
        <w:rPr>
          <w:rFonts w:hint="eastAsia" w:ascii="宋体" w:hAnsi="宋体" w:cs="宋体"/>
          <w:b w:val="0"/>
          <w:bCs/>
          <w:color w:val="auto"/>
          <w:sz w:val="24"/>
          <w:szCs w:val="24"/>
          <w:highlight w:val="none"/>
        </w:rPr>
        <w:t>、其他：</w:t>
      </w:r>
      <w:r>
        <w:rPr>
          <w:rFonts w:ascii="宋体" w:hAnsi="宋体" w:cs="宋体"/>
          <w:color w:val="auto"/>
          <w:kern w:val="0"/>
          <w:sz w:val="24"/>
          <w:szCs w:val="24"/>
          <w:highlight w:val="none"/>
        </w:rPr>
        <w:t> </w:t>
      </w:r>
      <w:r>
        <w:rPr>
          <w:rFonts w:hint="eastAsia" w:ascii="宋体" w:hAnsi="宋体" w:cs="宋体"/>
          <w:color w:val="auto"/>
          <w:kern w:val="0"/>
          <w:sz w:val="24"/>
          <w:szCs w:val="24"/>
          <w:highlight w:val="none"/>
          <w:lang w:val="en-US" w:eastAsia="zh-CN"/>
        </w:rPr>
        <w:t>无</w:t>
      </w:r>
    </w:p>
    <w:p>
      <w:pPr>
        <w:widowControl/>
        <w:spacing w:line="500" w:lineRule="exact"/>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br w:type="page"/>
      </w:r>
      <w:r>
        <w:rPr>
          <w:rFonts w:ascii="宋体" w:hAnsi="宋体" w:cs="宋体"/>
          <w:b/>
          <w:bCs/>
          <w:color w:val="auto"/>
          <w:kern w:val="0"/>
          <w:sz w:val="36"/>
          <w:szCs w:val="36"/>
          <w:highlight w:val="none"/>
        </w:rPr>
        <w:t>第四章  合同主要条款及格式</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编制说明</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1、签订合同应遵守《中华人民共和国政府采购法》、《中华人民共和国民法典》。</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widowControl/>
        <w:spacing w:line="440" w:lineRule="exac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3.本章节所附的合同主要条款及格式为参考文本，如果因为项目实际特点不能适用，则可由甲乙双方在合同签订阶段可通过友好协商进行约定。</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甲方：</w:t>
      </w:r>
      <w:r>
        <w:rPr>
          <w:rFonts w:ascii="宋体" w:hAnsi="宋体" w:cs="宋体"/>
          <w:color w:val="auto"/>
          <w:kern w:val="0"/>
          <w:sz w:val="24"/>
          <w:szCs w:val="24"/>
          <w:highlight w:val="none"/>
          <w:u w:val="single"/>
        </w:rPr>
        <w:t>（采购人全称）</w:t>
      </w:r>
      <w:r>
        <w:rPr>
          <w:rFonts w:hint="eastAsia" w:ascii="宋体" w:hAnsi="宋体" w:cs="宋体"/>
          <w:color w:val="auto"/>
          <w:kern w:val="0"/>
          <w:sz w:val="24"/>
          <w:szCs w:val="24"/>
          <w:highlight w:val="none"/>
          <w:u w:val="single"/>
        </w:rPr>
        <w:t xml:space="preserve">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乙方：</w:t>
      </w:r>
      <w:r>
        <w:rPr>
          <w:rFonts w:ascii="宋体" w:hAnsi="宋体" w:cs="宋体"/>
          <w:color w:val="auto"/>
          <w:kern w:val="0"/>
          <w:sz w:val="24"/>
          <w:szCs w:val="24"/>
          <w:highlight w:val="none"/>
          <w:u w:val="single"/>
        </w:rPr>
        <w:t>（成交供应商全称）</w:t>
      </w:r>
      <w:r>
        <w:rPr>
          <w:rFonts w:hint="eastAsia" w:ascii="宋体" w:hAnsi="宋体" w:cs="宋体"/>
          <w:color w:val="auto"/>
          <w:kern w:val="0"/>
          <w:sz w:val="24"/>
          <w:szCs w:val="24"/>
          <w:highlight w:val="none"/>
          <w:u w:val="single"/>
        </w:rPr>
        <w:t xml:space="preserve">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根据项目编号为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w:t>
      </w:r>
      <w:r>
        <w:rPr>
          <w:rFonts w:ascii="宋体" w:hAnsi="宋体" w:cs="宋体"/>
          <w:color w:val="auto"/>
          <w:kern w:val="0"/>
          <w:sz w:val="24"/>
          <w:szCs w:val="24"/>
          <w:highlight w:val="none"/>
          <w:u w:val="single"/>
        </w:rPr>
        <w:t>（填写“项目名称”）</w:t>
      </w:r>
      <w:r>
        <w:rPr>
          <w:rFonts w:ascii="宋体" w:hAnsi="宋体" w:cs="宋体"/>
          <w:color w:val="auto"/>
          <w:kern w:val="0"/>
          <w:sz w:val="24"/>
          <w:szCs w:val="24"/>
          <w:highlight w:val="none"/>
        </w:rPr>
        <w:t>项目（以下简称：“本项目”）的磋商结果，乙方为成交供应商。现经甲乙双方友好协商，就以下事项达成一致并签订本合同：</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1、下列合同文件是构成本合同不可分割的部分：</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1.1合同条款；</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1.2磋商文件、乙方的响应文件；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1.3其他文件或材料：□无。□（若有联合协议或分包意向协议）。</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2、合同标的</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3、合同总金额</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3.1合同总金额为人民币大写：</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元（￥</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4、合同标的交付时间、地点和条件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4.1交付时间：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4.2交付地点：</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4.3交付条件：</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5、合同标的应符合磋商文件、乙方响应文件的规定或约定，具体如下：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6、验收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6.1验收应按照磋商文件、乙方响应文件的规定或约定进行，具体如下：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6.2本项目是否邀请其他供应商参与验收：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□不邀请。□邀请，具体如下：</w:t>
      </w:r>
      <w:r>
        <w:rPr>
          <w:rFonts w:ascii="宋体" w:hAnsi="宋体" w:cs="宋体"/>
          <w:color w:val="auto"/>
          <w:kern w:val="0"/>
          <w:sz w:val="24"/>
          <w:szCs w:val="24"/>
          <w:highlight w:val="none"/>
          <w:u w:val="single"/>
        </w:rPr>
        <w:t>（按照磋商文件规定填写）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7、合同款项的支付应按照磋商文件的规定进行，具体如下：</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（根据实际情况填写，可以是表格或文字描述，包括一次性支付或分期支付等）</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8、履约保证金</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□无。□有，具体如下：</w:t>
      </w:r>
      <w:r>
        <w:rPr>
          <w:rFonts w:ascii="宋体" w:hAnsi="宋体" w:cs="宋体"/>
          <w:color w:val="auto"/>
          <w:kern w:val="0"/>
          <w:sz w:val="24"/>
          <w:szCs w:val="24"/>
          <w:highlight w:val="none"/>
          <w:u w:val="single"/>
        </w:rPr>
        <w:t>（按照磋商文件规定填写）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9、合同有效期</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10、违约责任</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（根据实际情况填写，可以是表格或文字描述）</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11、知识产权</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12、解决争议的方法</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12.1甲、乙双方协商解决。</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12.2若协商解决不成，则通过下列途径之一解决：</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□提交仲裁委员会仲裁，具体如下：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□向人民法院提起诉讼，具体如下：</w:t>
      </w: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13、不可抗力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14、合同条款</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u w:val="single"/>
        </w:rPr>
        <w:t>（根据实际情况填写）</w:t>
      </w:r>
      <w:r>
        <w:rPr>
          <w:rFonts w:ascii="宋体" w:hAnsi="宋体" w:cs="宋体"/>
          <w:color w:val="auto"/>
          <w:kern w:val="0"/>
          <w:sz w:val="24"/>
          <w:szCs w:val="24"/>
          <w:highlight w:val="none"/>
        </w:rPr>
        <w:t>。</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15、其他约定</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15.1合同文件与本合同具有同等法律效力。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15.2本合同未尽事宜，双方可另行补充。</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15.3本合同自签订之日起生效。</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15.4本合同一式</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份，经双方授权代表签字并盖章后生效。甲方、乙方各执</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份，送</w:t>
      </w:r>
      <w:r>
        <w:rPr>
          <w:rFonts w:ascii="宋体" w:hAnsi="宋体" w:cs="宋体"/>
          <w:color w:val="auto"/>
          <w:kern w:val="0"/>
          <w:sz w:val="24"/>
          <w:szCs w:val="24"/>
          <w:highlight w:val="none"/>
          <w:u w:val="single"/>
        </w:rPr>
        <w:t>（填写需要备案的监管部门的全称）</w:t>
      </w:r>
      <w:r>
        <w:rPr>
          <w:rFonts w:ascii="宋体" w:hAnsi="宋体" w:cs="宋体"/>
          <w:color w:val="auto"/>
          <w:kern w:val="0"/>
          <w:sz w:val="24"/>
          <w:szCs w:val="24"/>
          <w:highlight w:val="none"/>
        </w:rPr>
        <w:t>备案</w:t>
      </w:r>
      <w:r>
        <w:rPr>
          <w:rFonts w:ascii="宋体" w:hAnsi="宋体" w:cs="宋体"/>
          <w:color w:val="auto"/>
          <w:kern w:val="0"/>
          <w:sz w:val="24"/>
          <w:szCs w:val="24"/>
          <w:highlight w:val="none"/>
          <w:u w:val="single"/>
        </w:rPr>
        <w:t>（填写具体份数）</w:t>
      </w:r>
      <w:r>
        <w:rPr>
          <w:rFonts w:ascii="宋体" w:hAnsi="宋体" w:cs="宋体"/>
          <w:color w:val="auto"/>
          <w:kern w:val="0"/>
          <w:sz w:val="24"/>
          <w:szCs w:val="24"/>
          <w:highlight w:val="none"/>
        </w:rPr>
        <w:t>份，具有同等效力。</w:t>
      </w:r>
    </w:p>
    <w:p>
      <w:pPr>
        <w:widowControl/>
        <w:spacing w:line="44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15.5其他：□无。□（根据实际情况填写需要增加的内容）。</w:t>
      </w:r>
    </w:p>
    <w:p>
      <w:pPr>
        <w:widowControl/>
        <w:spacing w:line="44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甲方：                                 乙方：</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住所：                                 住所：</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                             单位负责人：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委托代理人：                             委托代理人：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联系方法：                              联系方法：</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开户银行：                              开户银行：</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账号：                                 账号：</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签订地点：</w:t>
      </w:r>
      <w:r>
        <w:rPr>
          <w:rFonts w:ascii="宋体" w:hAnsi="宋体" w:cs="宋体"/>
          <w:color w:val="auto"/>
          <w:kern w:val="0"/>
          <w:sz w:val="24"/>
          <w:szCs w:val="24"/>
          <w:highlight w:val="none"/>
          <w:u w:val="single"/>
        </w:rPr>
        <w:t>                </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签订日期：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color w:val="auto"/>
          <w:highlight w:val="none"/>
        </w:rPr>
      </w:pPr>
    </w:p>
    <w:p>
      <w:pPr>
        <w:widowControl/>
        <w:spacing w:before="75" w:after="75" w:line="435" w:lineRule="atLeast"/>
        <w:jc w:val="center"/>
        <w:rPr>
          <w:rFonts w:ascii="宋体" w:hAnsi="宋体" w:cs="宋体"/>
          <w:b/>
          <w:bCs/>
          <w:color w:val="auto"/>
          <w:kern w:val="0"/>
          <w:sz w:val="36"/>
          <w:szCs w:val="36"/>
          <w:highlight w:val="none"/>
        </w:rPr>
      </w:pP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第五章  首次响应文件格式</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编制说明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t> </w:t>
      </w: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pStyle w:val="11"/>
        <w:rPr>
          <w:rFonts w:ascii="宋体" w:hAnsi="宋体" w:cs="宋体"/>
          <w:b/>
          <w:bCs/>
          <w:color w:val="auto"/>
          <w:kern w:val="0"/>
          <w:sz w:val="36"/>
          <w:szCs w:val="36"/>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p>
    <w:p>
      <w:pPr>
        <w:widowControl/>
        <w:spacing w:before="75" w:after="75" w:line="360" w:lineRule="auto"/>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福建省政府采购项目竞争性磋商</w:t>
      </w:r>
    </w:p>
    <w:p>
      <w:pPr>
        <w:widowControl/>
        <w:spacing w:before="75" w:after="75" w:line="360" w:lineRule="auto"/>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响应文件</w:t>
      </w:r>
    </w:p>
    <w:p>
      <w:pPr>
        <w:widowControl/>
        <w:spacing w:before="75" w:after="75" w:line="360" w:lineRule="auto"/>
        <w:ind w:firstLine="3614" w:firstLineChars="1500"/>
        <w:rPr>
          <w:rFonts w:ascii="宋体" w:hAnsi="宋体" w:cs="宋体"/>
          <w:color w:val="auto"/>
          <w:kern w:val="0"/>
          <w:sz w:val="24"/>
          <w:szCs w:val="24"/>
          <w:highlight w:val="none"/>
        </w:rPr>
      </w:pPr>
      <w:r>
        <w:rPr>
          <w:rFonts w:ascii="宋体" w:hAnsi="宋体" w:cs="宋体"/>
          <w:b/>
          <w:bCs/>
          <w:color w:val="auto"/>
          <w:kern w:val="0"/>
          <w:sz w:val="24"/>
          <w:szCs w:val="24"/>
          <w:highlight w:val="none"/>
        </w:rPr>
        <w:t xml:space="preserve">   （首次）</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30"/>
          <w:szCs w:val="30"/>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30"/>
          <w:szCs w:val="30"/>
          <w:highlight w:val="non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项目名称：</w:t>
      </w:r>
      <w:r>
        <w:rPr>
          <w:rFonts w:ascii="宋体" w:hAnsi="宋体" w:cs="宋体"/>
          <w:b/>
          <w:bCs/>
          <w:color w:val="auto"/>
          <w:kern w:val="0"/>
          <w:sz w:val="36"/>
          <w:szCs w:val="36"/>
          <w:highlight w:val="none"/>
          <w:u w:val="singl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项目编号：</w:t>
      </w:r>
      <w:r>
        <w:rPr>
          <w:rFonts w:ascii="宋体" w:hAnsi="宋体" w:cs="宋体"/>
          <w:b/>
          <w:bCs/>
          <w:color w:val="auto"/>
          <w:kern w:val="0"/>
          <w:sz w:val="36"/>
          <w:szCs w:val="36"/>
          <w:highlight w:val="none"/>
          <w:u w:val="singl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合同包</w:t>
      </w:r>
      <w:r>
        <w:rPr>
          <w:rFonts w:ascii="宋体" w:hAnsi="宋体" w:cs="宋体"/>
          <w:b/>
          <w:bCs/>
          <w:color w:val="auto"/>
          <w:kern w:val="0"/>
          <w:sz w:val="36"/>
          <w:szCs w:val="36"/>
          <w:highlight w:val="none"/>
        </w:rPr>
        <w:t>: </w:t>
      </w:r>
      <w:r>
        <w:rPr>
          <w:rFonts w:ascii="宋体" w:hAnsi="宋体" w:cs="宋体"/>
          <w:b/>
          <w:bCs/>
          <w:color w:val="auto"/>
          <w:kern w:val="0"/>
          <w:sz w:val="36"/>
          <w:szCs w:val="36"/>
          <w:highlight w:val="none"/>
          <w:u w:val="singl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r>
        <w:rPr>
          <w:rFonts w:ascii="宋体" w:hAnsi="宋体" w:cs="宋体"/>
          <w:b/>
          <w:bCs/>
          <w:color w:val="auto"/>
          <w:kern w:val="0"/>
          <w:sz w:val="24"/>
          <w:szCs w:val="24"/>
          <w:highlight w:val="none"/>
        </w:rPr>
        <w:t>供应商名称 ：</w:t>
      </w:r>
      <w:r>
        <w:rPr>
          <w:rFonts w:ascii="宋体" w:hAnsi="宋体" w:cs="宋体"/>
          <w:b/>
          <w:bCs/>
          <w:color w:val="auto"/>
          <w:kern w:val="0"/>
          <w:sz w:val="24"/>
          <w:szCs w:val="24"/>
          <w:highlight w:val="none"/>
          <w:u w:val="singl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r>
        <w:rPr>
          <w:rFonts w:ascii="宋体" w:hAnsi="宋体" w:cs="宋体"/>
          <w:b/>
          <w:bCs/>
          <w:color w:val="auto"/>
          <w:kern w:val="0"/>
          <w:sz w:val="24"/>
          <w:szCs w:val="24"/>
          <w:highlight w:val="none"/>
        </w:rPr>
        <w:t>日   期 ：</w:t>
      </w:r>
      <w:r>
        <w:rPr>
          <w:rFonts w:ascii="宋体" w:hAnsi="宋体" w:cs="宋体"/>
          <w:b/>
          <w:bCs/>
          <w:color w:val="auto"/>
          <w:kern w:val="0"/>
          <w:sz w:val="24"/>
          <w:szCs w:val="24"/>
          <w:highlight w:val="none"/>
          <w:u w:val="single"/>
        </w:rPr>
        <w:t>               </w:t>
      </w:r>
    </w:p>
    <w:p>
      <w:pPr>
        <w:widowControl/>
        <w:spacing w:before="75" w:after="75"/>
        <w:jc w:val="center"/>
        <w:rPr>
          <w:rFonts w:hint="eastAsia" w:ascii="宋体" w:hAnsi="宋体" w:eastAsia="宋体" w:cs="宋体"/>
          <w:b/>
          <w:bCs/>
          <w:color w:val="auto"/>
          <w:kern w:val="0"/>
          <w:sz w:val="24"/>
          <w:szCs w:val="24"/>
          <w:highlight w:val="none"/>
          <w:u w:val="singl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hint="eastAsia" w:ascii="宋体" w:hAnsi="宋体" w:eastAsia="宋体" w:cs="宋体"/>
          <w:b/>
          <w:bCs/>
          <w:color w:val="auto"/>
          <w:kern w:val="0"/>
          <w:sz w:val="36"/>
          <w:szCs w:val="36"/>
          <w:highlight w:val="none"/>
          <w:lang w:eastAsia="zh-CN"/>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目  录</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附件1：响应函</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附件2：报价一览表（含详细报价书）</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附件3：资格证明文件</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附件4：磋商保证金凭证</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附件5：技术和商务偏离表</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附件6：相关技术、商务、服务响应承诺及资料</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附件7：供应商提交的其他资料</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附件8：要求作为响应文件组成部分的其他内容（若有）</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240"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附件1</w:t>
      </w:r>
      <w:r>
        <w:rPr>
          <w:rFonts w:ascii="宋体" w:hAnsi="宋体" w:cs="宋体"/>
          <w:color w:val="auto"/>
          <w:kern w:val="0"/>
          <w:szCs w:val="21"/>
          <w:highlight w:val="none"/>
        </w:rPr>
        <w:t> </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磋商响应声明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1.根据贵方为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）的采购公告（或采购邀请书），我方签字代表</w:t>
      </w:r>
      <w:r>
        <w:rPr>
          <w:rFonts w:ascii="宋体" w:hAnsi="宋体" w:cs="宋体"/>
          <w:color w:val="auto"/>
          <w:kern w:val="0"/>
          <w:sz w:val="24"/>
          <w:szCs w:val="24"/>
          <w:highlight w:val="none"/>
          <w:u w:val="single"/>
        </w:rPr>
        <w:t>      （全名、职务）  </w:t>
      </w:r>
      <w:r>
        <w:rPr>
          <w:rFonts w:ascii="宋体" w:hAnsi="宋体" w:cs="宋体"/>
          <w:color w:val="auto"/>
          <w:kern w:val="0"/>
          <w:sz w:val="24"/>
          <w:szCs w:val="24"/>
          <w:highlight w:val="none"/>
        </w:rPr>
        <w:t>经正式授权并代表的供应商</w:t>
      </w:r>
      <w:r>
        <w:rPr>
          <w:rFonts w:ascii="宋体" w:hAnsi="宋体" w:cs="宋体"/>
          <w:color w:val="auto"/>
          <w:kern w:val="0"/>
          <w:sz w:val="24"/>
          <w:szCs w:val="24"/>
          <w:highlight w:val="none"/>
          <w:u w:val="single"/>
        </w:rPr>
        <w:t>       （供应商名称、地址）    </w:t>
      </w:r>
      <w:r>
        <w:rPr>
          <w:rFonts w:ascii="宋体" w:hAnsi="宋体" w:cs="宋体"/>
          <w:color w:val="auto"/>
          <w:kern w:val="0"/>
          <w:sz w:val="24"/>
          <w:szCs w:val="24"/>
          <w:highlight w:val="none"/>
        </w:rPr>
        <w:t>提交包含下述内容的首次响应文件纸质文本正本</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套，副本</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套及电子文档</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（1）响应函</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（3）资格证明文件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（4）磋商保证金凭证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（5）技术和商务偏离表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（7）供应商提交的其他资料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（8）按照磋商文件规定，要求作为响应文件组成部分的其他内容（若有）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2.据此函，我方宣布响应承诺如下：</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2.4我方已经按照磋商文件要求提交磋商保证金。我方如果发生任何竞争性磋商文件中所述不予退还磋商保证金的情况，则我方的磋商保证金将被贵方不予退还，我方对此无异议。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2.5我方愿意向贵方提供任何与本项目磋商采购有关的数据或资料。若贵方需要，我方愿意提供我方作出的一切承诺的证明材料。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通信地址:</w:t>
      </w:r>
      <w:r>
        <w:rPr>
          <w:rFonts w:ascii="宋体" w:hAnsi="宋体" w:cs="宋体"/>
          <w:color w:val="auto"/>
          <w:kern w:val="0"/>
          <w:sz w:val="24"/>
          <w:szCs w:val="24"/>
          <w:highlight w:val="none"/>
          <w:u w:val="single"/>
        </w:rPr>
        <w:t xml:space="preserve">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邮编：</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   传真号：</w:t>
      </w:r>
      <w:r>
        <w:rPr>
          <w:rFonts w:ascii="宋体" w:hAnsi="宋体" w:cs="宋体"/>
          <w:color w:val="auto"/>
          <w:kern w:val="0"/>
          <w:sz w:val="24"/>
          <w:szCs w:val="24"/>
          <w:highlight w:val="none"/>
          <w:u w:val="singl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联系电话（固定电话和移动电话）：</w:t>
      </w:r>
      <w:r>
        <w:rPr>
          <w:rFonts w:ascii="宋体" w:hAnsi="宋体" w:cs="宋体"/>
          <w:color w:val="auto"/>
          <w:kern w:val="0"/>
          <w:sz w:val="24"/>
          <w:szCs w:val="24"/>
          <w:highlight w:val="none"/>
          <w:u w:val="single"/>
        </w:rPr>
        <w:t xml:space="preserve">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w:t>
      </w:r>
      <w:r>
        <w:rPr>
          <w:rFonts w:ascii="宋体" w:hAnsi="宋体" w:cs="宋体"/>
          <w:color w:val="auto"/>
          <w:kern w:val="0"/>
          <w:sz w:val="24"/>
          <w:szCs w:val="24"/>
          <w:highlight w:val="none"/>
          <w:u w:val="single"/>
        </w:rPr>
        <w:t xml:space="preserve">             （签字）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供应商代表电子信箱：</w:t>
      </w:r>
      <w:r>
        <w:rPr>
          <w:rFonts w:ascii="宋体" w:hAnsi="宋体" w:cs="宋体"/>
          <w:color w:val="auto"/>
          <w:kern w:val="0"/>
          <w:sz w:val="24"/>
          <w:szCs w:val="24"/>
          <w:highlight w:val="none"/>
          <w:u w:val="singl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w:t>
      </w:r>
      <w:r>
        <w:rPr>
          <w:rFonts w:ascii="宋体" w:hAnsi="宋体" w:cs="宋体"/>
          <w:color w:val="auto"/>
          <w:kern w:val="0"/>
          <w:sz w:val="24"/>
          <w:szCs w:val="24"/>
          <w:highlight w:val="none"/>
          <w:u w:val="single"/>
        </w:rPr>
        <w:t>         （全称并加盖公章）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 </w:t>
      </w: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pStyle w:val="11"/>
        <w:rPr>
          <w:rFonts w:ascii="宋体" w:hAnsi="宋体" w:cs="宋体"/>
          <w:b/>
          <w:bCs/>
          <w:color w:val="auto"/>
          <w:kern w:val="0"/>
          <w:sz w:val="24"/>
          <w:szCs w:val="24"/>
          <w:highlight w:val="none"/>
        </w:rPr>
      </w:pPr>
    </w:p>
    <w:p>
      <w:pPr>
        <w:widowControl/>
        <w:spacing w:before="75" w:after="75" w:line="375" w:lineRule="atLeast"/>
        <w:jc w:val="left"/>
        <w:rPr>
          <w:rFonts w:ascii="宋体" w:hAnsi="宋体" w:cs="宋体"/>
          <w:color w:val="auto"/>
          <w:kern w:val="0"/>
          <w:sz w:val="24"/>
          <w:szCs w:val="24"/>
          <w:highlight w:val="none"/>
        </w:rPr>
      </w:pPr>
      <w:r>
        <w:rPr>
          <w:rFonts w:hint="eastAsia" w:ascii="仿宋_GB2312" w:hAnsi="宋体" w:eastAsia="仿宋_GB2312"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附件2</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报价一览表</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after="20" w:line="400" w:lineRule="exact"/>
        <w:jc w:val="left"/>
        <w:rPr>
          <w:color w:val="auto"/>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（全称加盖单位公章）</w:t>
      </w:r>
      <w:r>
        <w:rPr>
          <w:rFonts w:ascii="宋体" w:hAnsi="宋体" w:cs="宋体"/>
          <w:color w:val="auto"/>
          <w:kern w:val="0"/>
          <w:sz w:val="24"/>
          <w:szCs w:val="24"/>
          <w:highlight w:val="none"/>
        </w:rPr>
        <w:t>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 货币单位：元人民币</w:t>
      </w:r>
    </w:p>
    <w:tbl>
      <w:tblPr>
        <w:tblStyle w:val="21"/>
        <w:tblW w:w="877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2560"/>
        <w:gridCol w:w="2932"/>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253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首次报价</w:t>
            </w:r>
          </w:p>
        </w:tc>
        <w:tc>
          <w:tcPr>
            <w:tcW w:w="2902"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交货期/工期/项目完成时间/服务时间</w:t>
            </w:r>
          </w:p>
        </w:tc>
        <w:tc>
          <w:tcPr>
            <w:tcW w:w="991"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磋商保证金</w:t>
            </w:r>
          </w:p>
        </w:tc>
        <w:tc>
          <w:tcPr>
            <w:tcW w:w="1152"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备注：详细报价书另纸详列，格式自拟。</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                                                        </w:t>
      </w: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w:t>
      </w: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pStyle w:val="17"/>
        <w:rPr>
          <w:color w:val="auto"/>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附件2-1 </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详细报价书</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说明：</w:t>
      </w:r>
    </w:p>
    <w:p>
      <w:pPr>
        <w:widowControl/>
        <w:spacing w:before="75" w:after="75" w:line="46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widowControl/>
        <w:spacing w:before="75" w:after="75" w:line="49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widowControl/>
        <w:spacing w:before="75" w:after="75" w:line="49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widowControl/>
        <w:spacing w:before="75" w:after="75" w:line="49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         </w:t>
      </w:r>
      <w:r>
        <w:rPr>
          <w:rFonts w:ascii="宋体" w:hAnsi="宋体" w:cs="宋体"/>
          <w:b/>
          <w:bCs/>
          <w:color w:val="auto"/>
          <w:kern w:val="0"/>
          <w:sz w:val="24"/>
          <w:szCs w:val="24"/>
          <w:highlight w:val="none"/>
        </w:rPr>
        <w:t>资格证明文件</w:t>
      </w: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附件3-1       </w:t>
      </w:r>
      <w:r>
        <w:rPr>
          <w:rFonts w:ascii="宋体" w:hAnsi="宋体" w:cs="宋体"/>
          <w:b/>
          <w:bCs/>
          <w:color w:val="auto"/>
          <w:kern w:val="0"/>
          <w:sz w:val="24"/>
          <w:szCs w:val="24"/>
          <w:highlight w:val="none"/>
        </w:rPr>
        <w:t>参加竞争性磋商的声明函</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1、关于贵方_____年_____月_____日</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ind w:left="54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2、供应商的基本概况：</w:t>
      </w:r>
    </w:p>
    <w:p>
      <w:pPr>
        <w:widowControl/>
        <w:spacing w:before="75" w:after="75" w:line="360" w:lineRule="atLeast"/>
        <w:ind w:left="540"/>
        <w:jc w:val="left"/>
        <w:rPr>
          <w:rFonts w:hint="eastAsia" w:ascii="宋体" w:hAnsi="宋体" w:eastAsia="宋体" w:cs="宋体"/>
          <w:color w:val="auto"/>
          <w:kern w:val="0"/>
          <w:sz w:val="24"/>
          <w:szCs w:val="24"/>
          <w:highlight w:val="none"/>
          <w:u w:val="single"/>
          <w:lang w:eastAsia="zh-CN"/>
        </w:rPr>
      </w:pPr>
      <w:r>
        <w:rPr>
          <w:rFonts w:ascii="宋体" w:hAnsi="宋体" w:cs="宋体"/>
          <w:color w:val="auto"/>
          <w:kern w:val="0"/>
          <w:sz w:val="24"/>
          <w:szCs w:val="24"/>
          <w:highlight w:val="none"/>
        </w:rPr>
        <w:t>2.1供应商单位名称：</w:t>
      </w:r>
      <w:r>
        <w:rPr>
          <w:rFonts w:ascii="宋体" w:hAnsi="宋体" w:cs="宋体"/>
          <w:color w:val="auto"/>
          <w:kern w:val="0"/>
          <w:sz w:val="24"/>
          <w:szCs w:val="24"/>
          <w:highlight w:val="none"/>
          <w:u w:val="single"/>
        </w:rPr>
        <w:t>                   </w:t>
      </w:r>
    </w:p>
    <w:p>
      <w:pPr>
        <w:widowControl/>
        <w:spacing w:before="75" w:after="75" w:line="360" w:lineRule="atLeast"/>
        <w:ind w:left="540"/>
        <w:jc w:val="left"/>
        <w:rPr>
          <w:rFonts w:hint="eastAsia" w:ascii="宋体" w:hAnsi="宋体" w:eastAsia="宋体" w:cs="宋体"/>
          <w:color w:val="auto"/>
          <w:kern w:val="0"/>
          <w:sz w:val="24"/>
          <w:szCs w:val="24"/>
          <w:highlight w:val="none"/>
          <w:u w:val="single"/>
          <w:lang w:eastAsia="zh-CN"/>
        </w:rPr>
      </w:pPr>
      <w:r>
        <w:rPr>
          <w:rFonts w:ascii="宋体" w:hAnsi="宋体" w:cs="宋体"/>
          <w:color w:val="auto"/>
          <w:kern w:val="0"/>
          <w:sz w:val="24"/>
          <w:szCs w:val="24"/>
          <w:highlight w:val="none"/>
        </w:rPr>
        <w:t>2.2注册地址：</w:t>
      </w:r>
      <w:r>
        <w:rPr>
          <w:rFonts w:ascii="宋体" w:hAnsi="宋体" w:cs="宋体"/>
          <w:color w:val="auto"/>
          <w:kern w:val="0"/>
          <w:sz w:val="24"/>
          <w:szCs w:val="24"/>
          <w:highlight w:val="none"/>
          <w:u w:val="single"/>
        </w:rPr>
        <w:t>                                  </w:t>
      </w:r>
    </w:p>
    <w:p>
      <w:pPr>
        <w:widowControl/>
        <w:spacing w:before="75" w:after="75" w:line="360" w:lineRule="atLeast"/>
        <w:ind w:left="540"/>
        <w:jc w:val="left"/>
        <w:rPr>
          <w:rFonts w:ascii="宋体" w:hAnsi="宋体" w:cs="宋体"/>
          <w:color w:val="auto"/>
          <w:kern w:val="0"/>
          <w:sz w:val="24"/>
          <w:szCs w:val="24"/>
          <w:highlight w:val="none"/>
        </w:rPr>
      </w:pPr>
      <w:r>
        <w:rPr>
          <w:rFonts w:ascii="宋体" w:hAnsi="宋体" w:cs="宋体"/>
          <w:color w:val="auto"/>
          <w:kern w:val="0"/>
          <w:sz w:val="24"/>
          <w:szCs w:val="24"/>
          <w:highlight w:val="none"/>
        </w:rPr>
        <w:t>2.3单位负责人姓名：</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性别：</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年龄：</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职务：</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9"/>
        <w:rPr>
          <w:color w:val="auto"/>
          <w:highlight w:val="none"/>
        </w:rPr>
      </w:pPr>
    </w:p>
    <w:p>
      <w:pPr>
        <w:widowControl/>
        <w:spacing w:before="75" w:after="75" w:line="375" w:lineRule="atLeast"/>
        <w:jc w:val="left"/>
        <w:rPr>
          <w:rFonts w:ascii="宋体" w:hAnsi="宋体" w:cs="宋体"/>
          <w:color w:val="auto"/>
          <w:kern w:val="0"/>
          <w:sz w:val="24"/>
          <w:szCs w:val="24"/>
          <w:highlight w:val="none"/>
        </w:rPr>
      </w:pP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附件3-2        </w:t>
      </w:r>
      <w:r>
        <w:rPr>
          <w:rFonts w:ascii="宋体" w:hAnsi="宋体" w:cs="宋体"/>
          <w:b/>
          <w:bCs/>
          <w:color w:val="auto"/>
          <w:kern w:val="0"/>
          <w:sz w:val="24"/>
          <w:szCs w:val="24"/>
          <w:highlight w:val="none"/>
        </w:rPr>
        <w:t>供应商的资格声明</w:t>
      </w:r>
      <w:r>
        <w:rPr>
          <w:rFonts w:ascii="宋体" w:hAnsi="宋体" w:cs="宋体"/>
          <w:color w:val="auto"/>
          <w:kern w:val="0"/>
          <w:sz w:val="24"/>
          <w:szCs w:val="24"/>
          <w:highlight w:val="none"/>
        </w:rPr>
        <w:t>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  1、</w:t>
      </w:r>
      <w:r>
        <w:rPr>
          <w:rFonts w:ascii="宋体" w:hAnsi="宋体" w:cs="宋体"/>
          <w:color w:val="auto"/>
          <w:kern w:val="0"/>
          <w:sz w:val="24"/>
          <w:szCs w:val="24"/>
          <w:highlight w:val="none"/>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21"/>
        <w:tblW w:w="940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9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《中华人民共和国政府采购法》第二十二条对供应商的要求</w:t>
            </w:r>
          </w:p>
        </w:tc>
        <w:tc>
          <w:tcPr>
            <w:tcW w:w="1671"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（1）具有独立承担民事责任的能力</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（2）具有良好的商业信誉和健全的财务会计制度</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（3）具有履行合同所必需的设备和专业技术能力</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（4）有依法缴纳税收和社会保障资金的良好记录</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（5）参加政府采购活动前三年内，在经营活动中没有重大违法记录</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（6）法律、行政法规规定的其他条件。</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磋商文件对合格供应商的一般规定</w:t>
            </w:r>
          </w:p>
        </w:tc>
        <w:tc>
          <w:tcPr>
            <w:tcW w:w="1671"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供应商应当遵守中国的有关法律、法规和规章的规定，参加政府采购活动时已经自觉检查并按照政府采购相关法律规定，主动回避相应利害关系。</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列入失信被执行人、重大税收违法案件当事人名单、政府采购严重违法失信行为记录名单的供应商，不得参加政府采购活动。</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bl>
    <w:p>
      <w:pPr>
        <w:widowControl/>
        <w:spacing w:line="360" w:lineRule="exac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2、我方对上述声明的真实性、合法性、准确性、有效性负责，并愿意根据磋商文件和磋商过程中贵方要求提供全部现有资料、数据、文件等予以证实。</w:t>
      </w:r>
    </w:p>
    <w:p>
      <w:pPr>
        <w:widowControl/>
        <w:spacing w:line="36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备注：对于接受联合体形式的磋商且供应商是联合体的，则联合体各成员都应当提交本资格证明文件。</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line="36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240"/>
        <w:jc w:val="left"/>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附件3-3             </w:t>
      </w:r>
      <w:r>
        <w:rPr>
          <w:rFonts w:ascii="宋体" w:hAnsi="宋体" w:cs="宋体"/>
          <w:b/>
          <w:bCs/>
          <w:color w:val="auto"/>
          <w:kern w:val="0"/>
          <w:sz w:val="24"/>
          <w:szCs w:val="24"/>
          <w:highlight w:val="none"/>
        </w:rPr>
        <w:t>单位负责人授权书</w:t>
      </w:r>
    </w:p>
    <w:p>
      <w:pPr>
        <w:widowControl/>
        <w:spacing w:before="75" w:after="75" w:line="40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u w:val="single"/>
        </w:rPr>
        <w:t> </w:t>
      </w:r>
    </w:p>
    <w:p>
      <w:pPr>
        <w:widowControl/>
        <w:spacing w:before="75" w:after="75" w:line="36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我方的单位负责人</w:t>
      </w:r>
      <w:r>
        <w:rPr>
          <w:rFonts w:ascii="宋体" w:hAnsi="宋体" w:cs="宋体"/>
          <w:color w:val="auto"/>
          <w:kern w:val="0"/>
          <w:sz w:val="24"/>
          <w:szCs w:val="24"/>
          <w:highlight w:val="none"/>
          <w:u w:val="single"/>
        </w:rPr>
        <w:t>（填写“单位负责人全名”）</w:t>
      </w:r>
      <w:r>
        <w:rPr>
          <w:rFonts w:ascii="宋体" w:hAnsi="宋体" w:cs="宋体"/>
          <w:color w:val="auto"/>
          <w:kern w:val="0"/>
          <w:sz w:val="24"/>
          <w:szCs w:val="24"/>
          <w:highlight w:val="none"/>
        </w:rPr>
        <w:t>授权</w:t>
      </w:r>
      <w:r>
        <w:rPr>
          <w:rFonts w:ascii="宋体" w:hAnsi="宋体" w:cs="宋体"/>
          <w:color w:val="auto"/>
          <w:kern w:val="0"/>
          <w:sz w:val="24"/>
          <w:szCs w:val="24"/>
          <w:highlight w:val="none"/>
          <w:u w:val="single"/>
        </w:rPr>
        <w:t>（填写“供应商代表全名”）</w:t>
      </w:r>
      <w:r>
        <w:rPr>
          <w:rFonts w:ascii="宋体" w:hAnsi="宋体" w:cs="宋体"/>
          <w:color w:val="auto"/>
          <w:kern w:val="0"/>
          <w:sz w:val="24"/>
          <w:szCs w:val="24"/>
          <w:highlight w:val="none"/>
        </w:rPr>
        <w:t>为我方的供应商代表，代表我方参加</w:t>
      </w:r>
      <w:r>
        <w:rPr>
          <w:rFonts w:ascii="宋体" w:hAnsi="宋体" w:cs="宋体"/>
          <w:color w:val="auto"/>
          <w:kern w:val="0"/>
          <w:sz w:val="24"/>
          <w:szCs w:val="24"/>
          <w:highlight w:val="none"/>
          <w:u w:val="single"/>
        </w:rPr>
        <w:t>  （填写“项目名称”）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供应商代表无转委权。特此授权。</w:t>
      </w:r>
    </w:p>
    <w:p>
      <w:pPr>
        <w:widowControl/>
        <w:spacing w:before="75" w:after="75" w:line="36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授权方</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w:t>
      </w:r>
      <w:r>
        <w:rPr>
          <w:rFonts w:ascii="宋体" w:hAnsi="宋体" w:cs="宋体"/>
          <w:color w:val="auto"/>
          <w:kern w:val="0"/>
          <w:sz w:val="24"/>
          <w:szCs w:val="24"/>
          <w:highlight w:val="none"/>
          <w:u w:val="single"/>
        </w:rPr>
        <w:t>（全称并加盖单位公章）</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单位负责人签字或盖章：</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接受授权方</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w:t>
      </w:r>
      <w:r>
        <w:rPr>
          <w:rFonts w:ascii="宋体" w:hAnsi="宋体" w:cs="宋体"/>
          <w:color w:val="auto"/>
          <w:kern w:val="0"/>
          <w:sz w:val="24"/>
          <w:szCs w:val="24"/>
          <w:highlight w:val="none"/>
          <w:u w:val="single"/>
        </w:rPr>
        <w:t>                   </w:t>
      </w:r>
    </w:p>
    <w:p>
      <w:pPr>
        <w:widowControl/>
        <w:spacing w:before="75" w:after="75" w:line="360" w:lineRule="atLeast"/>
        <w:jc w:val="righ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0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附：单位负责人、供应商代表的身份证正反面复印件</w:t>
      </w:r>
    </w:p>
    <w:tbl>
      <w:tblPr>
        <w:tblStyle w:val="21"/>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85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要求：真实、有效、清晰</w:t>
            </w:r>
          </w:p>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tc>
      </w:tr>
    </w:tbl>
    <w:p>
      <w:pPr>
        <w:widowControl/>
        <w:spacing w:before="75" w:after="75" w:line="285" w:lineRule="atLeas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1、企业（银行、保险、石油石化、电力、电信等行业除外）、事业单位和社会团体法人的“单位负责人”指</w:t>
      </w:r>
      <w:r>
        <w:rPr>
          <w:rFonts w:ascii="宋体" w:hAnsi="宋体" w:cs="宋体"/>
          <w:b/>
          <w:bCs/>
          <w:color w:val="auto"/>
          <w:kern w:val="0"/>
          <w:szCs w:val="21"/>
          <w:highlight w:val="none"/>
        </w:rPr>
        <w:t>法定代表人</w:t>
      </w:r>
      <w:r>
        <w:rPr>
          <w:rFonts w:ascii="宋体" w:hAnsi="宋体" w:cs="宋体"/>
          <w:color w:val="auto"/>
          <w:kern w:val="0"/>
          <w:szCs w:val="21"/>
          <w:highlight w:val="none"/>
        </w:rPr>
        <w:t>，即与实际提交的“营业执照等证明文件”载明的一致。</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2、银行、保险、石油石化、电力、电信等行业：以法人身份参加磋商的，“单位负责人”指</w:t>
      </w:r>
      <w:r>
        <w:rPr>
          <w:rFonts w:ascii="宋体" w:hAnsi="宋体" w:cs="宋体"/>
          <w:b/>
          <w:bCs/>
          <w:color w:val="auto"/>
          <w:kern w:val="0"/>
          <w:szCs w:val="21"/>
          <w:highlight w:val="none"/>
        </w:rPr>
        <w:t>法定代表人</w:t>
      </w:r>
      <w:r>
        <w:rPr>
          <w:rFonts w:ascii="宋体" w:hAnsi="宋体" w:cs="宋体"/>
          <w:color w:val="auto"/>
          <w:kern w:val="0"/>
          <w:szCs w:val="21"/>
          <w:highlight w:val="none"/>
        </w:rPr>
        <w:t>，即与实际提交的“营业执照等证明文件”载明的一致；以非法人身份参加磋商的，“单位负责人”指</w:t>
      </w:r>
      <w:r>
        <w:rPr>
          <w:rFonts w:ascii="宋体" w:hAnsi="宋体" w:cs="宋体"/>
          <w:b/>
          <w:bCs/>
          <w:color w:val="auto"/>
          <w:kern w:val="0"/>
          <w:szCs w:val="21"/>
          <w:highlight w:val="none"/>
        </w:rPr>
        <w:t>代表单位行使职权的主要负责人</w:t>
      </w:r>
      <w:r>
        <w:rPr>
          <w:rFonts w:ascii="宋体" w:hAnsi="宋体" w:cs="宋体"/>
          <w:color w:val="auto"/>
          <w:kern w:val="0"/>
          <w:szCs w:val="21"/>
          <w:highlight w:val="none"/>
        </w:rPr>
        <w:t>，即与实际提交的“营业执照等证明文件”载明的一致。</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pacing w:before="75" w:after="240" w:line="285" w:lineRule="atLeast"/>
        <w:rPr>
          <w:rFonts w:ascii="宋体" w:hAnsi="宋体" w:cs="宋体"/>
          <w:color w:val="auto"/>
          <w:kern w:val="0"/>
          <w:szCs w:val="21"/>
          <w:highlight w:val="none"/>
        </w:rPr>
      </w:pPr>
      <w:r>
        <w:rPr>
          <w:rFonts w:ascii="宋体" w:hAnsi="宋体" w:cs="宋体"/>
          <w:color w:val="auto"/>
          <w:kern w:val="0"/>
          <w:szCs w:val="21"/>
          <w:highlight w:val="none"/>
        </w:rPr>
        <w:t>4、对于接受联合体形式的磋商且供应商是联合体的，则只需要联合体的牵头方提交本授权书，在纸质响应文件正本中的本授权书应为原件。</w:t>
      </w: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pStyle w:val="11"/>
        <w:rPr>
          <w:rFonts w:ascii="宋体" w:hAnsi="宋体" w:cs="宋体"/>
          <w:color w:val="auto"/>
          <w:kern w:val="0"/>
          <w:szCs w:val="21"/>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附件3-4 </w:t>
      </w:r>
      <w:r>
        <w:rPr>
          <w:rFonts w:ascii="宋体" w:hAnsi="宋体" w:cs="宋体"/>
          <w:b/>
          <w:bCs/>
          <w:color w:val="auto"/>
          <w:kern w:val="0"/>
          <w:sz w:val="24"/>
          <w:szCs w:val="24"/>
          <w:highlight w:val="none"/>
        </w:rPr>
        <w:t>            营业执照等证明文件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）供应商为法人（包括企业、事业单位和社会团体）的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签发的我方统一社会信用代码</w:t>
      </w:r>
      <w:r>
        <w:rPr>
          <w:rFonts w:ascii="宋体" w:hAnsi="宋体" w:cs="宋体"/>
          <w:color w:val="auto"/>
          <w:kern w:val="0"/>
          <w:sz w:val="24"/>
          <w:szCs w:val="24"/>
          <w:highlight w:val="none"/>
          <w:u w:val="single"/>
        </w:rPr>
        <w:t>（请填写法人的具体证照名称）</w:t>
      </w:r>
      <w:r>
        <w:rPr>
          <w:rFonts w:ascii="宋体" w:hAnsi="宋体" w:cs="宋体"/>
          <w:color w:val="auto"/>
          <w:kern w:val="0"/>
          <w:sz w:val="24"/>
          <w:szCs w:val="24"/>
          <w:highlight w:val="none"/>
        </w:rPr>
        <w:t>复印件，该证明材料真实有效，否则我方负全部责任。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）供应商为非法人（包括其他组织、自然人）的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w:t>
      </w:r>
      <w:r>
        <w:rPr>
          <w:rFonts w:ascii="宋体" w:hAnsi="宋体" w:cs="宋体"/>
          <w:color w:val="auto"/>
          <w:kern w:val="0"/>
          <w:sz w:val="24"/>
          <w:szCs w:val="24"/>
          <w:highlight w:val="none"/>
          <w:u w:val="single"/>
        </w:rPr>
        <w:t>（请填写非自然人的非法人的具体证照名称）</w:t>
      </w:r>
      <w:r>
        <w:rPr>
          <w:rFonts w:ascii="宋体" w:hAnsi="宋体" w:cs="宋体"/>
          <w:color w:val="auto"/>
          <w:kern w:val="0"/>
          <w:sz w:val="24"/>
          <w:szCs w:val="24"/>
          <w:highlight w:val="none"/>
        </w:rPr>
        <w:t>复印件，该证明材料真实有效，否则我方负全部责任。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w:t>
      </w:r>
      <w:r>
        <w:rPr>
          <w:rFonts w:ascii="宋体" w:hAnsi="宋体" w:cs="宋体"/>
          <w:color w:val="auto"/>
          <w:kern w:val="0"/>
          <w:sz w:val="24"/>
          <w:szCs w:val="24"/>
          <w:highlight w:val="none"/>
          <w:u w:val="single"/>
        </w:rPr>
        <w:t>（请填写自然人的身份证件名称）</w:t>
      </w:r>
      <w:r>
        <w:rPr>
          <w:rFonts w:ascii="宋体" w:hAnsi="宋体" w:cs="宋体"/>
          <w:color w:val="auto"/>
          <w:kern w:val="0"/>
          <w:sz w:val="24"/>
          <w:szCs w:val="24"/>
          <w:highlight w:val="none"/>
        </w:rPr>
        <w:t>复印件，该证明材料真实有效，否则我方负全部责任。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1、请供应商根据实际情况填写，在相应的（）中打“√”并选择相应的“□”（若有）后，再按照本格式的要求提供相应证明材料的复印件。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4、对于接受联合体形式的磋商且供应商是联合体的，则联合体各成员都应当提交本资格证明文件。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附件3-5             </w:t>
      </w:r>
      <w:r>
        <w:rPr>
          <w:rFonts w:ascii="宋体" w:hAnsi="宋体" w:cs="宋体"/>
          <w:b/>
          <w:bCs/>
          <w:color w:val="auto"/>
          <w:kern w:val="0"/>
          <w:sz w:val="24"/>
          <w:szCs w:val="24"/>
          <w:highlight w:val="none"/>
        </w:rPr>
        <w:t>财务状况报告</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u w:val="single"/>
        </w:rPr>
        <w:t>   </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）供应商提供财务报告的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□企业适用：现附上我方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财务报告复印件，包括资产负债表、利润表、现金流量表、所有者权益变动表及其附注（若有），上述证明材料真实有效，否则我方负全部责任。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□事业单位适用：现附上我方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财务报告复印件，包括资产负债表、收入支出表或收入费用表、财政补助收入支出表（若有），上述证明材料真实有效，否则我方负全部责任。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□社会团体适用：现附上我方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财务报告复印件，包括资产负债表、业务活动表、现金流量表，上述证明材料真实有效，否则我方负全部责任。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）供应商提供资信证明的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□非自然人适用：现附上我方银行：</w:t>
      </w:r>
      <w:r>
        <w:rPr>
          <w:rFonts w:ascii="宋体" w:hAnsi="宋体" w:cs="宋体"/>
          <w:color w:val="auto"/>
          <w:kern w:val="0"/>
          <w:sz w:val="24"/>
          <w:szCs w:val="24"/>
          <w:highlight w:val="none"/>
          <w:u w:val="single"/>
        </w:rPr>
        <w:t>（填写“开户银行全称”）</w:t>
      </w:r>
      <w:r>
        <w:rPr>
          <w:rFonts w:ascii="宋体" w:hAnsi="宋体" w:cs="宋体"/>
          <w:color w:val="auto"/>
          <w:kern w:val="0"/>
          <w:sz w:val="24"/>
          <w:szCs w:val="24"/>
          <w:highlight w:val="none"/>
        </w:rPr>
        <w:t>出具的资信证明复印件，上述证明材料真实有效，否则我方负全部责任。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□自然人适用：现附上我方银行：</w:t>
      </w:r>
      <w:r>
        <w:rPr>
          <w:rFonts w:ascii="宋体" w:hAnsi="宋体" w:cs="宋体"/>
          <w:color w:val="auto"/>
          <w:kern w:val="0"/>
          <w:sz w:val="24"/>
          <w:szCs w:val="24"/>
          <w:highlight w:val="none"/>
          <w:u w:val="single"/>
        </w:rPr>
        <w:t>（填写自然人的“个人账户的开户银行全称”）</w:t>
      </w:r>
      <w:r>
        <w:rPr>
          <w:rFonts w:ascii="宋体" w:hAnsi="宋体" w:cs="宋体"/>
          <w:color w:val="auto"/>
          <w:kern w:val="0"/>
          <w:sz w:val="24"/>
          <w:szCs w:val="24"/>
          <w:highlight w:val="none"/>
        </w:rPr>
        <w:t>出具的资信证明复印件，上述证明材料真实有效，否则我方负全部责任。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）供应商提供投标担保函的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现附上由财政部门认可的政府采购专业担保机构：</w:t>
      </w:r>
      <w:r>
        <w:rPr>
          <w:rFonts w:ascii="宋体" w:hAnsi="宋体" w:cs="宋体"/>
          <w:color w:val="auto"/>
          <w:kern w:val="0"/>
          <w:sz w:val="24"/>
          <w:szCs w:val="24"/>
          <w:highlight w:val="none"/>
          <w:u w:val="single"/>
        </w:rPr>
        <w:t>（填写“担保机构全称”）</w:t>
      </w:r>
      <w:r>
        <w:rPr>
          <w:rFonts w:ascii="宋体" w:hAnsi="宋体" w:cs="宋体"/>
          <w:color w:val="auto"/>
          <w:kern w:val="0"/>
          <w:sz w:val="24"/>
          <w:szCs w:val="24"/>
          <w:highlight w:val="none"/>
        </w:rPr>
        <w:t>出具的投标担保函复印件，上述证明材料真实有效，否则我方负全部责任。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注意事项：</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2、供应商提供的财务报告复印件（成立年限按照首次响应文件递交截止时间推算）应符合下列规定：</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2.1成立年限满1年及以上的供应商，提供经审计的上一年度的年度财务报告。</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2.2成立年限满半年但不足1年的供应商，提供该半年度中任一季度的季度财务报告或该半年度的半年度财务报告。</w:t>
      </w:r>
    </w:p>
    <w:p>
      <w:pPr>
        <w:widowControl/>
        <w:spacing w:before="75" w:after="75"/>
        <w:ind w:firstLine="42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无法按照本格式注意事项第2.1、2.2条规定提供财务报告复印件的供应商，应按照本格式注意事项的要求选择提供资信证明复印件或投标担保函复印件。</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3、“财政部门认可的政府采购专业担保机构”应符合《财政部关于开展政府采购信用担保试点工作方案》（财库[2011]124号）的规定。</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4、供应商提供的相应证明材料复印件均应符合：内容完整、清晰、整洁，并由供应商加盖其单位公章。</w:t>
      </w:r>
    </w:p>
    <w:p>
      <w:pPr>
        <w:widowControl/>
        <w:spacing w:before="75" w:after="75" w:line="315" w:lineRule="atLeast"/>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Cs w:val="21"/>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附件3-6          </w:t>
      </w:r>
      <w:r>
        <w:rPr>
          <w:rFonts w:ascii="宋体" w:hAnsi="宋体" w:cs="宋体"/>
          <w:b/>
          <w:bCs/>
          <w:color w:val="auto"/>
          <w:kern w:val="0"/>
          <w:sz w:val="24"/>
          <w:szCs w:val="24"/>
          <w:highlight w:val="none"/>
        </w:rPr>
        <w:t>依法缴纳税收证明材料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Cs w:val="21"/>
          <w:highlight w:val="none"/>
          <w:u w:val="single"/>
        </w:rPr>
        <w:t>   </w:t>
      </w:r>
    </w:p>
    <w:p>
      <w:pPr>
        <w:widowControl/>
        <w:spacing w:before="75" w:after="75"/>
        <w:ind w:firstLine="42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1、依法缴纳税收的供应商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日期间我方缴纳的</w:t>
      </w:r>
      <w:r>
        <w:rPr>
          <w:rFonts w:ascii="宋体" w:hAnsi="宋体" w:cs="宋体"/>
          <w:color w:val="auto"/>
          <w:kern w:val="0"/>
          <w:sz w:val="24"/>
          <w:szCs w:val="24"/>
          <w:highlight w:val="none"/>
          <w:u w:val="single"/>
        </w:rPr>
        <w:t>（按照供应商实际缴纳的税种名称填写，如：增值税、所得税等）</w:t>
      </w:r>
      <w:r>
        <w:rPr>
          <w:rFonts w:ascii="宋体" w:hAnsi="宋体" w:cs="宋体"/>
          <w:color w:val="auto"/>
          <w:kern w:val="0"/>
          <w:sz w:val="24"/>
          <w:szCs w:val="24"/>
          <w:highlight w:val="none"/>
        </w:rPr>
        <w:t>税收凭据复印件，上述证明材料真实有效，否则我方负全部责任。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日期间我方缴纳的</w:t>
      </w:r>
      <w:r>
        <w:rPr>
          <w:rFonts w:ascii="宋体" w:hAnsi="宋体" w:cs="宋体"/>
          <w:color w:val="auto"/>
          <w:kern w:val="0"/>
          <w:sz w:val="24"/>
          <w:szCs w:val="24"/>
          <w:highlight w:val="none"/>
          <w:u w:val="single"/>
        </w:rPr>
        <w:t>（按照供应商实际缴纳的税种名称填写）</w:t>
      </w:r>
      <w:r>
        <w:rPr>
          <w:rFonts w:ascii="宋体" w:hAnsi="宋体" w:cs="宋体"/>
          <w:color w:val="auto"/>
          <w:kern w:val="0"/>
          <w:sz w:val="24"/>
          <w:szCs w:val="24"/>
          <w:highlight w:val="none"/>
        </w:rPr>
        <w:t>税收凭据复印件，上述证明材料真实有效，否则我方负全部责任。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2、依法免税的供应商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）现附上我方依法免税证明材料复印件，上述证明材料真实有效，否则我方负全部责任。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1、请供应商根据实际情况填写，在相应的（）中打“√”，并按照本格式的要求提供相应证明材料的复印件。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2、供应商提供的税收凭据复印件应符合下列规定：</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2.1首次响应文件递交截止时间前（不含截止时间的当月）已依法缴纳税收的供应商，提供首次响应文件递交截止时间前六个月（不含截止时间的当月）中任一月份的税收凭据复印件。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2.2首次响应文件递交截止时间的当月成立且已依法缴纳税收的供应商，提供截止时间当月的税收凭据复印件。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2.3首次响应文件递交截止时间的当月成立但因税务机关原因而尚未依法缴纳税收的供应商，提供依法缴纳税收承诺书原件（格式自拟），该承诺书视同税收凭据。</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ascii="宋体" w:hAnsi="宋体" w:cs="宋体"/>
          <w:b/>
          <w:bCs/>
          <w:color w:val="auto"/>
          <w:kern w:val="0"/>
          <w:sz w:val="24"/>
          <w:szCs w:val="24"/>
          <w:highlight w:val="none"/>
        </w:rPr>
        <w:t>“依法缴纳税收证明材料”</w:t>
      </w:r>
      <w:r>
        <w:rPr>
          <w:rFonts w:ascii="宋体" w:hAnsi="宋体" w:cs="宋体"/>
          <w:color w:val="auto"/>
          <w:kern w:val="0"/>
          <w:sz w:val="24"/>
          <w:szCs w:val="24"/>
          <w:highlight w:val="none"/>
        </w:rPr>
        <w:t>有欠缴记录的，视为</w:t>
      </w:r>
      <w:r>
        <w:rPr>
          <w:rFonts w:ascii="宋体" w:hAnsi="宋体" w:cs="宋体"/>
          <w:b/>
          <w:bCs/>
          <w:color w:val="auto"/>
          <w:kern w:val="0"/>
          <w:sz w:val="24"/>
          <w:szCs w:val="24"/>
          <w:highlight w:val="none"/>
        </w:rPr>
        <w:t>未依法缴纳税收</w:t>
      </w:r>
      <w:r>
        <w:rPr>
          <w:rFonts w:ascii="宋体" w:hAnsi="宋体" w:cs="宋体"/>
          <w:color w:val="auto"/>
          <w:kern w:val="0"/>
          <w:sz w:val="24"/>
          <w:szCs w:val="24"/>
          <w:highlight w:val="none"/>
        </w:rPr>
        <w:t>。</w:t>
      </w:r>
    </w:p>
    <w:p>
      <w:pPr>
        <w:widowControl/>
        <w:spacing w:before="75" w:after="75" w:line="31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附件3-7       </w:t>
      </w:r>
      <w:r>
        <w:rPr>
          <w:rFonts w:ascii="宋体" w:hAnsi="宋体" w:cs="宋体"/>
          <w:b/>
          <w:bCs/>
          <w:color w:val="auto"/>
          <w:kern w:val="0"/>
          <w:sz w:val="24"/>
          <w:szCs w:val="24"/>
          <w:highlight w:val="none"/>
        </w:rPr>
        <w:t>依法缴纳社会保障资金证明材料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1、依法缴纳社会保障资金的供应商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2、依法不需要缴纳社会保障资金的供应商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）现附上我方依法不需要缴纳社会保障资金证明材料复印件，上述证明材料真实有效，否则我方负全部责任。</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285"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1、请供应商根据实际情况填写，在相应的（）中打“√”，并按照本格式的要求提供相应证明材料的复印件。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2、供应商提供的社会保险凭据复印件应符合下列规定：</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2.2首次响应文件递交截止时间的当月成立且已依法缴纳社会保障资金的供应商，提供首次响应文件递交截止时间当月的社会保险凭据复印件。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2.3</w:t>
      </w:r>
      <w:r>
        <w:rPr>
          <w:rFonts w:ascii="宋体" w:hAnsi="宋体" w:cs="宋体"/>
          <w:color w:val="auto"/>
          <w:kern w:val="0"/>
          <w:sz w:val="24"/>
          <w:szCs w:val="24"/>
          <w:highlight w:val="none"/>
        </w:rPr>
        <w:t>首次响应文件递交截止时间的当月成立但因税务机关</w:t>
      </w:r>
      <w:r>
        <w:rPr>
          <w:rFonts w:ascii="宋体" w:hAnsi="宋体" w:cs="宋体"/>
          <w:color w:val="auto"/>
          <w:kern w:val="0"/>
          <w:szCs w:val="21"/>
          <w:highlight w:val="none"/>
        </w:rPr>
        <w:t>/社会保障资金管理机关原因而尚未依法缴纳社会保障资金的</w:t>
      </w:r>
      <w:r>
        <w:rPr>
          <w:rFonts w:ascii="宋体" w:hAnsi="宋体" w:cs="宋体"/>
          <w:color w:val="auto"/>
          <w:kern w:val="0"/>
          <w:sz w:val="24"/>
          <w:szCs w:val="24"/>
          <w:highlight w:val="none"/>
        </w:rPr>
        <w:t>供应商，提供依法缴纳社会保障资金承诺书原件（格式自拟），该承诺书视同社会保险凭据。</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ascii="宋体" w:hAnsi="宋体" w:cs="宋体"/>
          <w:b/>
          <w:bCs/>
          <w:color w:val="auto"/>
          <w:kern w:val="0"/>
          <w:sz w:val="24"/>
          <w:szCs w:val="24"/>
          <w:highlight w:val="none"/>
        </w:rPr>
        <w:t>依法缴纳社会保障资金证明材料</w:t>
      </w:r>
      <w:r>
        <w:rPr>
          <w:rFonts w:ascii="宋体" w:hAnsi="宋体" w:cs="宋体"/>
          <w:color w:val="auto"/>
          <w:kern w:val="0"/>
          <w:sz w:val="24"/>
          <w:szCs w:val="24"/>
          <w:highlight w:val="none"/>
        </w:rPr>
        <w:t>”有欠缴记录的，视为</w:t>
      </w:r>
      <w:r>
        <w:rPr>
          <w:rFonts w:ascii="宋体" w:hAnsi="宋体" w:cs="宋体"/>
          <w:b/>
          <w:bCs/>
          <w:color w:val="auto"/>
          <w:kern w:val="0"/>
          <w:sz w:val="24"/>
          <w:szCs w:val="24"/>
          <w:highlight w:val="none"/>
        </w:rPr>
        <w:t>未依法缴纳社会保障资金</w:t>
      </w:r>
      <w:r>
        <w:rPr>
          <w:rFonts w:ascii="宋体" w:hAnsi="宋体" w:cs="宋体"/>
          <w:color w:val="auto"/>
          <w:kern w:val="0"/>
          <w:sz w:val="24"/>
          <w:szCs w:val="24"/>
          <w:highlight w:val="none"/>
        </w:rPr>
        <w:t>。</w:t>
      </w:r>
    </w:p>
    <w:p>
      <w:pPr>
        <w:widowControl/>
        <w:spacing w:before="75" w:after="75"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28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附件3-8   </w:t>
      </w:r>
      <w:r>
        <w:rPr>
          <w:rFonts w:ascii="宋体" w:hAnsi="宋体" w:cs="宋体"/>
          <w:b/>
          <w:bCs/>
          <w:color w:val="auto"/>
          <w:kern w:val="0"/>
          <w:sz w:val="24"/>
          <w:szCs w:val="24"/>
          <w:highlight w:val="none"/>
        </w:rPr>
        <w:t>具备履行合同所必需设备和专业技术能力证明材料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声明函</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我方具备履行合同所必需的设备和专业技术能力，并对本声明承诺的真实性负责，否则产生不利后果由我方承担责任。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 w:val="24"/>
          <w:szCs w:val="24"/>
          <w:highlight w:val="none"/>
        </w:rPr>
        <w:t>  3.对于接受联合体形式的磋商且供应商是联合体的，则联合体各成员都应当提交本资格证明文件。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pStyle w:val="10"/>
        <w:rPr>
          <w:rFonts w:hint="eastAsia"/>
          <w:color w:val="auto"/>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附件3-9    </w:t>
      </w:r>
      <w:r>
        <w:rPr>
          <w:rFonts w:ascii="宋体" w:hAnsi="宋体" w:cs="宋体"/>
          <w:b/>
          <w:bCs/>
          <w:color w:val="auto"/>
          <w:kern w:val="0"/>
          <w:sz w:val="24"/>
          <w:szCs w:val="24"/>
          <w:highlight w:val="none"/>
        </w:rPr>
        <w:t>参加采购活动前三年内在经营活动中没有重大违法记录书面声明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参加采购活动前三年内，我方在经营活动中没有重大违法记录，</w:t>
      </w:r>
      <w:r>
        <w:rPr>
          <w:rFonts w:ascii="宋体" w:hAnsi="宋体" w:cs="宋体"/>
          <w:color w:val="auto"/>
          <w:kern w:val="0"/>
          <w:szCs w:val="21"/>
          <w:highlight w:val="none"/>
        </w:rPr>
        <w:t>也无行贿犯罪记录。</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1、“重大违法记录”指供应商因违法经营受到刑事处罚或责令停产停业、吊销许可证或执照、较大数额罚款等行政处罚。</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2、请供应商根据实际情况进行声明，若声明不真实，视为提供虚假材料。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line="435" w:lineRule="atLeast"/>
        <w:jc w:val="center"/>
        <w:rPr>
          <w:rFonts w:ascii="宋体" w:hAnsi="宋体" w:cs="宋体"/>
          <w:color w:val="auto"/>
          <w:kern w:val="0"/>
          <w:sz w:val="24"/>
          <w:szCs w:val="24"/>
          <w:highlight w:val="none"/>
        </w:rPr>
      </w:pP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附件3-10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w:t>
      </w:r>
      <w:r>
        <w:rPr>
          <w:rFonts w:ascii="宋体" w:hAnsi="宋体" w:cs="宋体"/>
          <w:b/>
          <w:bCs/>
          <w:color w:val="auto"/>
          <w:kern w:val="0"/>
          <w:sz w:val="24"/>
          <w:szCs w:val="24"/>
          <w:highlight w:val="none"/>
        </w:rPr>
        <w:t>信用记录查询结果</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61"/>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1、由磋商小组通过网站查询并打印供应商的信用记录。</w:t>
      </w:r>
    </w:p>
    <w:p>
      <w:pPr>
        <w:pStyle w:val="61"/>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61"/>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3、供应商应了解自身的信用记录情况。当供应商受到200万</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rPr>
        <w:t>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附件3-11      </w:t>
      </w:r>
      <w:r>
        <w:rPr>
          <w:rFonts w:ascii="宋体" w:hAnsi="宋体" w:cs="宋体"/>
          <w:b/>
          <w:bCs/>
          <w:color w:val="auto"/>
          <w:kern w:val="0"/>
          <w:sz w:val="24"/>
          <w:szCs w:val="24"/>
          <w:highlight w:val="none"/>
        </w:rPr>
        <w:t>  </w:t>
      </w:r>
      <w:r>
        <w:rPr>
          <w:rFonts w:hint="eastAsia" w:ascii="宋体" w:hAnsi="宋体" w:cs="宋体"/>
          <w:b/>
          <w:bCs/>
          <w:color w:val="auto"/>
          <w:kern w:val="0"/>
          <w:sz w:val="24"/>
          <w:szCs w:val="24"/>
          <w:highlight w:val="none"/>
          <w:lang w:val="en-US" w:eastAsia="zh-CN"/>
        </w:rPr>
        <w:t xml:space="preserve"> </w:t>
      </w:r>
      <w:r>
        <w:rPr>
          <w:rFonts w:ascii="宋体" w:hAnsi="宋体" w:cs="宋体"/>
          <w:b/>
          <w:bCs/>
          <w:color w:val="auto"/>
          <w:kern w:val="0"/>
          <w:sz w:val="24"/>
          <w:szCs w:val="24"/>
          <w:highlight w:val="none"/>
        </w:rPr>
        <w:t>联合体协议（接受联合体的项目使用）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兹有（</w:t>
      </w:r>
      <w:r>
        <w:rPr>
          <w:rFonts w:ascii="宋体" w:hAnsi="宋体" w:cs="宋体"/>
          <w:color w:val="auto"/>
          <w:kern w:val="0"/>
          <w:sz w:val="24"/>
          <w:szCs w:val="24"/>
          <w:highlight w:val="none"/>
          <w:u w:val="single"/>
        </w:rPr>
        <w:t>填写“联合体中各方的全称”，各方的全称之间请用“、”分割</w:t>
      </w:r>
      <w:r>
        <w:rPr>
          <w:rFonts w:ascii="宋体" w:hAnsi="宋体" w:cs="宋体"/>
          <w:color w:val="auto"/>
          <w:kern w:val="0"/>
          <w:sz w:val="24"/>
          <w:szCs w:val="24"/>
          <w:highlight w:val="none"/>
        </w:rPr>
        <w:t>）自愿组成联合体，共同参加（填写</w:t>
      </w:r>
      <w:r>
        <w:rPr>
          <w:rFonts w:ascii="宋体" w:hAnsi="宋体" w:cs="宋体"/>
          <w:color w:val="auto"/>
          <w:kern w:val="0"/>
          <w:sz w:val="24"/>
          <w:szCs w:val="24"/>
          <w:highlight w:val="none"/>
          <w:u w:val="single"/>
        </w:rPr>
        <w:t>         “项目名称”           </w:t>
      </w:r>
      <w:r>
        <w:rPr>
          <w:rFonts w:ascii="宋体" w:hAnsi="宋体" w:cs="宋体"/>
          <w:color w:val="auto"/>
          <w:kern w:val="0"/>
          <w:sz w:val="24"/>
          <w:szCs w:val="24"/>
          <w:highlight w:val="none"/>
        </w:rPr>
        <w:t>） 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）的响应磋商。现就联合体参加本项目响应磋商的有关事宜达成下列协议：</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一、联合体各方应承担的工作和义务具体如下：</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联合体牵头方单位名称：</w:t>
      </w:r>
      <w:r>
        <w:rPr>
          <w:rFonts w:ascii="宋体" w:hAnsi="宋体" w:cs="宋体"/>
          <w:color w:val="auto"/>
          <w:kern w:val="0"/>
          <w:sz w:val="24"/>
          <w:szCs w:val="24"/>
          <w:highlight w:val="none"/>
          <w:u w:val="single"/>
        </w:rPr>
        <w:t>  （填写“工作及义务的具体内容”）    </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2、联合体成员方单位名称：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2.1（成员一的全称）：</w:t>
      </w:r>
      <w:r>
        <w:rPr>
          <w:rFonts w:ascii="宋体" w:hAnsi="宋体" w:cs="宋体"/>
          <w:color w:val="auto"/>
          <w:kern w:val="0"/>
          <w:sz w:val="24"/>
          <w:szCs w:val="24"/>
          <w:highlight w:val="none"/>
          <w:u w:val="single"/>
        </w:rPr>
        <w:t> （填写“工作及义务的具体内容”）              </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二、联合体各方约定由（</w:t>
      </w:r>
      <w:r>
        <w:rPr>
          <w:rFonts w:ascii="宋体" w:hAnsi="宋体" w:cs="宋体"/>
          <w:color w:val="auto"/>
          <w:kern w:val="0"/>
          <w:sz w:val="24"/>
          <w:szCs w:val="24"/>
          <w:highlight w:val="none"/>
          <w:u w:val="single"/>
        </w:rPr>
        <w:t>填写“牵头方的全称”</w:t>
      </w:r>
      <w:r>
        <w:rPr>
          <w:rFonts w:ascii="宋体" w:hAnsi="宋体" w:cs="宋体"/>
          <w:color w:val="auto"/>
          <w:kern w:val="0"/>
          <w:sz w:val="24"/>
          <w:szCs w:val="24"/>
          <w:highlight w:val="none"/>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三、联合体各方约定由（填写</w:t>
      </w:r>
      <w:r>
        <w:rPr>
          <w:rFonts w:ascii="宋体" w:hAnsi="宋体" w:cs="宋体"/>
          <w:color w:val="auto"/>
          <w:kern w:val="0"/>
          <w:sz w:val="24"/>
          <w:szCs w:val="24"/>
          <w:highlight w:val="none"/>
          <w:u w:val="single"/>
        </w:rPr>
        <w:t>填写“牵头方的全称”</w:t>
      </w:r>
      <w:r>
        <w:rPr>
          <w:rFonts w:ascii="宋体" w:hAnsi="宋体" w:cs="宋体"/>
          <w:color w:val="auto"/>
          <w:kern w:val="0"/>
          <w:sz w:val="24"/>
          <w:szCs w:val="24"/>
          <w:highlight w:val="none"/>
        </w:rPr>
        <w:t>）代表联合体办理磋商保证金事宜。</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四、若成交，牵头方将代表联合体与采购人就合同签订事宜进行协商；若协商一致，则联合体各方将共同与采购人签订政府采购合同，并就政府采购合同约定的事项对采购人承担连带责任。</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五、本协议自签署之日起生效，政府采购合同履行完毕后自动失效。</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六、本协议一式（填写具体份数）份，联合体各方各执一份，响应文件中提交一份。</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牵头方：</w:t>
      </w:r>
      <w:r>
        <w:rPr>
          <w:rFonts w:ascii="宋体" w:hAnsi="宋体" w:cs="宋体"/>
          <w:color w:val="auto"/>
          <w:kern w:val="0"/>
          <w:sz w:val="24"/>
          <w:szCs w:val="24"/>
          <w:highlight w:val="none"/>
          <w:u w:val="single"/>
        </w:rPr>
        <w:t>（全称并加盖单位公章）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成员一：</w:t>
      </w:r>
      <w:r>
        <w:rPr>
          <w:rFonts w:ascii="宋体" w:hAnsi="宋体" w:cs="宋体"/>
          <w:color w:val="auto"/>
          <w:kern w:val="0"/>
          <w:sz w:val="24"/>
          <w:szCs w:val="24"/>
          <w:highlight w:val="none"/>
          <w:u w:val="single"/>
        </w:rPr>
        <w:t>（全称并加盖成员一的单位公章）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成员**：</w:t>
      </w:r>
      <w:r>
        <w:rPr>
          <w:rFonts w:ascii="宋体" w:hAnsi="宋体" w:cs="宋体"/>
          <w:color w:val="auto"/>
          <w:kern w:val="0"/>
          <w:sz w:val="24"/>
          <w:szCs w:val="24"/>
          <w:highlight w:val="none"/>
          <w:u w:val="single"/>
        </w:rPr>
        <w:t>（全称并加盖成员**的单位公章）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1、若磋商文件规定接受联合体形式且供应商为联合体的，则供应商应提供本协议；否则无须提供。</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2、本协议中的供应商代表如果不是竞争性磋商须知中定义的“单位负责人”，则还必须提供“单位负责人授权书”。</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3、若磋商文件规定接受联合体形式且供应商为联合体的，纸质响应文件正本中的本协议应为原件。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7"/>
        <w:rPr>
          <w:rFonts w:ascii="宋体" w:hAnsi="宋体" w:cs="宋体"/>
          <w:color w:val="auto"/>
          <w:sz w:val="24"/>
          <w:szCs w:val="24"/>
          <w:highlight w:val="none"/>
        </w:rPr>
      </w:pPr>
    </w:p>
    <w:p>
      <w:pPr>
        <w:rPr>
          <w:rFonts w:ascii="宋体" w:hAnsi="宋体" w:cs="宋体"/>
          <w:color w:val="auto"/>
          <w:kern w:val="0"/>
          <w:sz w:val="24"/>
          <w:szCs w:val="24"/>
          <w:highlight w:val="none"/>
        </w:rPr>
      </w:pPr>
    </w:p>
    <w:p>
      <w:pPr>
        <w:pStyle w:val="17"/>
        <w:rPr>
          <w:color w:val="auto"/>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jc w:val="center"/>
        <w:rPr>
          <w:color w:val="auto"/>
          <w:highlight w:val="none"/>
        </w:rPr>
      </w:pPr>
      <w:r>
        <w:rPr>
          <w:rFonts w:ascii="宋体" w:hAnsi="宋体" w:cs="宋体"/>
          <w:color w:val="auto"/>
          <w:kern w:val="0"/>
          <w:sz w:val="24"/>
          <w:szCs w:val="24"/>
          <w:highlight w:val="none"/>
        </w:rPr>
        <w:br w:type="page"/>
      </w:r>
      <w:r>
        <w:rPr>
          <w:b/>
          <w:color w:val="auto"/>
          <w:sz w:val="24"/>
          <w:highlight w:val="none"/>
        </w:rPr>
        <w:t>附件3-1</w:t>
      </w:r>
      <w:r>
        <w:rPr>
          <w:rFonts w:hint="eastAsia"/>
          <w:b/>
          <w:color w:val="auto"/>
          <w:sz w:val="24"/>
          <w:highlight w:val="none"/>
          <w:lang w:val="en-US" w:eastAsia="zh-CN"/>
        </w:rPr>
        <w:t>2</w:t>
      </w:r>
      <w:r>
        <w:rPr>
          <w:b/>
          <w:color w:val="auto"/>
          <w:sz w:val="24"/>
          <w:highlight w:val="none"/>
        </w:rPr>
        <w:t xml:space="preserve"> 分包意向协议（若有）</w:t>
      </w:r>
    </w:p>
    <w:p>
      <w:pPr>
        <w:pStyle w:val="61"/>
        <w:ind w:firstLine="480"/>
        <w:jc w:val="left"/>
        <w:outlineLvl w:val="9"/>
        <w:rPr>
          <w:color w:val="auto"/>
          <w:sz w:val="24"/>
          <w:szCs w:val="24"/>
          <w:highlight w:val="none"/>
        </w:rPr>
      </w:pPr>
      <w:r>
        <w:rPr>
          <w:color w:val="auto"/>
          <w:sz w:val="24"/>
          <w:szCs w:val="24"/>
          <w:highlight w:val="none"/>
        </w:rPr>
        <w:t>甲方（总包方）：</w:t>
      </w:r>
      <w:r>
        <w:rPr>
          <w:color w:val="auto"/>
          <w:sz w:val="24"/>
          <w:szCs w:val="24"/>
          <w:highlight w:val="none"/>
          <w:u w:val="single"/>
        </w:rPr>
        <w:t>　　　　　　　</w:t>
      </w:r>
      <w:r>
        <w:rPr>
          <w:color w:val="auto"/>
          <w:sz w:val="24"/>
          <w:szCs w:val="24"/>
          <w:highlight w:val="none"/>
        </w:rPr>
        <w:t>（即本项目的</w:t>
      </w:r>
      <w:r>
        <w:rPr>
          <w:rFonts w:hint="eastAsia"/>
          <w:color w:val="auto"/>
          <w:sz w:val="24"/>
          <w:szCs w:val="24"/>
          <w:highlight w:val="none"/>
          <w:lang w:val="en-US" w:eastAsia="zh-CN"/>
        </w:rPr>
        <w:t>供应商</w:t>
      </w: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乙方（分包方）：</w:t>
      </w:r>
      <w:r>
        <w:rPr>
          <w:color w:val="auto"/>
          <w:sz w:val="24"/>
          <w:szCs w:val="24"/>
          <w:highlight w:val="none"/>
          <w:u w:val="single"/>
        </w:rPr>
        <w:t>　　　　　　　</w:t>
      </w:r>
    </w:p>
    <w:p>
      <w:pPr>
        <w:pStyle w:val="61"/>
        <w:ind w:firstLine="480"/>
        <w:jc w:val="left"/>
        <w:outlineLvl w:val="9"/>
        <w:rPr>
          <w:color w:val="auto"/>
          <w:sz w:val="24"/>
          <w:szCs w:val="24"/>
          <w:highlight w:val="none"/>
        </w:rPr>
      </w:pPr>
      <w:r>
        <w:rPr>
          <w:color w:val="auto"/>
          <w:sz w:val="24"/>
          <w:szCs w:val="24"/>
          <w:highlight w:val="none"/>
        </w:rPr>
        <w:t>兹有甲方参加</w:t>
      </w:r>
      <w:r>
        <w:rPr>
          <w:color w:val="auto"/>
          <w:sz w:val="24"/>
          <w:szCs w:val="24"/>
          <w:highlight w:val="none"/>
          <w:u w:val="single"/>
        </w:rPr>
        <w:t>（填写“项目名称”）</w:t>
      </w:r>
      <w:r>
        <w:rPr>
          <w:color w:val="auto"/>
          <w:sz w:val="24"/>
          <w:szCs w:val="24"/>
          <w:highlight w:val="none"/>
        </w:rPr>
        <w:t>项目（项目编号：</w:t>
      </w:r>
      <w:r>
        <w:rPr>
          <w:color w:val="auto"/>
          <w:sz w:val="24"/>
          <w:szCs w:val="24"/>
          <w:highlight w:val="none"/>
          <w:u w:val="single"/>
        </w:rPr>
        <w:t>　　　　　　　</w:t>
      </w:r>
      <w:r>
        <w:rPr>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pPr>
        <w:pStyle w:val="61"/>
        <w:ind w:firstLine="480"/>
        <w:jc w:val="left"/>
        <w:outlineLvl w:val="9"/>
        <w:rPr>
          <w:color w:val="auto"/>
          <w:sz w:val="24"/>
          <w:szCs w:val="24"/>
          <w:highlight w:val="none"/>
        </w:rPr>
      </w:pPr>
      <w:r>
        <w:rPr>
          <w:color w:val="auto"/>
          <w:sz w:val="24"/>
          <w:szCs w:val="24"/>
          <w:highlight w:val="none"/>
        </w:rPr>
        <w:t>一、分包标的</w:t>
      </w:r>
    </w:p>
    <w:p>
      <w:pPr>
        <w:pStyle w:val="61"/>
        <w:ind w:firstLine="480"/>
        <w:jc w:val="left"/>
        <w:outlineLvl w:val="9"/>
        <w:rPr>
          <w:color w:val="auto"/>
          <w:sz w:val="24"/>
          <w:szCs w:val="24"/>
          <w:highlight w:val="none"/>
        </w:rPr>
      </w:pPr>
      <w:r>
        <w:rPr>
          <w:color w:val="auto"/>
          <w:sz w:val="24"/>
          <w:szCs w:val="24"/>
          <w:highlight w:val="none"/>
          <w:u w:val="single"/>
        </w:rPr>
        <w:t>（根据双方的意向填写，可以是表格或文字描述）。</w:t>
      </w:r>
    </w:p>
    <w:p>
      <w:pPr>
        <w:pStyle w:val="61"/>
        <w:ind w:firstLine="480"/>
        <w:jc w:val="left"/>
        <w:outlineLvl w:val="9"/>
        <w:rPr>
          <w:color w:val="auto"/>
          <w:sz w:val="24"/>
          <w:szCs w:val="24"/>
          <w:highlight w:val="none"/>
        </w:rPr>
      </w:pPr>
      <w:r>
        <w:rPr>
          <w:color w:val="auto"/>
          <w:sz w:val="24"/>
          <w:szCs w:val="24"/>
          <w:highlight w:val="none"/>
        </w:rPr>
        <w:t>二、分包合同金额占比</w:t>
      </w:r>
    </w:p>
    <w:p>
      <w:pPr>
        <w:pStyle w:val="61"/>
        <w:ind w:firstLine="480"/>
        <w:jc w:val="left"/>
        <w:outlineLvl w:val="9"/>
        <w:rPr>
          <w:color w:val="auto"/>
          <w:sz w:val="24"/>
          <w:szCs w:val="24"/>
          <w:highlight w:val="none"/>
        </w:rPr>
      </w:pPr>
      <w:r>
        <w:rPr>
          <w:color w:val="auto"/>
          <w:sz w:val="24"/>
          <w:szCs w:val="24"/>
          <w:highlight w:val="none"/>
        </w:rPr>
        <w:t>分包合同价占投标总价的比例：</w:t>
      </w:r>
      <w:r>
        <w:rPr>
          <w:color w:val="auto"/>
          <w:sz w:val="24"/>
          <w:szCs w:val="24"/>
          <w:highlight w:val="none"/>
          <w:u w:val="single"/>
        </w:rPr>
        <w:t>　　　　　</w:t>
      </w: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三、其他条款</w:t>
      </w:r>
    </w:p>
    <w:p>
      <w:pPr>
        <w:pStyle w:val="61"/>
        <w:ind w:firstLine="480"/>
        <w:jc w:val="left"/>
        <w:outlineLvl w:val="9"/>
        <w:rPr>
          <w:color w:val="auto"/>
          <w:sz w:val="24"/>
          <w:szCs w:val="24"/>
          <w:highlight w:val="none"/>
        </w:rPr>
      </w:pPr>
      <w:r>
        <w:rPr>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1"/>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甲方：</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住所：</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单位负责人或委托代理人：</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联系方法：</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开户银行：</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账号：</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noWrap w:val="0"/>
            <w:vAlign w:val="top"/>
          </w:tcPr>
          <w:p>
            <w:pPr>
              <w:pStyle w:val="61"/>
              <w:jc w:val="left"/>
              <w:outlineLvl w:val="9"/>
              <w:rPr>
                <w:color w:val="auto"/>
                <w:sz w:val="24"/>
                <w:szCs w:val="24"/>
                <w:highlight w:val="none"/>
              </w:rPr>
            </w:pPr>
            <w:r>
              <w:rPr>
                <w:color w:val="auto"/>
                <w:sz w:val="24"/>
                <w:szCs w:val="24"/>
                <w:highlight w:val="none"/>
              </w:rPr>
              <w:t>签订地点：</w:t>
            </w:r>
            <w:r>
              <w:rPr>
                <w:color w:val="auto"/>
                <w:sz w:val="24"/>
                <w:szCs w:val="24"/>
                <w:highlight w:val="none"/>
                <w:u w:val="single"/>
              </w:rPr>
              <w:t>　　　　　　　　　　</w:t>
            </w:r>
          </w:p>
          <w:p>
            <w:pPr>
              <w:pStyle w:val="61"/>
              <w:jc w:val="left"/>
              <w:outlineLvl w:val="9"/>
              <w:rPr>
                <w:color w:val="auto"/>
                <w:sz w:val="24"/>
                <w:szCs w:val="24"/>
                <w:highlight w:val="none"/>
              </w:rPr>
            </w:pPr>
            <w:r>
              <w:rPr>
                <w:color w:val="auto"/>
                <w:sz w:val="24"/>
                <w:szCs w:val="24"/>
                <w:highlight w:val="none"/>
              </w:rPr>
              <w:t>签约日期：</w:t>
            </w:r>
            <w:r>
              <w:rPr>
                <w:color w:val="auto"/>
                <w:sz w:val="24"/>
                <w:szCs w:val="24"/>
                <w:highlight w:val="none"/>
                <w:u w:val="single"/>
              </w:rPr>
              <w:t>　　年　　月　　日</w:t>
            </w:r>
          </w:p>
        </w:tc>
      </w:tr>
    </w:tbl>
    <w:p>
      <w:pPr>
        <w:pStyle w:val="61"/>
        <w:ind w:firstLine="480"/>
        <w:jc w:val="left"/>
        <w:outlineLvl w:val="9"/>
        <w:rPr>
          <w:color w:val="auto"/>
          <w:sz w:val="24"/>
          <w:szCs w:val="24"/>
          <w:highlight w:val="none"/>
        </w:rPr>
      </w:pPr>
      <w:r>
        <w:rPr>
          <w:color w:val="auto"/>
          <w:sz w:val="24"/>
          <w:szCs w:val="24"/>
          <w:highlight w:val="none"/>
        </w:rPr>
        <w:t>※注意：</w:t>
      </w:r>
    </w:p>
    <w:p>
      <w:pPr>
        <w:pStyle w:val="61"/>
        <w:ind w:firstLine="480"/>
        <w:jc w:val="left"/>
        <w:outlineLvl w:val="9"/>
        <w:rPr>
          <w:color w:val="auto"/>
          <w:sz w:val="24"/>
          <w:szCs w:val="24"/>
          <w:highlight w:val="none"/>
        </w:rPr>
      </w:pPr>
      <w:r>
        <w:rPr>
          <w:color w:val="auto"/>
          <w:sz w:val="24"/>
          <w:szCs w:val="24"/>
          <w:highlight w:val="none"/>
        </w:rPr>
        <w:t>1.招标文件接受合同分包且投标人拟将合同分包的，应提供本协议；否则无须提供。</w:t>
      </w:r>
    </w:p>
    <w:p>
      <w:pPr>
        <w:pStyle w:val="61"/>
        <w:ind w:firstLine="480"/>
        <w:jc w:val="left"/>
        <w:outlineLvl w:val="9"/>
        <w:rPr>
          <w:color w:val="auto"/>
          <w:sz w:val="24"/>
          <w:szCs w:val="24"/>
          <w:highlight w:val="none"/>
        </w:rPr>
      </w:pPr>
      <w:r>
        <w:rPr>
          <w:color w:val="auto"/>
          <w:sz w:val="24"/>
          <w:szCs w:val="24"/>
          <w:highlight w:val="none"/>
        </w:rPr>
        <w:t>2.本协议由委托代理人签字或盖章的，应按照本章载明的格式提供“单位授权书”。</w:t>
      </w:r>
    </w:p>
    <w:p>
      <w:pPr>
        <w:pStyle w:val="61"/>
        <w:ind w:firstLine="480"/>
        <w:jc w:val="left"/>
        <w:outlineLvl w:val="9"/>
        <w:rPr>
          <w:color w:val="auto"/>
          <w:sz w:val="24"/>
          <w:szCs w:val="24"/>
          <w:highlight w:val="none"/>
        </w:rPr>
      </w:pPr>
      <w:r>
        <w:rPr>
          <w:color w:val="auto"/>
          <w:sz w:val="24"/>
          <w:szCs w:val="24"/>
          <w:highlight w:val="none"/>
        </w:rPr>
        <w:t>3.在以合同分包形式落实中小企业预留份额项目中，</w:t>
      </w:r>
      <w:r>
        <w:rPr>
          <w:rFonts w:hint="eastAsia"/>
          <w:color w:val="auto"/>
          <w:sz w:val="24"/>
          <w:szCs w:val="24"/>
          <w:highlight w:val="none"/>
          <w:lang w:val="en-US" w:eastAsia="zh-CN"/>
        </w:rPr>
        <w:t>供应商</w:t>
      </w:r>
      <w:r>
        <w:rPr>
          <w:color w:val="auto"/>
          <w:sz w:val="24"/>
          <w:szCs w:val="24"/>
          <w:highlight w:val="none"/>
        </w:rPr>
        <w:t>除了要提供《中小企业声明函》，还需提供本协议。</w:t>
      </w:r>
    </w:p>
    <w:p>
      <w:pPr>
        <w:rPr>
          <w:rFonts w:ascii="宋体" w:hAnsi="宋体" w:cs="宋体"/>
          <w:color w:val="auto"/>
          <w:kern w:val="0"/>
          <w:sz w:val="24"/>
          <w:szCs w:val="24"/>
          <w:highlight w:val="none"/>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jc w:val="left"/>
        <w:rPr>
          <w:rFonts w:hint="eastAsia" w:ascii="宋体" w:hAnsi="宋体" w:eastAsia="宋体" w:cs="宋体"/>
          <w:b/>
          <w:bCs/>
          <w:color w:val="auto"/>
          <w:kern w:val="0"/>
          <w:sz w:val="24"/>
          <w:szCs w:val="24"/>
          <w:highlight w:val="none"/>
          <w:lang w:eastAsia="zh-CN"/>
        </w:rPr>
      </w:pPr>
      <w:r>
        <w:rPr>
          <w:rFonts w:ascii="宋体" w:hAnsi="宋体" w:cs="宋体"/>
          <w:color w:val="auto"/>
          <w:kern w:val="0"/>
          <w:sz w:val="24"/>
          <w:szCs w:val="24"/>
          <w:highlight w:val="none"/>
        </w:rPr>
        <w:t>附件3-1</w:t>
      </w:r>
      <w:r>
        <w:rPr>
          <w:rFonts w:hint="eastAsia" w:ascii="宋体" w:hAnsi="宋体" w:cs="宋体"/>
          <w:color w:val="auto"/>
          <w:kern w:val="0"/>
          <w:sz w:val="24"/>
          <w:szCs w:val="24"/>
          <w:highlight w:val="none"/>
          <w:lang w:val="en-US" w:eastAsia="zh-CN"/>
        </w:rPr>
        <w:t>3</w:t>
      </w:r>
      <w:r>
        <w:rPr>
          <w:rFonts w:ascii="宋体" w:hAnsi="宋体" w:cs="宋体"/>
          <w:color w:val="auto"/>
          <w:kern w:val="0"/>
          <w:sz w:val="24"/>
          <w:szCs w:val="24"/>
          <w:highlight w:val="none"/>
        </w:rPr>
        <w:t>          </w:t>
      </w:r>
      <w:r>
        <w:rPr>
          <w:rFonts w:ascii="宋体" w:hAnsi="宋体" w:cs="宋体"/>
          <w:b/>
          <w:bCs/>
          <w:color w:val="auto"/>
          <w:kern w:val="0"/>
          <w:sz w:val="24"/>
          <w:szCs w:val="24"/>
          <w:highlight w:val="none"/>
        </w:rPr>
        <w:t>其它资格证明文件</w:t>
      </w:r>
    </w:p>
    <w:p>
      <w:pPr>
        <w:pStyle w:val="10"/>
        <w:rPr>
          <w:rFonts w:hint="eastAsia"/>
          <w:color w:val="auto"/>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（如果有的话）</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2、若磋商文件规定接受联合体形式且供应商为联合体的，涉及联合体成员的其它资格证明文件在此处提供相关证明材料，并加盖供应商单位公章。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附件4        </w:t>
      </w:r>
      <w:r>
        <w:rPr>
          <w:rFonts w:ascii="宋体" w:hAnsi="宋体" w:cs="宋体"/>
          <w:b/>
          <w:bCs/>
          <w:color w:val="auto"/>
          <w:kern w:val="0"/>
          <w:sz w:val="24"/>
          <w:szCs w:val="24"/>
          <w:highlight w:val="none"/>
        </w:rPr>
        <w:t>磋商保证金凭证</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ind w:firstLine="3360"/>
        <w:rPr>
          <w:rFonts w:ascii="宋体" w:hAnsi="宋体" w:cs="宋体"/>
          <w:color w:val="auto"/>
          <w:kern w:val="0"/>
          <w:sz w:val="24"/>
          <w:szCs w:val="24"/>
          <w:highlight w:val="none"/>
        </w:rPr>
      </w:pPr>
      <w:r>
        <w:rPr>
          <w:rFonts w:ascii="宋体" w:hAnsi="宋体" w:cs="宋体"/>
          <w:color w:val="auto"/>
          <w:kern w:val="0"/>
          <w:sz w:val="24"/>
          <w:szCs w:val="24"/>
          <w:highlight w:val="none"/>
        </w:rPr>
        <w:t>编制说明</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Cs w:val="21"/>
          <w:highlight w:val="none"/>
        </w:rPr>
        <w:t>1、</w:t>
      </w:r>
      <w:r>
        <w:rPr>
          <w:rFonts w:ascii="宋体" w:hAnsi="宋体" w:cs="宋体"/>
          <w:color w:val="auto"/>
          <w:kern w:val="0"/>
          <w:sz w:val="24"/>
          <w:szCs w:val="24"/>
          <w:highlight w:val="none"/>
        </w:rPr>
        <w:t>在此项下提交的“</w:t>
      </w:r>
      <w:r>
        <w:rPr>
          <w:rFonts w:ascii="宋体" w:hAnsi="宋体" w:cs="宋体"/>
          <w:b/>
          <w:bCs/>
          <w:color w:val="auto"/>
          <w:kern w:val="0"/>
          <w:sz w:val="24"/>
          <w:szCs w:val="24"/>
          <w:highlight w:val="none"/>
        </w:rPr>
        <w:t>磋商保证金</w:t>
      </w:r>
      <w:r>
        <w:rPr>
          <w:rFonts w:ascii="宋体" w:hAnsi="宋体" w:cs="宋体"/>
          <w:color w:val="auto"/>
          <w:kern w:val="0"/>
          <w:sz w:val="24"/>
          <w:szCs w:val="24"/>
          <w:highlight w:val="none"/>
        </w:rPr>
        <w:t>”材料可使用转账凭证复印件或从福建省政府采购网上公开信息系统中下载的有关原始页面的打印件。</w:t>
      </w:r>
    </w:p>
    <w:p>
      <w:pPr>
        <w:widowControl/>
        <w:spacing w:before="75" w:after="24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2、磋商保证金是否已提交按照磋商文件规定执行。</w:t>
      </w: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附件5-1  </w:t>
      </w:r>
      <w:r>
        <w:rPr>
          <w:rFonts w:ascii="宋体" w:hAnsi="宋体" w:cs="宋体"/>
          <w:b/>
          <w:bCs/>
          <w:color w:val="auto"/>
          <w:kern w:val="0"/>
          <w:sz w:val="24"/>
          <w:szCs w:val="24"/>
          <w:highlight w:val="none"/>
        </w:rPr>
        <w:t>    技术和服务要求响应表</w:t>
      </w: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（全称加盖单位公章）</w:t>
      </w:r>
      <w:r>
        <w:rPr>
          <w:rFonts w:ascii="宋体" w:hAnsi="宋体" w:cs="宋体"/>
          <w:color w:val="auto"/>
          <w:kern w:val="0"/>
          <w:sz w:val="24"/>
          <w:szCs w:val="24"/>
          <w:highlight w:val="none"/>
        </w:rPr>
        <w:t>  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p>
    <w:tbl>
      <w:tblPr>
        <w:tblStyle w:val="21"/>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竞争性磋商文件规定的技术和服务要求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供应商代表签字： _________________</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附件5-2      </w:t>
      </w:r>
      <w:r>
        <w:rPr>
          <w:rFonts w:ascii="宋体" w:hAnsi="宋体" w:cs="宋体"/>
          <w:b/>
          <w:bCs/>
          <w:color w:val="auto"/>
          <w:kern w:val="0"/>
          <w:sz w:val="24"/>
          <w:szCs w:val="24"/>
          <w:highlight w:val="none"/>
        </w:rPr>
        <w:t> 商务条件和其它事项响应表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（全称加盖单位公章）</w:t>
      </w:r>
      <w:r>
        <w:rPr>
          <w:rFonts w:ascii="宋体" w:hAnsi="宋体" w:cs="宋体"/>
          <w:color w:val="auto"/>
          <w:kern w:val="0"/>
          <w:sz w:val="24"/>
          <w:szCs w:val="24"/>
          <w:highlight w:val="none"/>
        </w:rPr>
        <w:t>  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p>
    <w:tbl>
      <w:tblPr>
        <w:tblStyle w:val="21"/>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竞争性磋商文件规定的商务条件要求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 _________________</w:t>
      </w:r>
    </w:p>
    <w:p>
      <w:pPr>
        <w:widowControl/>
        <w:spacing w:before="75" w:after="75" w:line="420" w:lineRule="atLeast"/>
        <w:jc w:val="left"/>
        <w:rPr>
          <w:rFonts w:hint="eastAsia" w:ascii="宋体" w:hAnsi="宋体" w:eastAsia="宋体" w:cs="宋体"/>
          <w:color w:val="auto"/>
          <w:kern w:val="0"/>
          <w:sz w:val="24"/>
          <w:szCs w:val="24"/>
          <w:highlight w:val="none"/>
          <w:lang w:eastAsia="zh-CN"/>
        </w:rPr>
      </w:pP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附件6    </w:t>
      </w:r>
      <w:r>
        <w:rPr>
          <w:rFonts w:ascii="宋体" w:hAnsi="宋体" w:cs="宋体"/>
          <w:b/>
          <w:bCs/>
          <w:color w:val="auto"/>
          <w:kern w:val="0"/>
          <w:sz w:val="24"/>
          <w:szCs w:val="24"/>
          <w:highlight w:val="none"/>
        </w:rPr>
        <w:t>  相关技术、商务、服务响应承诺及资料</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说明：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2.如果没有特别要求的，供应商根据磋商文件的要求以及特点，提供相关技术、商务、服务响应承诺及资料，格式自拟。</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hint="eastAsia" w:ascii="宋体" w:hAnsi="宋体" w:eastAsia="宋体" w:cs="宋体"/>
          <w:color w:val="auto"/>
          <w:kern w:val="0"/>
          <w:sz w:val="24"/>
          <w:szCs w:val="24"/>
          <w:highlight w:val="none"/>
          <w:lang w:eastAsia="zh-CN"/>
        </w:rPr>
      </w:pP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     </w:t>
      </w:r>
      <w:r>
        <w:rPr>
          <w:rFonts w:ascii="宋体" w:hAnsi="宋体" w:cs="宋体"/>
          <w:b/>
          <w:bCs/>
          <w:color w:val="auto"/>
          <w:kern w:val="0"/>
          <w:sz w:val="24"/>
          <w:szCs w:val="24"/>
          <w:highlight w:val="none"/>
        </w:rPr>
        <w:t>供应商提交符合政府采购政策的证明材料</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附件7-1-1        </w:t>
      </w:r>
      <w:r>
        <w:rPr>
          <w:rFonts w:ascii="宋体" w:hAnsi="宋体" w:cs="宋体"/>
          <w:b/>
          <w:bCs/>
          <w:color w:val="auto"/>
          <w:kern w:val="0"/>
          <w:sz w:val="24"/>
          <w:szCs w:val="24"/>
          <w:highlight w:val="none"/>
        </w:rPr>
        <w:t>中小企业声明函（如果有的话）</w:t>
      </w:r>
    </w:p>
    <w:p>
      <w:pPr>
        <w:widowControl/>
        <w:spacing w:before="75" w:after="75" w:line="31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61"/>
        <w:ind w:firstLine="480"/>
        <w:jc w:val="center"/>
        <w:outlineLvl w:val="9"/>
        <w:rPr>
          <w:color w:val="auto"/>
          <w:sz w:val="24"/>
          <w:szCs w:val="24"/>
          <w:highlight w:val="none"/>
        </w:rPr>
      </w:pPr>
      <w:r>
        <w:rPr>
          <w:color w:val="auto"/>
          <w:sz w:val="24"/>
          <w:szCs w:val="24"/>
          <w:highlight w:val="none"/>
        </w:rPr>
        <w:t>中小企业声明函（货物）</w:t>
      </w:r>
    </w:p>
    <w:p>
      <w:pPr>
        <w:pStyle w:val="61"/>
        <w:ind w:firstLine="480"/>
        <w:jc w:val="left"/>
        <w:outlineLvl w:val="9"/>
        <w:rPr>
          <w:color w:val="auto"/>
          <w:sz w:val="24"/>
          <w:szCs w:val="24"/>
          <w:highlight w:val="none"/>
        </w:rPr>
      </w:pPr>
      <w:r>
        <w:rPr>
          <w:color w:val="auto"/>
          <w:sz w:val="24"/>
          <w:szCs w:val="24"/>
          <w:highlight w:val="none"/>
        </w:rPr>
        <w:t>本公司</w:t>
      </w:r>
      <w:r>
        <w:rPr>
          <w:color w:val="auto"/>
          <w:sz w:val="24"/>
          <w:szCs w:val="24"/>
          <w:highlight w:val="none"/>
          <w:u w:val="single"/>
        </w:rPr>
        <w:t>（联合体）</w:t>
      </w:r>
      <w:r>
        <w:rPr>
          <w:color w:val="auto"/>
          <w:sz w:val="24"/>
          <w:szCs w:val="24"/>
          <w:highlight w:val="none"/>
        </w:rPr>
        <w:t>郑重声明，根据《政府采购促进中小企业发展管理办法》（财库﹝2020﹞46号）的规定，本公司</w:t>
      </w:r>
      <w:r>
        <w:rPr>
          <w:color w:val="auto"/>
          <w:sz w:val="24"/>
          <w:szCs w:val="24"/>
          <w:highlight w:val="none"/>
          <w:u w:val="single"/>
        </w:rPr>
        <w:t>（联合体）</w:t>
      </w:r>
      <w:r>
        <w:rPr>
          <w:color w:val="auto"/>
          <w:sz w:val="24"/>
          <w:szCs w:val="24"/>
          <w:highlight w:val="none"/>
        </w:rPr>
        <w:t>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采购活动，提供的货物全部由符合政策要求的中小企业制造。相关企业（含联合体中的中小企业、签订分包意向协议的中小企业）的具体情况如下：</w:t>
      </w:r>
    </w:p>
    <w:p>
      <w:pPr>
        <w:pStyle w:val="61"/>
        <w:ind w:firstLine="480"/>
        <w:jc w:val="left"/>
        <w:outlineLvl w:val="9"/>
        <w:rPr>
          <w:color w:val="auto"/>
          <w:sz w:val="24"/>
          <w:szCs w:val="24"/>
          <w:highlight w:val="none"/>
        </w:rPr>
      </w:pPr>
      <w:r>
        <w:rPr>
          <w:color w:val="auto"/>
          <w:sz w:val="24"/>
          <w:szCs w:val="24"/>
          <w:highlight w:val="none"/>
        </w:rPr>
        <w:t>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行业；制造商为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2.</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行业；制造商为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以上企业，不属于大企业的分支机构，不存在控股股东为大企业的情形，也不存在与大企业的负责人为同一人的情形。</w:t>
      </w:r>
    </w:p>
    <w:p>
      <w:pPr>
        <w:pStyle w:val="61"/>
        <w:ind w:firstLine="480"/>
        <w:jc w:val="left"/>
        <w:outlineLvl w:val="9"/>
        <w:rPr>
          <w:color w:val="auto"/>
          <w:sz w:val="24"/>
          <w:szCs w:val="24"/>
          <w:highlight w:val="none"/>
        </w:rPr>
      </w:pPr>
      <w:r>
        <w:rPr>
          <w:color w:val="auto"/>
          <w:sz w:val="24"/>
          <w:szCs w:val="24"/>
          <w:highlight w:val="none"/>
        </w:rPr>
        <w:t>本企业对上述声明内容的真实性负责。如有虚假，将依法承担相应责任。</w:t>
      </w:r>
    </w:p>
    <w:p>
      <w:pPr>
        <w:pStyle w:val="61"/>
        <w:ind w:firstLine="480"/>
        <w:jc w:val="left"/>
        <w:outlineLvl w:val="9"/>
        <w:rPr>
          <w:color w:val="auto"/>
          <w:sz w:val="24"/>
          <w:szCs w:val="24"/>
          <w:highlight w:val="none"/>
        </w:rPr>
      </w:pPr>
      <w:r>
        <w:rPr>
          <w:color w:val="auto"/>
          <w:sz w:val="24"/>
          <w:szCs w:val="24"/>
          <w:highlight w:val="none"/>
        </w:rPr>
        <w:t>企业名称（盖章）：</w:t>
      </w:r>
    </w:p>
    <w:p>
      <w:pPr>
        <w:pStyle w:val="61"/>
        <w:ind w:firstLine="480"/>
        <w:jc w:val="left"/>
        <w:outlineLvl w:val="9"/>
        <w:rPr>
          <w:color w:val="auto"/>
          <w:sz w:val="24"/>
          <w:szCs w:val="24"/>
          <w:highlight w:val="none"/>
        </w:rPr>
      </w:pPr>
      <w:r>
        <w:rPr>
          <w:color w:val="auto"/>
          <w:sz w:val="24"/>
          <w:szCs w:val="24"/>
          <w:highlight w:val="none"/>
        </w:rPr>
        <w:t>日期：</w:t>
      </w:r>
      <w:r>
        <w:rPr>
          <w:color w:val="auto"/>
          <w:sz w:val="24"/>
          <w:szCs w:val="24"/>
          <w:highlight w:val="none"/>
          <w:u w:val="single"/>
        </w:rPr>
        <w:t>　　　</w:t>
      </w:r>
      <w:r>
        <w:rPr>
          <w:color w:val="auto"/>
          <w:sz w:val="24"/>
          <w:szCs w:val="24"/>
          <w:highlight w:val="none"/>
        </w:rPr>
        <w:t>年</w:t>
      </w:r>
      <w:r>
        <w:rPr>
          <w:color w:val="auto"/>
          <w:sz w:val="24"/>
          <w:szCs w:val="24"/>
          <w:highlight w:val="none"/>
          <w:u w:val="single"/>
        </w:rPr>
        <w:t>　　　</w:t>
      </w:r>
      <w:r>
        <w:rPr>
          <w:color w:val="auto"/>
          <w:sz w:val="24"/>
          <w:szCs w:val="24"/>
          <w:highlight w:val="none"/>
        </w:rPr>
        <w:t>月</w:t>
      </w:r>
      <w:r>
        <w:rPr>
          <w:color w:val="auto"/>
          <w:sz w:val="24"/>
          <w:szCs w:val="24"/>
          <w:highlight w:val="none"/>
          <w:u w:val="single"/>
        </w:rPr>
        <w:t>　　　</w:t>
      </w:r>
      <w:r>
        <w:rPr>
          <w:color w:val="auto"/>
          <w:sz w:val="24"/>
          <w:szCs w:val="24"/>
          <w:highlight w:val="none"/>
        </w:rPr>
        <w:t>日</w:t>
      </w:r>
    </w:p>
    <w:p>
      <w:pPr>
        <w:pStyle w:val="61"/>
        <w:ind w:firstLine="480"/>
        <w:jc w:val="left"/>
        <w:outlineLvl w:val="9"/>
        <w:rPr>
          <w:color w:val="auto"/>
          <w:sz w:val="24"/>
          <w:szCs w:val="24"/>
          <w:highlight w:val="none"/>
        </w:rPr>
      </w:pPr>
      <w:r>
        <w:rPr>
          <w:color w:val="auto"/>
          <w:sz w:val="24"/>
          <w:szCs w:val="24"/>
          <w:highlight w:val="none"/>
        </w:rPr>
        <w:t>※注意：</w:t>
      </w:r>
    </w:p>
    <w:p>
      <w:pPr>
        <w:pStyle w:val="61"/>
        <w:ind w:firstLine="480"/>
        <w:jc w:val="left"/>
        <w:outlineLvl w:val="9"/>
        <w:rPr>
          <w:color w:val="auto"/>
          <w:sz w:val="24"/>
          <w:szCs w:val="24"/>
          <w:highlight w:val="none"/>
        </w:rPr>
      </w:pPr>
      <w:r>
        <w:rPr>
          <w:color w:val="auto"/>
          <w:sz w:val="24"/>
          <w:szCs w:val="24"/>
          <w:highlight w:val="none"/>
        </w:rPr>
        <w:t>1、从业人员、营业收入、资产总额填报上一年度数据，无上一年度数据的新成立企业可不填报。</w:t>
      </w:r>
    </w:p>
    <w:p>
      <w:pPr>
        <w:pStyle w:val="61"/>
        <w:ind w:firstLine="480"/>
        <w:jc w:val="left"/>
        <w:outlineLvl w:val="9"/>
        <w:rPr>
          <w:color w:val="auto"/>
          <w:sz w:val="24"/>
          <w:szCs w:val="24"/>
          <w:highlight w:val="none"/>
        </w:rPr>
      </w:pPr>
      <w:r>
        <w:rPr>
          <w:color w:val="auto"/>
          <w:sz w:val="24"/>
          <w:szCs w:val="24"/>
          <w:highlight w:val="none"/>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61"/>
        <w:ind w:firstLine="480"/>
        <w:jc w:val="left"/>
        <w:outlineLvl w:val="9"/>
        <w:rPr>
          <w:color w:val="auto"/>
          <w:sz w:val="24"/>
          <w:szCs w:val="24"/>
          <w:highlight w:val="none"/>
        </w:rPr>
      </w:pPr>
      <w:r>
        <w:rPr>
          <w:color w:val="auto"/>
          <w:sz w:val="24"/>
          <w:szCs w:val="24"/>
          <w:highlight w:val="none"/>
        </w:rPr>
        <w:t>3、供应商应当对其出具的《中小企业声明函》真实性负责，供应商出具的《中小企业声明函》内容不实的，属于提供虚假材料谋取中标</w:t>
      </w:r>
      <w:r>
        <w:rPr>
          <w:rFonts w:hint="eastAsia"/>
          <w:color w:val="auto"/>
          <w:sz w:val="24"/>
          <w:szCs w:val="24"/>
          <w:highlight w:val="none"/>
          <w:lang w:eastAsia="zh-CN"/>
        </w:rPr>
        <w:t>（</w:t>
      </w:r>
      <w:r>
        <w:rPr>
          <w:rFonts w:hint="eastAsia"/>
          <w:color w:val="auto"/>
          <w:sz w:val="24"/>
          <w:szCs w:val="24"/>
          <w:highlight w:val="none"/>
          <w:lang w:val="en-US" w:eastAsia="zh-CN"/>
        </w:rPr>
        <w:t>成交）</w:t>
      </w:r>
      <w:r>
        <w:rPr>
          <w:color w:val="auto"/>
          <w:sz w:val="24"/>
          <w:szCs w:val="24"/>
          <w:highlight w:val="none"/>
        </w:rPr>
        <w:t>。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0"/>
        <w:rPr>
          <w:rFonts w:hint="eastAsia"/>
          <w:color w:val="auto"/>
          <w:highlight w:val="none"/>
          <w:lang w:eastAsia="zh-CN"/>
        </w:rPr>
      </w:pPr>
    </w:p>
    <w:p>
      <w:pPr>
        <w:pStyle w:val="10"/>
        <w:rPr>
          <w:rFonts w:hint="eastAsia"/>
          <w:color w:val="auto"/>
          <w:highlight w:val="none"/>
          <w:lang w:eastAsia="zh-CN"/>
        </w:rPr>
      </w:pPr>
    </w:p>
    <w:p>
      <w:pPr>
        <w:widowControl/>
        <w:spacing w:before="75" w:after="75"/>
        <w:ind w:firstLine="28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pStyle w:val="61"/>
        <w:jc w:val="center"/>
        <w:outlineLvl w:val="9"/>
        <w:rPr>
          <w:color w:val="auto"/>
          <w:highlight w:val="none"/>
        </w:rPr>
      </w:pPr>
      <w:r>
        <w:rPr>
          <w:b/>
          <w:color w:val="auto"/>
          <w:sz w:val="24"/>
          <w:highlight w:val="none"/>
        </w:rPr>
        <w:t>中小企业声明函（工程、服务）</w:t>
      </w:r>
    </w:p>
    <w:p>
      <w:pPr>
        <w:pStyle w:val="61"/>
        <w:ind w:firstLine="480"/>
        <w:jc w:val="left"/>
        <w:outlineLvl w:val="9"/>
        <w:rPr>
          <w:color w:val="auto"/>
          <w:sz w:val="24"/>
          <w:szCs w:val="24"/>
          <w:highlight w:val="none"/>
        </w:rPr>
      </w:pPr>
      <w:r>
        <w:rPr>
          <w:color w:val="auto"/>
          <w:sz w:val="24"/>
          <w:szCs w:val="24"/>
          <w:highlight w:val="none"/>
        </w:rPr>
        <w:t>本公司</w:t>
      </w:r>
      <w:r>
        <w:rPr>
          <w:color w:val="auto"/>
          <w:sz w:val="24"/>
          <w:szCs w:val="24"/>
          <w:highlight w:val="none"/>
          <w:u w:val="single"/>
        </w:rPr>
        <w:t>（联合体）</w:t>
      </w:r>
      <w:r>
        <w:rPr>
          <w:color w:val="auto"/>
          <w:sz w:val="24"/>
          <w:szCs w:val="24"/>
          <w:highlight w:val="none"/>
        </w:rPr>
        <w:t>郑重声明，根据《政府采购促进中小企业发展管理办法》（财库﹝2020﹞46号）的规定，本公司</w:t>
      </w:r>
      <w:r>
        <w:rPr>
          <w:color w:val="auto"/>
          <w:sz w:val="24"/>
          <w:szCs w:val="24"/>
          <w:highlight w:val="none"/>
          <w:u w:val="single"/>
        </w:rPr>
        <w:t>（联合体）</w:t>
      </w:r>
      <w:r>
        <w:rPr>
          <w:color w:val="auto"/>
          <w:sz w:val="24"/>
          <w:szCs w:val="24"/>
          <w:highlight w:val="none"/>
        </w:rPr>
        <w:t>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1"/>
        <w:ind w:firstLine="480"/>
        <w:jc w:val="left"/>
        <w:outlineLvl w:val="9"/>
        <w:rPr>
          <w:color w:val="auto"/>
          <w:sz w:val="24"/>
          <w:szCs w:val="24"/>
          <w:highlight w:val="none"/>
        </w:rPr>
      </w:pPr>
      <w:r>
        <w:rPr>
          <w:color w:val="auto"/>
          <w:sz w:val="24"/>
          <w:szCs w:val="24"/>
          <w:highlight w:val="none"/>
        </w:rPr>
        <w:t>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pPr>
        <w:pStyle w:val="61"/>
        <w:ind w:firstLine="480"/>
        <w:jc w:val="left"/>
        <w:outlineLvl w:val="9"/>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以上企业，不属于大企业的分支机构，不存在控股股东为大企业的情形，也不存在与大企业的负责人为同一人的情形。</w:t>
      </w:r>
    </w:p>
    <w:p>
      <w:pPr>
        <w:pStyle w:val="61"/>
        <w:ind w:firstLine="480"/>
        <w:jc w:val="left"/>
        <w:outlineLvl w:val="9"/>
        <w:rPr>
          <w:color w:val="auto"/>
          <w:sz w:val="24"/>
          <w:szCs w:val="24"/>
          <w:highlight w:val="none"/>
        </w:rPr>
      </w:pPr>
      <w:r>
        <w:rPr>
          <w:color w:val="auto"/>
          <w:sz w:val="24"/>
          <w:szCs w:val="24"/>
          <w:highlight w:val="none"/>
        </w:rPr>
        <w:t>本企业对上述声明内容的真实性负责。如有虚假，将依法承担相应责任。</w:t>
      </w:r>
    </w:p>
    <w:p>
      <w:pPr>
        <w:pStyle w:val="61"/>
        <w:ind w:firstLine="480"/>
        <w:jc w:val="left"/>
        <w:outlineLvl w:val="9"/>
        <w:rPr>
          <w:color w:val="auto"/>
          <w:sz w:val="24"/>
          <w:szCs w:val="24"/>
          <w:highlight w:val="none"/>
        </w:rPr>
      </w:pPr>
      <w:r>
        <w:rPr>
          <w:color w:val="auto"/>
          <w:sz w:val="24"/>
          <w:szCs w:val="24"/>
          <w:highlight w:val="none"/>
        </w:rPr>
        <w:t>企业名称（盖章）：</w:t>
      </w:r>
    </w:p>
    <w:p>
      <w:pPr>
        <w:pStyle w:val="61"/>
        <w:ind w:firstLine="480"/>
        <w:jc w:val="left"/>
        <w:outlineLvl w:val="9"/>
        <w:rPr>
          <w:rFonts w:hint="eastAsia" w:eastAsia="宋体"/>
          <w:color w:val="auto"/>
          <w:sz w:val="24"/>
          <w:szCs w:val="24"/>
          <w:highlight w:val="none"/>
          <w:lang w:eastAsia="zh-CN"/>
        </w:rPr>
      </w:pPr>
      <w:r>
        <w:rPr>
          <w:color w:val="auto"/>
          <w:sz w:val="24"/>
          <w:szCs w:val="24"/>
          <w:highlight w:val="none"/>
        </w:rPr>
        <w:t>日期：</w:t>
      </w:r>
      <w:r>
        <w:rPr>
          <w:color w:val="auto"/>
          <w:sz w:val="24"/>
          <w:szCs w:val="24"/>
          <w:highlight w:val="none"/>
          <w:u w:val="single"/>
        </w:rPr>
        <w:t>　　　</w:t>
      </w:r>
      <w:r>
        <w:rPr>
          <w:color w:val="auto"/>
          <w:sz w:val="24"/>
          <w:szCs w:val="24"/>
          <w:highlight w:val="none"/>
        </w:rPr>
        <w:t>年</w:t>
      </w:r>
      <w:r>
        <w:rPr>
          <w:color w:val="auto"/>
          <w:sz w:val="24"/>
          <w:szCs w:val="24"/>
          <w:highlight w:val="none"/>
          <w:u w:val="single"/>
        </w:rPr>
        <w:t>　　　</w:t>
      </w:r>
      <w:r>
        <w:rPr>
          <w:color w:val="auto"/>
          <w:sz w:val="24"/>
          <w:szCs w:val="24"/>
          <w:highlight w:val="none"/>
        </w:rPr>
        <w:t>月</w:t>
      </w:r>
      <w:r>
        <w:rPr>
          <w:color w:val="auto"/>
          <w:sz w:val="24"/>
          <w:szCs w:val="24"/>
          <w:highlight w:val="none"/>
          <w:u w:val="single"/>
        </w:rPr>
        <w:t>　　　</w:t>
      </w:r>
      <w:r>
        <w:rPr>
          <w:color w:val="auto"/>
          <w:sz w:val="24"/>
          <w:szCs w:val="24"/>
          <w:highlight w:val="none"/>
        </w:rPr>
        <w:t>日</w:t>
      </w:r>
    </w:p>
    <w:p>
      <w:pPr>
        <w:pStyle w:val="61"/>
        <w:ind w:firstLine="480"/>
        <w:jc w:val="left"/>
        <w:outlineLvl w:val="9"/>
        <w:rPr>
          <w:rFonts w:hint="eastAsia" w:eastAsia="宋体"/>
          <w:color w:val="auto"/>
          <w:sz w:val="24"/>
          <w:szCs w:val="24"/>
          <w:highlight w:val="none"/>
          <w:lang w:eastAsia="zh-CN"/>
        </w:rPr>
      </w:pPr>
    </w:p>
    <w:p>
      <w:pPr>
        <w:pStyle w:val="61"/>
        <w:ind w:firstLine="480"/>
        <w:jc w:val="left"/>
        <w:outlineLvl w:val="9"/>
        <w:rPr>
          <w:color w:val="auto"/>
          <w:sz w:val="24"/>
          <w:szCs w:val="24"/>
          <w:highlight w:val="none"/>
        </w:rPr>
      </w:pPr>
      <w:r>
        <w:rPr>
          <w:color w:val="auto"/>
          <w:sz w:val="24"/>
          <w:szCs w:val="24"/>
          <w:highlight w:val="none"/>
        </w:rPr>
        <w:t>※注意：</w:t>
      </w:r>
    </w:p>
    <w:p>
      <w:pPr>
        <w:pStyle w:val="61"/>
        <w:ind w:firstLine="480"/>
        <w:jc w:val="left"/>
        <w:outlineLvl w:val="9"/>
        <w:rPr>
          <w:color w:val="auto"/>
          <w:sz w:val="24"/>
          <w:szCs w:val="24"/>
          <w:highlight w:val="none"/>
        </w:rPr>
      </w:pPr>
      <w:r>
        <w:rPr>
          <w:color w:val="auto"/>
          <w:sz w:val="24"/>
          <w:szCs w:val="24"/>
          <w:highlight w:val="none"/>
        </w:rPr>
        <w:t>1、从业人员、营业收入、资产总额填报上一年度数据，无上一年度数据的新成立企业可不填报。</w:t>
      </w:r>
    </w:p>
    <w:p>
      <w:pPr>
        <w:pStyle w:val="61"/>
        <w:ind w:firstLine="480"/>
        <w:jc w:val="left"/>
        <w:outlineLvl w:val="9"/>
        <w:rPr>
          <w:color w:val="auto"/>
          <w:sz w:val="24"/>
          <w:szCs w:val="24"/>
          <w:highlight w:val="none"/>
        </w:rPr>
      </w:pPr>
      <w:r>
        <w:rPr>
          <w:color w:val="auto"/>
          <w:sz w:val="24"/>
          <w:szCs w:val="24"/>
          <w:highlight w:val="none"/>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widowControl/>
        <w:spacing w:before="100" w:beforeAutospacing="1" w:after="100" w:afterAutospacing="1"/>
        <w:jc w:val="left"/>
        <w:rPr>
          <w:rFonts w:ascii="宋体" w:hAnsi="宋体" w:cs="宋体"/>
          <w:color w:val="auto"/>
          <w:kern w:val="0"/>
          <w:sz w:val="24"/>
          <w:szCs w:val="24"/>
          <w:highlight w:val="none"/>
        </w:rPr>
      </w:pPr>
      <w:r>
        <w:rPr>
          <w:color w:val="auto"/>
          <w:sz w:val="24"/>
          <w:szCs w:val="24"/>
          <w:highlight w:val="none"/>
        </w:rPr>
        <w:t>3、供应商应当对其出具的《中小企业声明函》真实性负责，供应商出具的《中小企业声明函》内容不实的，属于提供虚假材料谋取中标</w:t>
      </w:r>
      <w:r>
        <w:rPr>
          <w:rFonts w:hint="eastAsia"/>
          <w:color w:val="auto"/>
          <w:sz w:val="24"/>
          <w:szCs w:val="24"/>
          <w:highlight w:val="none"/>
          <w:lang w:eastAsia="zh-CN"/>
        </w:rPr>
        <w:t>（</w:t>
      </w:r>
      <w:r>
        <w:rPr>
          <w:rFonts w:hint="eastAsia"/>
          <w:color w:val="auto"/>
          <w:sz w:val="24"/>
          <w:szCs w:val="24"/>
          <w:highlight w:val="none"/>
          <w:lang w:val="en-US" w:eastAsia="zh-CN"/>
        </w:rPr>
        <w:t>成交）</w:t>
      </w:r>
      <w:r>
        <w:rPr>
          <w:color w:val="auto"/>
          <w:sz w:val="24"/>
          <w:szCs w:val="24"/>
          <w:highlight w:val="none"/>
        </w:rPr>
        <w:t>。在实际操作中，项目属性为货物且供应商希望获得中小企业政策支持的，应从制造商处获得充分、准确的信息。对相关制造商信息了解不充分，或者不能确定相关信息真实、准确的，不建议出具《中小企业声明函》。</w:t>
      </w:r>
      <w:r>
        <w:rPr>
          <w:rFonts w:ascii="宋体" w:hAnsi="宋体" w:cs="宋体"/>
          <w:color w:val="auto"/>
          <w:kern w:val="0"/>
          <w:sz w:val="24"/>
          <w:szCs w:val="24"/>
          <w:highlight w:val="none"/>
        </w:rPr>
        <w:t> </w:t>
      </w: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pStyle w:val="11"/>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附件7-1-2</w:t>
      </w:r>
    </w:p>
    <w:p>
      <w:pPr>
        <w:widowControl/>
        <w:spacing w:before="75" w:after="75" w:line="315" w:lineRule="atLeast"/>
        <w:ind w:firstLine="480"/>
        <w:rPr>
          <w:rFonts w:ascii="宋体" w:hAnsi="宋体" w:cs="宋体"/>
          <w:color w:val="auto"/>
          <w:kern w:val="0"/>
          <w:sz w:val="24"/>
          <w:szCs w:val="24"/>
          <w:highlight w:val="none"/>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残疾人福利性单位声明函（如果有的话）</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cs="宋体"/>
          <w:color w:val="auto"/>
          <w:kern w:val="0"/>
          <w:sz w:val="24"/>
          <w:szCs w:val="24"/>
          <w:highlight w:val="none"/>
          <w:u w:val="single"/>
        </w:rPr>
        <w:t>（填写“项目名称”）</w:t>
      </w:r>
      <w:r>
        <w:rPr>
          <w:rFonts w:ascii="宋体" w:hAnsi="宋体" w:cs="宋体"/>
          <w:color w:val="auto"/>
          <w:kern w:val="0"/>
          <w:sz w:val="24"/>
          <w:szCs w:val="24"/>
          <w:highlight w:val="none"/>
        </w:rPr>
        <w:t>项目采购活动：</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ascii="宋体" w:hAnsi="宋体" w:cs="宋体"/>
          <w:color w:val="auto"/>
          <w:kern w:val="0"/>
          <w:szCs w:val="21"/>
          <w:highlight w:val="none"/>
        </w:rPr>
        <w:t>提供本供应商制造的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货物，或提供其他残疾人福利性单位制造的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货物（不包括使用非残疾人福利性单位注册商标的货物）。（说明：只有部分货物由残疾人福利企业制造的，在该货物后标</w:t>
      </w:r>
      <w:r>
        <w:rPr>
          <w:rFonts w:ascii="宋体" w:hAnsi="宋体" w:cs="宋体"/>
          <w:color w:val="auto"/>
          <w:kern w:val="0"/>
          <w:sz w:val="24"/>
          <w:szCs w:val="24"/>
          <w:highlight w:val="none"/>
        </w:rPr>
        <w:t>★</w:t>
      </w:r>
      <w:r>
        <w:rPr>
          <w:rFonts w:ascii="宋体" w:hAnsi="宋体" w:cs="宋体"/>
          <w:color w:val="auto"/>
          <w:kern w:val="0"/>
          <w:szCs w:val="21"/>
          <w:highlight w:val="none"/>
        </w:rPr>
        <w:t>）</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）由本供应商承建的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工程</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）由本供应商承接的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服务；</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本供应商对上述声明的真实性负责。如有虚假，将依法承担相应责任。</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（2）请供应商按照实际情况编制填写本声明函，并在相应的（）中打“√”。</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（3）纸质响应文件正本中的本声明函（若有）应为原件。</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（4）若《残疾人福利性单位声明函》内容不真实，视为提供虚假材料。</w:t>
      </w:r>
    </w:p>
    <w:p>
      <w:pPr>
        <w:widowControl/>
        <w:spacing w:before="75" w:after="75" w:line="435" w:lineRule="atLeast"/>
        <w:ind w:firstLine="420"/>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1"/>
        <w:rPr>
          <w:color w:val="auto"/>
          <w:highlight w:val="none"/>
        </w:rPr>
      </w:pPr>
    </w:p>
    <w:p>
      <w:pPr>
        <w:widowControl/>
        <w:spacing w:before="75" w:after="75"/>
        <w:jc w:val="center"/>
        <w:rPr>
          <w:rFonts w:hint="eastAsia" w:ascii="宋体" w:hAnsi="宋体" w:eastAsia="宋体" w:cs="宋体"/>
          <w:color w:val="auto"/>
          <w:kern w:val="0"/>
          <w:sz w:val="24"/>
          <w:szCs w:val="24"/>
          <w:highlight w:val="none"/>
          <w:lang w:eastAsia="zh-CN"/>
        </w:rPr>
      </w:pP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附件7-2</w:t>
      </w:r>
      <w:r>
        <w:rPr>
          <w:rFonts w:ascii="宋体" w:hAnsi="宋体" w:cs="宋体"/>
          <w:b/>
          <w:bCs/>
          <w:color w:val="auto"/>
          <w:kern w:val="0"/>
          <w:sz w:val="24"/>
          <w:szCs w:val="24"/>
          <w:highlight w:val="none"/>
        </w:rPr>
        <w:t>优先类节能产品、环境标志产品价格扣除证明材料（如果有的话）</w:t>
      </w:r>
    </w:p>
    <w:p>
      <w:pPr>
        <w:widowControl/>
        <w:spacing w:before="75" w:after="75"/>
        <w:rPr>
          <w:rFonts w:ascii="宋体" w:hAnsi="宋体" w:cs="宋体"/>
          <w:color w:val="auto"/>
          <w:kern w:val="0"/>
          <w:sz w:val="24"/>
          <w:szCs w:val="24"/>
          <w:highlight w:val="none"/>
        </w:rPr>
      </w:pPr>
      <w:r>
        <w:rPr>
          <w:rFonts w:ascii="宋体" w:hAnsi="宋体" w:cs="宋体"/>
          <w:color w:val="auto"/>
          <w:kern w:val="0"/>
          <w:sz w:val="24"/>
          <w:szCs w:val="24"/>
          <w:highlight w:val="non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2"/>
        <w:gridCol w:w="1212"/>
        <w:gridCol w:w="1207"/>
        <w:gridCol w:w="1218"/>
        <w:gridCol w:w="1207"/>
        <w:gridCol w:w="1218"/>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7253"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合同包</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品目号</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产品名称</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最后报价单价</w:t>
            </w:r>
          </w:p>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（现场）</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数量</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最后报价总价</w:t>
            </w:r>
          </w:p>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（现场）</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*-1</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cs="宋体"/>
                <w:color w:val="auto"/>
                <w:kern w:val="0"/>
                <w:szCs w:val="21"/>
                <w:highlight w:val="none"/>
              </w:rPr>
              <w:t>…</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备注</w:t>
            </w:r>
          </w:p>
        </w:tc>
        <w:tc>
          <w:tcPr>
            <w:tcW w:w="7253"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a.本合同包内属于节能、环境标志产品的合计最后报价总金额：      ；</w:t>
            </w:r>
          </w:p>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b.本合同包最后报价总价：</w:t>
            </w:r>
            <w:r>
              <w:rPr>
                <w:rFonts w:ascii="宋体" w:hAnsi="宋体" w:cs="宋体"/>
                <w:color w:val="auto"/>
                <w:kern w:val="0"/>
                <w:szCs w:val="21"/>
                <w:highlight w:val="none"/>
                <w:u w:val="single"/>
              </w:rPr>
              <w:t>            </w:t>
            </w:r>
            <w:r>
              <w:rPr>
                <w:rFonts w:ascii="宋体" w:hAnsi="宋体" w:cs="宋体"/>
                <w:color w:val="auto"/>
                <w:kern w:val="0"/>
                <w:szCs w:val="21"/>
                <w:highlight w:val="none"/>
              </w:rPr>
              <w:t>；</w:t>
            </w:r>
          </w:p>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c.本合同包内属于节能、环境标志产品的合计最后报价总金额占本合同包最后报价总价的比例（以</w:t>
            </w:r>
            <w:r>
              <w:rPr>
                <w:rFonts w:cs="宋体"/>
                <w:color w:val="auto"/>
                <w:kern w:val="0"/>
                <w:szCs w:val="21"/>
                <w:highlight w:val="none"/>
              </w:rPr>
              <w:t>%</w:t>
            </w:r>
            <w:r>
              <w:rPr>
                <w:rFonts w:ascii="宋体" w:hAnsi="宋体" w:cs="宋体"/>
                <w:color w:val="auto"/>
                <w:kern w:val="0"/>
                <w:szCs w:val="21"/>
                <w:highlight w:val="none"/>
              </w:rPr>
              <w:t>列示）：</w:t>
            </w:r>
            <w:r>
              <w:rPr>
                <w:rFonts w:ascii="宋体" w:hAnsi="宋体" w:cs="宋体"/>
                <w:color w:val="auto"/>
                <w:kern w:val="0"/>
                <w:szCs w:val="21"/>
                <w:highlight w:val="none"/>
                <w:u w:val="single"/>
              </w:rPr>
              <w:t>           </w:t>
            </w:r>
            <w:r>
              <w:rPr>
                <w:rFonts w:ascii="宋体" w:hAnsi="宋体" w:cs="宋体"/>
                <w:color w:val="auto"/>
                <w:kern w:val="0"/>
                <w:szCs w:val="21"/>
                <w:highlight w:val="none"/>
              </w:rPr>
              <w:t>。</w:t>
            </w:r>
          </w:p>
        </w:tc>
      </w:tr>
    </w:tbl>
    <w:p>
      <w:pPr>
        <w:widowControl/>
        <w:spacing w:before="75" w:after="75" w:line="360"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3、具体统计、计算：</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3.1若同一合同包内的单个或多个货物取得或同时取得节能、环境标志产品等两项或多项认证的，均按照单个货物对应一项认证的原则统计、计算1次。</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3.2计算结果若除不尽，可四舍五入保留到小数点后两位。</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3.3供应商应按照磋商文件上表要求认真统计、计算，否则磋商小组可不予认定。</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3.4若无节能、环境标志产品，不填写本表，否则，视为提供虚假材料。</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3.5强制类节能产品不享受价格扣除。</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5、纸质响应文件正本中的本表（若有）应为原件。</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附件8       </w:t>
      </w:r>
      <w:r>
        <w:rPr>
          <w:rFonts w:ascii="宋体" w:hAnsi="宋体" w:cs="宋体"/>
          <w:b/>
          <w:bCs/>
          <w:color w:val="auto"/>
          <w:kern w:val="0"/>
          <w:sz w:val="24"/>
          <w:szCs w:val="24"/>
          <w:highlight w:val="none"/>
        </w:rPr>
        <w:t>要求作为响应文件组成部分的其他内容（若有）</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说明：</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2、供应商根据自身实际情况编写有关资料包括如供应商单位简介、竞争性磋商文件要求提供或供应商自已认为体现自身优势，需要补充说明的其它资料，格式自拟。</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Cs w:val="21"/>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rPr>
          <w:color w:val="auto"/>
          <w:highlight w:val="none"/>
        </w:rPr>
      </w:pPr>
    </w:p>
    <w:sectPr>
      <w:headerReference r:id="rId3" w:type="default"/>
      <w:footerReference r:id="rId4" w:type="default"/>
      <w:pgSz w:w="11907" w:h="16840"/>
      <w:pgMar w:top="1440" w:right="1287" w:bottom="1440" w:left="130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dobe 仿宋 Std R">
    <w:altName w:val="仿宋"/>
    <w:panose1 w:val="02020400000000000000"/>
    <w:charset w:val="86"/>
    <w:family w:val="roman"/>
    <w:pitch w:val="default"/>
    <w:sig w:usb0="00000000" w:usb1="00000000" w:usb2="00000016" w:usb3="00000000" w:csb0="00060007"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0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69</w:t>
    </w:r>
    <w:r>
      <w:rPr>
        <w:b/>
        <w:bCs/>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eastAsia="宋体"/>
        <w:lang w:eastAsia="zh-CN"/>
      </w:rPr>
    </w:pPr>
    <w:r>
      <w:rPr>
        <w:rFonts w:hint="eastAsia"/>
      </w:rPr>
      <w:t xml:space="preserve">竞争性磋商文件                                                        </w:t>
    </w:r>
    <w:r>
      <w:rPr>
        <w:rFonts w:hint="eastAsia"/>
        <w:lang w:eastAsia="zh-CN"/>
      </w:rPr>
      <w:t>建融建设管理集团有限责任公司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3BC42"/>
    <w:multiLevelType w:val="singleLevel"/>
    <w:tmpl w:val="9093BC42"/>
    <w:lvl w:ilvl="0" w:tentative="0">
      <w:start w:val="2"/>
      <w:numFmt w:val="decimal"/>
      <w:lvlText w:val="%1."/>
      <w:lvlJc w:val="left"/>
      <w:pPr>
        <w:tabs>
          <w:tab w:val="left" w:pos="312"/>
        </w:tabs>
      </w:pPr>
    </w:lvl>
  </w:abstractNum>
  <w:abstractNum w:abstractNumId="1">
    <w:nsid w:val="9CFAE6BC"/>
    <w:multiLevelType w:val="singleLevel"/>
    <w:tmpl w:val="9CFAE6BC"/>
    <w:lvl w:ilvl="0" w:tentative="0">
      <w:start w:val="1"/>
      <w:numFmt w:val="decimal"/>
      <w:lvlText w:val="%1."/>
      <w:lvlJc w:val="left"/>
      <w:pPr>
        <w:tabs>
          <w:tab w:val="left" w:pos="312"/>
        </w:tabs>
      </w:pPr>
    </w:lvl>
  </w:abstractNum>
  <w:abstractNum w:abstractNumId="2">
    <w:nsid w:val="C9D8D1CB"/>
    <w:multiLevelType w:val="singleLevel"/>
    <w:tmpl w:val="C9D8D1CB"/>
    <w:lvl w:ilvl="0" w:tentative="0">
      <w:start w:val="2"/>
      <w:numFmt w:val="decimal"/>
      <w:lvlText w:val="%1."/>
      <w:lvlJc w:val="left"/>
      <w:pPr>
        <w:tabs>
          <w:tab w:val="left" w:pos="312"/>
        </w:tabs>
      </w:pPr>
    </w:lvl>
  </w:abstractNum>
  <w:abstractNum w:abstractNumId="3">
    <w:nsid w:val="DC647723"/>
    <w:multiLevelType w:val="singleLevel"/>
    <w:tmpl w:val="DC647723"/>
    <w:lvl w:ilvl="0" w:tentative="0">
      <w:start w:val="1"/>
      <w:numFmt w:val="chineseCounting"/>
      <w:suff w:val="nothing"/>
      <w:lvlText w:val="%1、"/>
      <w:lvlJc w:val="left"/>
      <w:rPr>
        <w:rFonts w:hint="eastAsia"/>
      </w:rPr>
    </w:lvl>
  </w:abstractNum>
  <w:abstractNum w:abstractNumId="4">
    <w:nsid w:val="00000000"/>
    <w:multiLevelType w:val="singleLevel"/>
    <w:tmpl w:val="00000000"/>
    <w:lvl w:ilvl="0" w:tentative="0">
      <w:start w:val="1"/>
      <w:numFmt w:val="bullet"/>
      <w:pStyle w:val="34"/>
      <w:lvlText w:val=""/>
      <w:lvlJc w:val="left"/>
      <w:pPr>
        <w:tabs>
          <w:tab w:val="left" w:pos="432"/>
        </w:tabs>
        <w:ind w:left="432" w:hanging="432"/>
      </w:pPr>
      <w:rPr>
        <w:rFonts w:hint="default" w:ascii="Symbol" w:hAnsi="Symbol"/>
      </w:rPr>
    </w:lvl>
  </w:abstractNum>
  <w:abstractNum w:abstractNumId="5">
    <w:nsid w:val="08FEC10F"/>
    <w:multiLevelType w:val="singleLevel"/>
    <w:tmpl w:val="08FEC10F"/>
    <w:lvl w:ilvl="0" w:tentative="0">
      <w:start w:val="1"/>
      <w:numFmt w:val="decimal"/>
      <w:lvlText w:val="%1."/>
      <w:lvlJc w:val="left"/>
      <w:pPr>
        <w:tabs>
          <w:tab w:val="left" w:pos="312"/>
        </w:tabs>
      </w:pPr>
    </w:lvl>
  </w:abstractNum>
  <w:abstractNum w:abstractNumId="6">
    <w:nsid w:val="1B37DB6A"/>
    <w:multiLevelType w:val="singleLevel"/>
    <w:tmpl w:val="1B37DB6A"/>
    <w:lvl w:ilvl="0" w:tentative="0">
      <w:start w:val="1"/>
      <w:numFmt w:val="decimal"/>
      <w:lvlText w:val="%1."/>
      <w:lvlJc w:val="left"/>
      <w:pPr>
        <w:tabs>
          <w:tab w:val="left" w:pos="312"/>
        </w:tabs>
      </w:pPr>
    </w:lvl>
  </w:abstractNum>
  <w:abstractNum w:abstractNumId="7">
    <w:nsid w:val="3F84A4F2"/>
    <w:multiLevelType w:val="singleLevel"/>
    <w:tmpl w:val="3F84A4F2"/>
    <w:lvl w:ilvl="0" w:tentative="0">
      <w:start w:val="1"/>
      <w:numFmt w:val="decimal"/>
      <w:lvlText w:val="%1."/>
      <w:lvlJc w:val="left"/>
      <w:pPr>
        <w:tabs>
          <w:tab w:val="left" w:pos="312"/>
        </w:tabs>
      </w:pPr>
    </w:lvl>
  </w:abstractNum>
  <w:abstractNum w:abstractNumId="8">
    <w:nsid w:val="68B1B351"/>
    <w:multiLevelType w:val="singleLevel"/>
    <w:tmpl w:val="68B1B351"/>
    <w:lvl w:ilvl="0" w:tentative="0">
      <w:start w:val="2"/>
      <w:numFmt w:val="decimal"/>
      <w:lvlText w:val="%1."/>
      <w:lvlJc w:val="left"/>
      <w:pPr>
        <w:tabs>
          <w:tab w:val="left" w:pos="312"/>
        </w:tabs>
      </w:pPr>
    </w:lvl>
  </w:abstractNum>
  <w:abstractNum w:abstractNumId="9">
    <w:nsid w:val="760AC526"/>
    <w:multiLevelType w:val="singleLevel"/>
    <w:tmpl w:val="760AC526"/>
    <w:lvl w:ilvl="0" w:tentative="0">
      <w:start w:val="4"/>
      <w:numFmt w:val="decimal"/>
      <w:lvlText w:val="%1."/>
      <w:lvlJc w:val="left"/>
      <w:pPr>
        <w:tabs>
          <w:tab w:val="left" w:pos="312"/>
        </w:tabs>
      </w:pPr>
    </w:lvl>
  </w:abstractNum>
  <w:num w:numId="1">
    <w:abstractNumId w:val="4"/>
  </w:num>
  <w:num w:numId="2">
    <w:abstractNumId w:val="9"/>
  </w:num>
  <w:num w:numId="3">
    <w:abstractNumId w:val="1"/>
  </w:num>
  <w:num w:numId="4">
    <w:abstractNumId w:val="8"/>
  </w:num>
  <w:num w:numId="5">
    <w:abstractNumId w:val="2"/>
  </w:num>
  <w:num w:numId="6">
    <w:abstractNumId w:val="7"/>
  </w:num>
  <w:num w:numId="7">
    <w:abstractNumId w:val="0"/>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zc0ZjU3YWIwYWM4NzRkOGUyYTIyYzU3YzdmN2MifQ=="/>
  </w:docVars>
  <w:rsids>
    <w:rsidRoot w:val="00000000"/>
    <w:rsid w:val="0098785C"/>
    <w:rsid w:val="06BE50A6"/>
    <w:rsid w:val="0798731E"/>
    <w:rsid w:val="07B77147"/>
    <w:rsid w:val="082E0D7C"/>
    <w:rsid w:val="0C083F22"/>
    <w:rsid w:val="0CA31002"/>
    <w:rsid w:val="0CC7122F"/>
    <w:rsid w:val="0CD03D28"/>
    <w:rsid w:val="0CEA58B6"/>
    <w:rsid w:val="0ED15F25"/>
    <w:rsid w:val="0F770069"/>
    <w:rsid w:val="0FB35E7D"/>
    <w:rsid w:val="11CF1E55"/>
    <w:rsid w:val="12554AEF"/>
    <w:rsid w:val="12783569"/>
    <w:rsid w:val="15314777"/>
    <w:rsid w:val="16B3597E"/>
    <w:rsid w:val="172367CF"/>
    <w:rsid w:val="18B56DD1"/>
    <w:rsid w:val="19EB3DD4"/>
    <w:rsid w:val="1D375664"/>
    <w:rsid w:val="1E3845A9"/>
    <w:rsid w:val="1FC84EC2"/>
    <w:rsid w:val="2285003A"/>
    <w:rsid w:val="228D5D7B"/>
    <w:rsid w:val="23113830"/>
    <w:rsid w:val="23BD06E9"/>
    <w:rsid w:val="24937DA4"/>
    <w:rsid w:val="25F04ABB"/>
    <w:rsid w:val="2752393E"/>
    <w:rsid w:val="28AC2430"/>
    <w:rsid w:val="2A1D3926"/>
    <w:rsid w:val="2AA14AA9"/>
    <w:rsid w:val="2AB37EAF"/>
    <w:rsid w:val="2B606BD1"/>
    <w:rsid w:val="2D366DEC"/>
    <w:rsid w:val="2EC437E8"/>
    <w:rsid w:val="2EC867D2"/>
    <w:rsid w:val="2F794A3A"/>
    <w:rsid w:val="30161068"/>
    <w:rsid w:val="32B16C33"/>
    <w:rsid w:val="33F76822"/>
    <w:rsid w:val="33F87D85"/>
    <w:rsid w:val="343D4E29"/>
    <w:rsid w:val="35505F08"/>
    <w:rsid w:val="358E33D4"/>
    <w:rsid w:val="36B37EA1"/>
    <w:rsid w:val="3749314E"/>
    <w:rsid w:val="38713952"/>
    <w:rsid w:val="38BE609E"/>
    <w:rsid w:val="3933754C"/>
    <w:rsid w:val="3A980817"/>
    <w:rsid w:val="3B2E5398"/>
    <w:rsid w:val="3E734631"/>
    <w:rsid w:val="3FC258A5"/>
    <w:rsid w:val="4012568F"/>
    <w:rsid w:val="401F0B9A"/>
    <w:rsid w:val="406C0BDF"/>
    <w:rsid w:val="41DB20C2"/>
    <w:rsid w:val="423B6A85"/>
    <w:rsid w:val="425B6226"/>
    <w:rsid w:val="4289165D"/>
    <w:rsid w:val="42A4369A"/>
    <w:rsid w:val="460A7065"/>
    <w:rsid w:val="474A0C9A"/>
    <w:rsid w:val="491F3DFC"/>
    <w:rsid w:val="4AC3439A"/>
    <w:rsid w:val="4B5C6F0A"/>
    <w:rsid w:val="4C366C0E"/>
    <w:rsid w:val="4E71438B"/>
    <w:rsid w:val="4F1677B4"/>
    <w:rsid w:val="4F7D3946"/>
    <w:rsid w:val="50DF2E56"/>
    <w:rsid w:val="54A663A8"/>
    <w:rsid w:val="56124A16"/>
    <w:rsid w:val="58315505"/>
    <w:rsid w:val="58ED74D9"/>
    <w:rsid w:val="59B62A77"/>
    <w:rsid w:val="59CC1D2E"/>
    <w:rsid w:val="59F352D3"/>
    <w:rsid w:val="5A9D091B"/>
    <w:rsid w:val="5AA36E44"/>
    <w:rsid w:val="5C395F52"/>
    <w:rsid w:val="60F718BA"/>
    <w:rsid w:val="63291A6C"/>
    <w:rsid w:val="64E22FEA"/>
    <w:rsid w:val="66BE1AF1"/>
    <w:rsid w:val="671971FE"/>
    <w:rsid w:val="67762B87"/>
    <w:rsid w:val="6856344F"/>
    <w:rsid w:val="69C76328"/>
    <w:rsid w:val="6A6C7C99"/>
    <w:rsid w:val="6C4E6B79"/>
    <w:rsid w:val="6CF42ECB"/>
    <w:rsid w:val="6DE00C3F"/>
    <w:rsid w:val="6EE01B8E"/>
    <w:rsid w:val="6F076CA7"/>
    <w:rsid w:val="6F991C7F"/>
    <w:rsid w:val="71847E14"/>
    <w:rsid w:val="719C09E9"/>
    <w:rsid w:val="72015D97"/>
    <w:rsid w:val="73B12DFE"/>
    <w:rsid w:val="73DE6765"/>
    <w:rsid w:val="74623BF6"/>
    <w:rsid w:val="74ED46CD"/>
    <w:rsid w:val="76602E42"/>
    <w:rsid w:val="79487F75"/>
    <w:rsid w:val="7B4651A4"/>
    <w:rsid w:val="7C505338"/>
    <w:rsid w:val="7D376633"/>
    <w:rsid w:val="7DB610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3"/>
    <w:basedOn w:val="1"/>
    <w:next w:val="1"/>
    <w:link w:val="38"/>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9"/>
    <w:basedOn w:val="1"/>
    <w:next w:val="1"/>
    <w:qFormat/>
    <w:uiPriority w:val="1"/>
    <w:pPr>
      <w:ind w:left="154"/>
      <w:outlineLvl w:val="8"/>
    </w:pPr>
    <w:rPr>
      <w:rFonts w:ascii="仿宋" w:hAnsi="仿宋" w:eastAsia="仿宋"/>
      <w:b/>
      <w:bCs/>
      <w:sz w:val="28"/>
      <w:szCs w:val="28"/>
    </w:rPr>
  </w:style>
  <w:style w:type="character" w:default="1" w:styleId="23">
    <w:name w:val="Default Paragraph Font"/>
    <w:link w:val="24"/>
    <w:qFormat/>
    <w:uiPriority w:val="1"/>
    <w:rPr>
      <w:rFonts w:ascii="Calibri" w:hAnsi="Calibri"/>
    </w:rPr>
  </w:style>
  <w:style w:type="table" w:default="1" w:styleId="21">
    <w:name w:val="Normal Table"/>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im Sun" w:hAnsi="Times New Roman" w:eastAsia="Sim Sun" w:cs="Times New Roman"/>
      <w:color w:val="000000"/>
      <w:sz w:val="24"/>
      <w:szCs w:val="24"/>
      <w:lang w:val="en-US" w:eastAsia="zh-CN" w:bidi="ar-SA"/>
    </w:rPr>
  </w:style>
  <w:style w:type="paragraph" w:styleId="5">
    <w:name w:val="Normal Indent"/>
    <w:basedOn w:val="1"/>
    <w:next w:val="1"/>
    <w:qFormat/>
    <w:uiPriority w:val="99"/>
    <w:pPr>
      <w:ind w:firstLine="420"/>
    </w:pPr>
  </w:style>
  <w:style w:type="paragraph" w:styleId="6">
    <w:name w:val="annotation text"/>
    <w:basedOn w:val="1"/>
    <w:link w:val="57"/>
    <w:qFormat/>
    <w:uiPriority w:val="99"/>
    <w:pPr>
      <w:jc w:val="left"/>
    </w:pPr>
    <w:rPr>
      <w:rFonts w:ascii="Times New Roman" w:hAnsi="Times New Roman" w:cs="Times New Roman"/>
      <w:szCs w:val="20"/>
    </w:rPr>
  </w:style>
  <w:style w:type="paragraph" w:styleId="7">
    <w:name w:val="Body Text"/>
    <w:basedOn w:val="1"/>
    <w:next w:val="1"/>
    <w:qFormat/>
    <w:uiPriority w:val="0"/>
    <w:rPr>
      <w:rFonts w:hint="eastAsia" w:ascii="宋体" w:hAnsi="宋体"/>
      <w:color w:val="000000"/>
      <w:sz w:val="24"/>
    </w:rPr>
  </w:style>
  <w:style w:type="paragraph" w:styleId="8">
    <w:name w:val="Body Text Indent"/>
    <w:basedOn w:val="1"/>
    <w:next w:val="9"/>
    <w:qFormat/>
    <w:uiPriority w:val="99"/>
    <w:pPr>
      <w:ind w:left="420"/>
    </w:pPr>
    <w:rPr>
      <w:rFonts w:ascii="??_GB2312" w:eastAsia="Times New Roman"/>
      <w:sz w:val="32"/>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rPr>
      <w:rFonts w:ascii="宋体" w:hAnsi="Courier New"/>
      <w:kern w:val="0"/>
      <w:szCs w:val="21"/>
    </w:rPr>
  </w:style>
  <w:style w:type="paragraph" w:styleId="11">
    <w:name w:val="Balloon Text"/>
    <w:basedOn w:val="1"/>
    <w:link w:val="56"/>
    <w:qFormat/>
    <w:uiPriority w:val="99"/>
    <w:rPr>
      <w:sz w:val="18"/>
      <w:szCs w:val="18"/>
    </w:rPr>
  </w:style>
  <w:style w:type="paragraph" w:styleId="12">
    <w:name w:val="footer"/>
    <w:basedOn w:val="1"/>
    <w:link w:val="55"/>
    <w:qFormat/>
    <w:uiPriority w:val="99"/>
    <w:pPr>
      <w:tabs>
        <w:tab w:val="center" w:pos="4153"/>
        <w:tab w:val="right" w:pos="8306"/>
      </w:tabs>
      <w:snapToGrid w:val="0"/>
      <w:jc w:val="left"/>
    </w:pPr>
    <w:rPr>
      <w:sz w:val="18"/>
      <w:szCs w:val="18"/>
    </w:rPr>
  </w:style>
  <w:style w:type="paragraph" w:styleId="13">
    <w:name w:val="header"/>
    <w:basedOn w:val="1"/>
    <w:next w:val="1"/>
    <w:link w:val="54"/>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5"/>
    <w:qFormat/>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正文1"/>
    <w:next w:val="16"/>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16">
    <w:name w:val="Fließtext"/>
    <w:qFormat/>
    <w:uiPriority w:val="0"/>
    <w:pPr>
      <w:widowControl w:val="0"/>
      <w:overflowPunct w:val="0"/>
      <w:autoSpaceDE w:val="0"/>
      <w:autoSpaceDN w:val="0"/>
      <w:adjustRightInd w:val="0"/>
      <w:spacing w:line="360" w:lineRule="atLeast"/>
      <w:jc w:val="both"/>
      <w:textAlignment w:val="baseline"/>
    </w:pPr>
    <w:rPr>
      <w:rFonts w:ascii="Times New Roman" w:hAnsi="Times New Roman" w:eastAsia="宋体" w:cs="Times New Roman"/>
      <w:kern w:val="28"/>
      <w:lang w:val="en-US" w:eastAsia="zh-CN" w:bidi="ar-SA"/>
    </w:rPr>
  </w:style>
  <w:style w:type="paragraph" w:styleId="17">
    <w:name w:val="Title"/>
    <w:basedOn w:val="1"/>
    <w:next w:val="1"/>
    <w:qFormat/>
    <w:uiPriority w:val="0"/>
    <w:pPr>
      <w:spacing w:before="240" w:after="60" w:line="360" w:lineRule="auto"/>
      <w:jc w:val="center"/>
      <w:outlineLvl w:val="0"/>
    </w:pPr>
    <w:rPr>
      <w:rFonts w:ascii="Cambria" w:hAnsi="Cambria"/>
      <w:b/>
      <w:bCs/>
      <w:kern w:val="0"/>
      <w:sz w:val="32"/>
      <w:szCs w:val="32"/>
    </w:rPr>
  </w:style>
  <w:style w:type="paragraph" w:styleId="18">
    <w:name w:val="annotation subject"/>
    <w:basedOn w:val="6"/>
    <w:next w:val="6"/>
    <w:link w:val="58"/>
    <w:qFormat/>
    <w:uiPriority w:val="99"/>
    <w:rPr>
      <w:rFonts w:ascii="Calibri" w:hAnsi="Calibri" w:cs="黑体"/>
      <w:b/>
      <w:bCs/>
      <w:szCs w:val="22"/>
    </w:rPr>
  </w:style>
  <w:style w:type="paragraph" w:styleId="19">
    <w:name w:val="Body Text First Indent"/>
    <w:basedOn w:val="7"/>
    <w:qFormat/>
    <w:uiPriority w:val="0"/>
    <w:pPr>
      <w:spacing w:after="120"/>
      <w:ind w:firstLine="420" w:firstLineChars="100"/>
    </w:pPr>
    <w:rPr>
      <w:rFonts w:ascii="Times New Roman" w:hAnsi="Times New Roman"/>
      <w:color w:val="auto"/>
      <w:sz w:val="21"/>
    </w:rPr>
  </w:style>
  <w:style w:type="paragraph" w:styleId="20">
    <w:name w:val="Body Text First Indent 2"/>
    <w:basedOn w:val="8"/>
    <w:next w:val="1"/>
    <w:qFormat/>
    <w:uiPriority w:val="99"/>
    <w:pPr>
      <w:spacing w:after="120"/>
      <w:ind w:left="200" w:leftChars="200" w:firstLine="420" w:firstLineChars="200"/>
    </w:pPr>
    <w:rPr>
      <w:rFonts w:ascii="Times New Roman" w:eastAsia="宋体"/>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_Style 3"/>
    <w:basedOn w:val="1"/>
    <w:link w:val="23"/>
    <w:qFormat/>
    <w:uiPriority w:val="0"/>
    <w:pPr>
      <w:spacing w:line="240" w:lineRule="atLeast"/>
      <w:ind w:left="420" w:firstLine="420"/>
    </w:pPr>
    <w:rPr>
      <w:rFonts w:ascii="Calibri" w:hAnsi="Calibri"/>
    </w:rPr>
  </w:style>
  <w:style w:type="character" w:styleId="25">
    <w:name w:val="Strong"/>
    <w:basedOn w:val="23"/>
    <w:qFormat/>
    <w:uiPriority w:val="0"/>
    <w:rPr>
      <w:b/>
      <w:bCs/>
    </w:rPr>
  </w:style>
  <w:style w:type="character" w:styleId="26">
    <w:name w:val="FollowedHyperlink"/>
    <w:basedOn w:val="23"/>
    <w:qFormat/>
    <w:uiPriority w:val="99"/>
    <w:rPr>
      <w:color w:val="800080"/>
      <w:u w:val="single"/>
    </w:rPr>
  </w:style>
  <w:style w:type="character" w:styleId="27">
    <w:name w:val="Hyperlink"/>
    <w:basedOn w:val="23"/>
    <w:qFormat/>
    <w:uiPriority w:val="99"/>
    <w:rPr>
      <w:color w:val="0000FF"/>
      <w:u w:val="single"/>
    </w:rPr>
  </w:style>
  <w:style w:type="character" w:styleId="28">
    <w:name w:val="annotation reference"/>
    <w:qFormat/>
    <w:uiPriority w:val="99"/>
    <w:rPr>
      <w:sz w:val="21"/>
      <w:szCs w:val="21"/>
    </w:rPr>
  </w:style>
  <w:style w:type="paragraph" w:customStyle="1" w:styleId="29">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
    <w:name w:val="样式 标题 3 + (中文) 黑体 小四 非加粗 段前: 7.8 磅 段后: 0 磅 行距: 固定值 20 磅_0"/>
    <w:basedOn w:val="31"/>
    <w:qFormat/>
    <w:uiPriority w:val="0"/>
    <w:pPr>
      <w:spacing w:before="0" w:after="0" w:line="400" w:lineRule="exact"/>
    </w:pPr>
    <w:rPr>
      <w:rFonts w:ascii="Times New Roman" w:hAnsi="Times New Roman" w:eastAsia="黑体" w:cs="宋体"/>
      <w:b w:val="0"/>
      <w:bCs w:val="0"/>
      <w:sz w:val="21"/>
      <w:szCs w:val="20"/>
    </w:rPr>
  </w:style>
  <w:style w:type="paragraph" w:customStyle="1" w:styleId="31">
    <w:name w:val="标题 3_0"/>
    <w:basedOn w:val="32"/>
    <w:next w:val="33"/>
    <w:qFormat/>
    <w:uiPriority w:val="0"/>
    <w:pPr>
      <w:keepNext/>
      <w:keepLines/>
      <w:spacing w:before="260" w:after="260" w:line="416" w:lineRule="auto"/>
      <w:outlineLvl w:val="2"/>
    </w:pPr>
    <w:rPr>
      <w:rFonts w:eastAsia="宋体"/>
      <w:b/>
      <w:bCs/>
      <w:sz w:val="32"/>
      <w:szCs w:val="32"/>
    </w:rPr>
  </w:style>
  <w:style w:type="paragraph" w:customStyle="1" w:styleId="32">
    <w:name w:val="正文_0"/>
    <w:next w:val="20"/>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3">
    <w:name w:val="正文_1"/>
    <w:next w:val="20"/>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4">
    <w:name w:val="标题1"/>
    <w:basedOn w:val="1"/>
    <w:next w:val="1"/>
    <w:qFormat/>
    <w:uiPriority w:val="3"/>
    <w:pPr>
      <w:numPr>
        <w:ilvl w:val="0"/>
        <w:numId w:val="1"/>
      </w:numPr>
      <w:tabs>
        <w:tab w:val="clear" w:pos="432"/>
      </w:tabs>
      <w:spacing w:line="440" w:lineRule="exact"/>
    </w:pPr>
    <w:rPr>
      <w:rFonts w:ascii="Times New Roman" w:hAnsi="Times New Roman" w:cs="Times New Roman"/>
      <w:sz w:val="24"/>
      <w:szCs w:val="24"/>
    </w:rPr>
  </w:style>
  <w:style w:type="paragraph" w:customStyle="1" w:styleId="35">
    <w:name w:val="Table Paragraph"/>
    <w:basedOn w:val="1"/>
    <w:qFormat/>
    <w:uiPriority w:val="1"/>
  </w:style>
  <w:style w:type="paragraph" w:customStyle="1" w:styleId="36">
    <w:name w:val="列出段落1"/>
    <w:basedOn w:val="1"/>
    <w:qFormat/>
    <w:uiPriority w:val="99"/>
    <w:pPr>
      <w:ind w:left="720"/>
      <w:contextualSpacing/>
    </w:pPr>
  </w:style>
  <w:style w:type="paragraph" w:customStyle="1" w:styleId="37">
    <w:name w:val="列出段落11"/>
    <w:basedOn w:val="1"/>
    <w:qFormat/>
    <w:uiPriority w:val="34"/>
    <w:pPr>
      <w:ind w:firstLine="420" w:firstLineChars="200"/>
    </w:pPr>
    <w:rPr>
      <w:rFonts w:cs="Times New Roman"/>
      <w:sz w:val="28"/>
    </w:rPr>
  </w:style>
  <w:style w:type="character" w:customStyle="1" w:styleId="38">
    <w:name w:val="标题 3 Char"/>
    <w:basedOn w:val="23"/>
    <w:link w:val="3"/>
    <w:qFormat/>
    <w:uiPriority w:val="9"/>
    <w:rPr>
      <w:rFonts w:ascii="宋体" w:hAnsi="宋体" w:eastAsia="宋体" w:cs="宋体"/>
      <w:b/>
      <w:bCs/>
      <w:kern w:val="0"/>
      <w:sz w:val="27"/>
      <w:szCs w:val="27"/>
    </w:rPr>
  </w:style>
  <w:style w:type="character" w:customStyle="1" w:styleId="39">
    <w:name w:val="customize__projectname"/>
    <w:basedOn w:val="23"/>
    <w:qFormat/>
    <w:uiPriority w:val="0"/>
  </w:style>
  <w:style w:type="character" w:customStyle="1" w:styleId="40">
    <w:name w:val="customize_recordno"/>
    <w:basedOn w:val="23"/>
    <w:qFormat/>
    <w:uiPriority w:val="0"/>
  </w:style>
  <w:style w:type="character" w:customStyle="1" w:styleId="41">
    <w:name w:val="customize_project_code"/>
    <w:basedOn w:val="23"/>
    <w:qFormat/>
    <w:uiPriority w:val="0"/>
  </w:style>
  <w:style w:type="character" w:customStyle="1" w:styleId="42">
    <w:name w:val="customize_agent"/>
    <w:basedOn w:val="23"/>
    <w:qFormat/>
    <w:uiPriority w:val="0"/>
  </w:style>
  <w:style w:type="character" w:customStyle="1" w:styleId="43">
    <w:name w:val="customize_cgr"/>
    <w:basedOn w:val="23"/>
    <w:qFormat/>
    <w:uiPriority w:val="0"/>
  </w:style>
  <w:style w:type="character" w:customStyle="1" w:styleId="44">
    <w:name w:val="customize_cgrdz"/>
    <w:basedOn w:val="23"/>
    <w:qFormat/>
    <w:uiPriority w:val="0"/>
  </w:style>
  <w:style w:type="character" w:customStyle="1" w:styleId="45">
    <w:name w:val="customize_cgrtelman"/>
    <w:basedOn w:val="23"/>
    <w:qFormat/>
    <w:uiPriority w:val="0"/>
  </w:style>
  <w:style w:type="character" w:customStyle="1" w:styleId="46">
    <w:name w:val="customize_cgrdh"/>
    <w:basedOn w:val="23"/>
    <w:qFormat/>
    <w:uiPriority w:val="0"/>
  </w:style>
  <w:style w:type="character" w:customStyle="1" w:styleId="47">
    <w:name w:val="customize_agentadd"/>
    <w:basedOn w:val="23"/>
    <w:qFormat/>
    <w:uiPriority w:val="0"/>
  </w:style>
  <w:style w:type="character" w:customStyle="1" w:styleId="48">
    <w:name w:val="customize_agency_connector"/>
    <w:basedOn w:val="23"/>
    <w:qFormat/>
    <w:uiPriority w:val="0"/>
  </w:style>
  <w:style w:type="character" w:customStyle="1" w:styleId="49">
    <w:name w:val="customize_agenttel"/>
    <w:basedOn w:val="23"/>
    <w:qFormat/>
    <w:uiPriority w:val="0"/>
  </w:style>
  <w:style w:type="character" w:customStyle="1" w:styleId="50">
    <w:name w:val="editinput"/>
    <w:basedOn w:val="23"/>
    <w:qFormat/>
    <w:uiPriority w:val="0"/>
  </w:style>
  <w:style w:type="character" w:customStyle="1" w:styleId="51">
    <w:name w:val="edittexttarea"/>
    <w:basedOn w:val="23"/>
    <w:qFormat/>
    <w:uiPriority w:val="0"/>
  </w:style>
  <w:style w:type="character" w:customStyle="1" w:styleId="52">
    <w:name w:val="editlist"/>
    <w:basedOn w:val="23"/>
    <w:qFormat/>
    <w:uiPriority w:val="0"/>
  </w:style>
  <w:style w:type="character" w:customStyle="1" w:styleId="53">
    <w:name w:val="green"/>
    <w:basedOn w:val="23"/>
    <w:qFormat/>
    <w:uiPriority w:val="0"/>
  </w:style>
  <w:style w:type="character" w:customStyle="1" w:styleId="54">
    <w:name w:val="页眉 Char"/>
    <w:basedOn w:val="23"/>
    <w:link w:val="13"/>
    <w:qFormat/>
    <w:uiPriority w:val="99"/>
    <w:rPr>
      <w:sz w:val="18"/>
      <w:szCs w:val="18"/>
    </w:rPr>
  </w:style>
  <w:style w:type="character" w:customStyle="1" w:styleId="55">
    <w:name w:val="页脚 Char"/>
    <w:basedOn w:val="23"/>
    <w:link w:val="12"/>
    <w:qFormat/>
    <w:uiPriority w:val="99"/>
    <w:rPr>
      <w:sz w:val="18"/>
      <w:szCs w:val="18"/>
    </w:rPr>
  </w:style>
  <w:style w:type="character" w:customStyle="1" w:styleId="56">
    <w:name w:val="批注框文本 Char"/>
    <w:basedOn w:val="23"/>
    <w:link w:val="11"/>
    <w:qFormat/>
    <w:uiPriority w:val="99"/>
    <w:rPr>
      <w:sz w:val="18"/>
      <w:szCs w:val="18"/>
    </w:rPr>
  </w:style>
  <w:style w:type="character" w:customStyle="1" w:styleId="57">
    <w:name w:val="批注文字 Char"/>
    <w:basedOn w:val="23"/>
    <w:link w:val="6"/>
    <w:qFormat/>
    <w:uiPriority w:val="99"/>
    <w:rPr>
      <w:rFonts w:ascii="Times New Roman" w:hAnsi="Times New Roman" w:eastAsia="宋体" w:cs="Times New Roman"/>
      <w:szCs w:val="20"/>
    </w:rPr>
  </w:style>
  <w:style w:type="character" w:customStyle="1" w:styleId="58">
    <w:name w:val="批注主题 Char"/>
    <w:basedOn w:val="57"/>
    <w:link w:val="18"/>
    <w:qFormat/>
    <w:uiPriority w:val="99"/>
    <w:rPr>
      <w:rFonts w:ascii="Times New Roman" w:hAnsi="Times New Roman" w:eastAsia="宋体" w:cs="Times New Roman"/>
      <w:b/>
      <w:bCs/>
      <w:kern w:val="2"/>
      <w:sz w:val="21"/>
      <w:szCs w:val="22"/>
    </w:rPr>
  </w:style>
  <w:style w:type="character" w:customStyle="1" w:styleId="59">
    <w:name w:val="NormalCharacter"/>
    <w:qFormat/>
    <w:uiPriority w:val="0"/>
    <w:rPr>
      <w:kern w:val="2"/>
      <w:sz w:val="21"/>
      <w:szCs w:val="24"/>
      <w:lang w:val="en-US" w:eastAsia="zh-CN" w:bidi="ar-SA"/>
    </w:rPr>
  </w:style>
  <w:style w:type="paragraph" w:customStyle="1" w:styleId="6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ull3"/>
    <w:qFormat/>
    <w:uiPriority w:val="0"/>
    <w:rPr>
      <w:rFonts w:hint="eastAsia" w:ascii="Calibri" w:hAnsi="Calibri" w:eastAsia="宋体" w:cs="Times New Roman"/>
      <w:lang w:val="en-US"/>
    </w:rPr>
  </w:style>
  <w:style w:type="character" w:customStyle="1" w:styleId="62">
    <w:name w:val="font51"/>
    <w:basedOn w:val="23"/>
    <w:qFormat/>
    <w:uiPriority w:val="0"/>
    <w:rPr>
      <w:rFonts w:hint="eastAsia" w:ascii="仿宋" w:hAnsi="仿宋" w:eastAsia="仿宋" w:cs="仿宋"/>
      <w:color w:val="000000"/>
      <w:sz w:val="28"/>
      <w:szCs w:val="28"/>
      <w:u w:val="none"/>
    </w:rPr>
  </w:style>
  <w:style w:type="character" w:customStyle="1" w:styleId="63">
    <w:name w:val="font71"/>
    <w:basedOn w:val="23"/>
    <w:qFormat/>
    <w:uiPriority w:val="0"/>
    <w:rPr>
      <w:rFonts w:hint="eastAsia" w:ascii="仿宋" w:hAnsi="仿宋" w:eastAsia="仿宋" w:cs="仿宋"/>
      <w:color w:val="FF0000"/>
      <w:sz w:val="28"/>
      <w:szCs w:val="28"/>
      <w:u w:val="none"/>
    </w:rPr>
  </w:style>
  <w:style w:type="paragraph" w:customStyle="1" w:styleId="64">
    <w:name w:val="Body text|1"/>
    <w:basedOn w:val="1"/>
    <w:qFormat/>
    <w:uiPriority w:val="0"/>
    <w:pPr>
      <w:spacing w:after="120" w:line="420" w:lineRule="auto"/>
      <w:ind w:firstLine="400"/>
      <w:jc w:val="left"/>
    </w:pPr>
    <w:rPr>
      <w:rFonts w:ascii="宋体" w:hAnsi="宋体" w:eastAsia="宋体" w:cs="宋体"/>
      <w:sz w:val="17"/>
      <w:szCs w:val="17"/>
      <w:lang w:val="zh-TW" w:eastAsia="zh-TW" w:bidi="zh-TW"/>
    </w:rPr>
  </w:style>
  <w:style w:type="paragraph" w:customStyle="1" w:styleId="65">
    <w:name w:val="Other|1"/>
    <w:basedOn w:val="1"/>
    <w:qFormat/>
    <w:uiPriority w:val="0"/>
    <w:pPr>
      <w:spacing w:after="120" w:line="420" w:lineRule="auto"/>
      <w:ind w:firstLine="400"/>
      <w:jc w:val="left"/>
    </w:pPr>
    <w:rPr>
      <w:rFonts w:ascii="宋体" w:hAnsi="宋体" w:eastAsia="宋体" w:cs="宋体"/>
      <w:sz w:val="17"/>
      <w:szCs w:val="1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37411</Words>
  <Characters>38783</Characters>
  <Paragraphs>1856</Paragraphs>
  <TotalTime>1</TotalTime>
  <ScaleCrop>false</ScaleCrop>
  <LinksUpToDate>false</LinksUpToDate>
  <CharactersWithSpaces>41822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2022-06-15T10:30:00Z</dcterms:created>
  <dc:creator>NTKO</dc:creator>
  <cp:lastModifiedBy>Administrator</cp:lastModifiedBy>
  <cp:lastPrinted>2022-12-30T02:12:00Z</cp:lastPrinted>
  <dcterms:modified xsi:type="dcterms:W3CDTF">2024-06-13T07:19:43Z</dcterms:modified>
  <dc:title>福建省政府采购项目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5CE7AC0297B34FBF9AC961BC9264BFA2_13</vt:lpwstr>
  </property>
</Properties>
</file>