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8"/>
        <w:ind w:firstLine="0" w:firstLineChars="0"/>
        <w:jc w:val="center"/>
        <w:rPr>
          <w:rFonts w:hint="eastAsia" w:ascii="宋体" w:hAnsi="宋体" w:eastAsia="宋体"/>
          <w:b/>
          <w:color w:val="auto"/>
          <w:sz w:val="44"/>
          <w:szCs w:val="44"/>
        </w:rPr>
      </w:pPr>
    </w:p>
    <w:p>
      <w:pPr>
        <w:spacing w:after="78"/>
        <w:ind w:firstLine="0" w:firstLineChars="0"/>
        <w:jc w:val="center"/>
        <w:rPr>
          <w:rFonts w:hint="eastAsia" w:ascii="宋体" w:hAnsi="宋体" w:eastAsia="宋体"/>
          <w:b/>
          <w:color w:val="auto"/>
          <w:sz w:val="44"/>
          <w:szCs w:val="44"/>
        </w:rPr>
      </w:pPr>
      <w:r>
        <w:rPr>
          <w:rFonts w:hint="eastAsia" w:ascii="宋体" w:hAnsi="宋体" w:eastAsia="宋体"/>
          <w:b/>
          <w:color w:val="auto"/>
          <w:sz w:val="44"/>
          <w:szCs w:val="44"/>
        </w:rPr>
        <w:t>湄洲湾职业技术学院教学实训设备采购</w:t>
      </w:r>
    </w:p>
    <w:p>
      <w:pPr>
        <w:spacing w:after="78"/>
        <w:ind w:firstLine="0" w:firstLineChars="0"/>
        <w:jc w:val="center"/>
        <w:rPr>
          <w:rFonts w:hint="eastAsia" w:ascii="宋体" w:hAnsi="宋体" w:eastAsia="宋体"/>
          <w:b/>
          <w:color w:val="auto"/>
          <w:sz w:val="44"/>
          <w:szCs w:val="44"/>
        </w:rPr>
      </w:pPr>
      <w:r>
        <w:rPr>
          <w:rFonts w:hint="eastAsia" w:ascii="宋体" w:hAnsi="宋体" w:eastAsia="宋体"/>
          <w:b/>
          <w:color w:val="auto"/>
          <w:sz w:val="44"/>
          <w:szCs w:val="44"/>
        </w:rPr>
        <w:t>技术参数论证报告</w:t>
      </w:r>
    </w:p>
    <w:p>
      <w:pPr>
        <w:spacing w:after="78"/>
        <w:ind w:firstLine="480"/>
        <w:rPr>
          <w:rFonts w:hint="eastAsia"/>
          <w:color w:val="auto"/>
        </w:rPr>
      </w:pPr>
    </w:p>
    <w:p>
      <w:pPr>
        <w:spacing w:after="78"/>
        <w:ind w:firstLine="480"/>
        <w:rPr>
          <w:rFonts w:hint="eastAsia"/>
          <w:color w:val="auto"/>
        </w:rPr>
      </w:pP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2"/>
        <w:textAlignment w:val="center"/>
        <w:rPr>
          <w:rFonts w:hint="eastAsia"/>
          <w:b/>
          <w:color w:val="auto"/>
          <w:sz w:val="32"/>
          <w:szCs w:val="32"/>
          <w:u w:val="single"/>
        </w:rPr>
      </w:pPr>
      <w:r>
        <w:rPr>
          <w:rFonts w:hint="eastAsia"/>
          <w:b/>
          <w:color w:val="auto"/>
          <w:sz w:val="32"/>
          <w:szCs w:val="32"/>
        </w:rPr>
        <w:t>项目名称：</w:t>
      </w:r>
      <w:r>
        <w:rPr>
          <w:rFonts w:hint="eastAsia"/>
          <w:b/>
          <w:color w:val="auto"/>
          <w:sz w:val="32"/>
          <w:szCs w:val="32"/>
          <w:u w:val="single"/>
        </w:rPr>
        <w:t xml:space="preserve"> </w:t>
      </w:r>
      <w:r>
        <w:rPr>
          <w:rFonts w:hint="eastAsia" w:eastAsia="宋体"/>
          <w:b/>
          <w:color w:val="auto"/>
          <w:sz w:val="32"/>
          <w:szCs w:val="32"/>
          <w:u w:val="single"/>
          <w:lang w:val="en-US" w:eastAsia="zh-CN"/>
        </w:rPr>
        <w:t>装饰</w:t>
      </w:r>
      <w:r>
        <w:rPr>
          <w:rFonts w:hint="eastAsia" w:eastAsia="宋体"/>
          <w:b/>
          <w:color w:val="auto"/>
          <w:sz w:val="32"/>
          <w:szCs w:val="32"/>
          <w:u w:val="single"/>
          <w:lang w:val="en-US" w:eastAsia="zh-Hans"/>
        </w:rPr>
        <w:t>施工一体化虚拟仿真实训室设备采购</w:t>
      </w:r>
      <w:r>
        <w:rPr>
          <w:rFonts w:hint="eastAsia"/>
          <w:b/>
          <w:color w:val="auto"/>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2"/>
        <w:textAlignment w:val="center"/>
        <w:rPr>
          <w:rFonts w:hint="eastAsia"/>
          <w:b/>
          <w:color w:val="auto"/>
          <w:sz w:val="32"/>
          <w:szCs w:val="32"/>
          <w:u w:val="single"/>
        </w:rPr>
      </w:pPr>
      <w:r>
        <w:rPr>
          <w:rFonts w:hint="eastAsia"/>
          <w:b/>
          <w:color w:val="auto"/>
          <w:sz w:val="32"/>
          <w:szCs w:val="32"/>
          <w:lang w:val="en-US" w:eastAsia="zh-CN"/>
        </w:rPr>
        <w:t>采购</w:t>
      </w:r>
      <w:r>
        <w:rPr>
          <w:rFonts w:hint="eastAsia"/>
          <w:b/>
          <w:color w:val="auto"/>
          <w:sz w:val="32"/>
          <w:szCs w:val="32"/>
        </w:rPr>
        <w:t>单位：</w:t>
      </w:r>
      <w:r>
        <w:rPr>
          <w:rFonts w:hint="eastAsia"/>
          <w:b/>
          <w:color w:val="auto"/>
          <w:sz w:val="32"/>
          <w:szCs w:val="32"/>
          <w:u w:val="single"/>
        </w:rPr>
        <w:t xml:space="preserve"> </w:t>
      </w:r>
      <w:r>
        <w:rPr>
          <w:rFonts w:hint="eastAsia"/>
          <w:b/>
          <w:color w:val="auto"/>
          <w:sz w:val="32"/>
          <w:szCs w:val="32"/>
          <w:u w:val="single"/>
          <w:lang w:val="en-US" w:eastAsia="zh-Hans"/>
        </w:rPr>
        <w:t>工艺美术系</w:t>
      </w:r>
      <w:r>
        <w:rPr>
          <w:rFonts w:hint="eastAsia"/>
          <w:b/>
          <w:color w:val="auto"/>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2"/>
        <w:textAlignment w:val="center"/>
        <w:rPr>
          <w:rFonts w:hint="eastAsia"/>
          <w:b/>
          <w:color w:val="auto"/>
          <w:sz w:val="32"/>
          <w:szCs w:val="32"/>
          <w:u w:val="single"/>
        </w:rPr>
      </w:pPr>
      <w:r>
        <w:rPr>
          <w:rFonts w:hint="eastAsia"/>
          <w:b/>
          <w:color w:val="auto"/>
          <w:sz w:val="32"/>
          <w:szCs w:val="32"/>
        </w:rPr>
        <w:t>职能主管部门：</w:t>
      </w:r>
      <w:r>
        <w:rPr>
          <w:rFonts w:hint="eastAsia"/>
          <w:b/>
          <w:color w:val="auto"/>
          <w:sz w:val="32"/>
          <w:szCs w:val="32"/>
          <w:u w:val="single"/>
        </w:rPr>
        <w:t xml:space="preserve">  </w:t>
      </w:r>
      <w:r>
        <w:rPr>
          <w:rFonts w:hint="eastAsia"/>
          <w:b/>
          <w:color w:val="auto"/>
          <w:sz w:val="32"/>
          <w:szCs w:val="32"/>
          <w:u w:val="single"/>
          <w:lang w:val="en-US" w:eastAsia="zh-CN"/>
        </w:rPr>
        <w:t>公共实训管理中心</w:t>
      </w:r>
      <w:r>
        <w:rPr>
          <w:rFonts w:hint="eastAsia"/>
          <w:b/>
          <w:color w:val="auto"/>
          <w:sz w:val="32"/>
          <w:szCs w:val="32"/>
          <w:u w:val="single"/>
        </w:rPr>
        <w:t xml:space="preserve">                                </w:t>
      </w:r>
    </w:p>
    <w:tbl>
      <w:tblPr>
        <w:tblStyle w:val="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trPr>
        <w:tc>
          <w:tcPr>
            <w:tcW w:w="8568" w:type="dxa"/>
            <w:noWrap w:val="0"/>
            <w:vAlign w:val="top"/>
          </w:tcPr>
          <w:p>
            <w:pPr>
              <w:spacing w:after="78"/>
              <w:ind w:firstLine="0" w:firstLineChars="0"/>
              <w:rPr>
                <w:rFonts w:hint="eastAsia"/>
                <w:color w:val="auto"/>
              </w:rPr>
            </w:pPr>
            <w:r>
              <w:rPr>
                <w:rFonts w:hint="eastAsia"/>
                <w:b/>
                <w:color w:val="auto"/>
                <w:lang w:val="en-US" w:eastAsia="zh-CN"/>
              </w:rPr>
              <w:t>采购单位</w:t>
            </w:r>
            <w:r>
              <w:rPr>
                <w:rFonts w:hint="eastAsia"/>
                <w:b/>
                <w:color w:val="auto"/>
              </w:rPr>
              <w:t>论证意见：</w:t>
            </w:r>
            <w:r>
              <w:rPr>
                <w:rFonts w:hint="eastAsia"/>
                <w:color w:val="auto"/>
              </w:rPr>
              <w:t>（请标明：是否召开技术参数论证会，参加论证会人员，技术参数是否科学、合理；详细技术参数资料共</w:t>
            </w:r>
            <w:r>
              <w:rPr>
                <w:rFonts w:hint="eastAsia"/>
                <w:color w:val="auto"/>
                <w:u w:val="single"/>
              </w:rPr>
              <w:t xml:space="preserve">     </w:t>
            </w:r>
            <w:r>
              <w:rPr>
                <w:rFonts w:hint="eastAsia"/>
                <w:color w:val="auto"/>
              </w:rPr>
              <w:t>页）</w:t>
            </w:r>
          </w:p>
          <w:p>
            <w:pPr>
              <w:spacing w:after="78"/>
              <w:ind w:firstLine="0" w:firstLineChars="0"/>
              <w:rPr>
                <w:rFonts w:hint="eastAsia"/>
                <w:color w:val="auto"/>
              </w:rPr>
            </w:pPr>
          </w:p>
          <w:p>
            <w:pPr>
              <w:spacing w:after="78"/>
              <w:ind w:firstLine="0" w:firstLineChars="0"/>
              <w:rPr>
                <w:rFonts w:hint="eastAsia"/>
                <w:color w:val="auto"/>
              </w:rPr>
            </w:pPr>
          </w:p>
          <w:p>
            <w:pPr>
              <w:spacing w:after="78"/>
              <w:ind w:firstLine="0" w:firstLineChars="0"/>
              <w:rPr>
                <w:rFonts w:hint="eastAsia"/>
                <w:color w:val="auto"/>
              </w:rPr>
            </w:pPr>
          </w:p>
          <w:p>
            <w:pPr>
              <w:spacing w:after="78"/>
              <w:ind w:firstLine="0" w:firstLineChars="0"/>
              <w:rPr>
                <w:rFonts w:hint="eastAsia"/>
                <w:color w:val="auto"/>
              </w:rPr>
            </w:pPr>
          </w:p>
          <w:p>
            <w:pPr>
              <w:spacing w:after="78"/>
              <w:ind w:firstLine="0" w:firstLineChars="0"/>
              <w:rPr>
                <w:rFonts w:hint="eastAsia"/>
                <w:color w:val="auto"/>
              </w:rPr>
            </w:pPr>
          </w:p>
          <w:p>
            <w:pPr>
              <w:spacing w:after="78"/>
              <w:ind w:firstLine="0" w:firstLineChars="0"/>
              <w:rPr>
                <w:rFonts w:hint="eastAsia"/>
                <w:color w:val="auto"/>
              </w:rPr>
            </w:pPr>
          </w:p>
          <w:p>
            <w:pPr>
              <w:spacing w:after="78"/>
              <w:ind w:firstLine="0" w:firstLineChars="0"/>
              <w:rPr>
                <w:rFonts w:hint="eastAsia"/>
                <w:color w:val="auto"/>
              </w:rPr>
            </w:pPr>
          </w:p>
          <w:p>
            <w:pPr>
              <w:widowControl/>
              <w:spacing w:after="78"/>
              <w:ind w:firstLine="0" w:firstLineChars="0"/>
              <w:rPr>
                <w:rFonts w:hint="eastAsia" w:ascii="宋体" w:hAnsi="宋体"/>
                <w:b/>
                <w:color w:val="auto"/>
                <w:szCs w:val="30"/>
              </w:rPr>
            </w:pPr>
            <w:r>
              <w:rPr>
                <w:rFonts w:hint="eastAsia" w:ascii="宋体" w:hAnsi="宋体"/>
                <w:b/>
                <w:color w:val="auto"/>
                <w:szCs w:val="30"/>
              </w:rPr>
              <w:t xml:space="preserve">项目负责人：            </w:t>
            </w:r>
            <w:r>
              <w:rPr>
                <w:rFonts w:hint="eastAsia" w:ascii="宋体" w:hAnsi="宋体"/>
                <w:b/>
                <w:color w:val="auto"/>
                <w:szCs w:val="30"/>
                <w:lang w:val="en-US" w:eastAsia="zh-CN"/>
              </w:rPr>
              <w:t>单位负责人</w:t>
            </w:r>
            <w:r>
              <w:rPr>
                <w:rFonts w:hint="eastAsia" w:ascii="宋体" w:hAnsi="宋体"/>
                <w:b/>
                <w:color w:val="auto"/>
                <w:szCs w:val="30"/>
              </w:rPr>
              <w:t>:</w:t>
            </w:r>
          </w:p>
          <w:p>
            <w:pPr>
              <w:widowControl/>
              <w:spacing w:after="78"/>
              <w:ind w:firstLine="0" w:firstLineChars="0"/>
              <w:rPr>
                <w:rFonts w:hint="eastAsia" w:ascii="宋体" w:hAnsi="宋体"/>
                <w:b/>
                <w:color w:val="auto"/>
                <w:szCs w:val="30"/>
              </w:rPr>
            </w:pPr>
          </w:p>
          <w:p>
            <w:pPr>
              <w:widowControl/>
              <w:spacing w:after="78"/>
              <w:ind w:firstLine="0" w:firstLineChars="0"/>
              <w:rPr>
                <w:rFonts w:hint="eastAsia" w:ascii="宋体" w:hAnsi="宋体" w:eastAsia="仿宋_GB2312"/>
                <w:b/>
                <w:color w:val="auto"/>
                <w:szCs w:val="30"/>
                <w:lang w:val="en-US" w:eastAsia="zh-CN"/>
              </w:rPr>
            </w:pPr>
            <w:r>
              <w:rPr>
                <w:rFonts w:hint="eastAsia" w:ascii="宋体" w:hAnsi="宋体"/>
                <w:b/>
                <w:color w:val="auto"/>
                <w:szCs w:val="30"/>
                <w:lang w:val="en-US" w:eastAsia="zh-CN"/>
              </w:rPr>
              <w:t>参会人员：</w:t>
            </w:r>
          </w:p>
          <w:p>
            <w:pPr>
              <w:widowControl/>
              <w:spacing w:after="78"/>
              <w:ind w:firstLine="0" w:firstLineChars="0"/>
              <w:rPr>
                <w:rFonts w:hint="eastAsia" w:ascii="宋体" w:hAnsi="宋体"/>
                <w:b/>
                <w:color w:val="auto"/>
                <w:szCs w:val="30"/>
              </w:rPr>
            </w:pPr>
          </w:p>
          <w:p>
            <w:pPr>
              <w:widowControl/>
              <w:spacing w:after="78"/>
              <w:ind w:firstLine="0" w:firstLineChars="0"/>
              <w:rPr>
                <w:rFonts w:hint="eastAsia" w:ascii="宋体" w:hAnsi="宋体"/>
                <w:b/>
                <w:color w:val="auto"/>
                <w:szCs w:val="30"/>
              </w:rPr>
            </w:pPr>
          </w:p>
          <w:p>
            <w:pPr>
              <w:spacing w:after="78"/>
              <w:ind w:firstLine="697" w:firstLineChars="332"/>
              <w:rPr>
                <w:rFonts w:hint="eastAsia"/>
                <w:color w:val="auto"/>
                <w:u w:val="single"/>
              </w:rPr>
            </w:pPr>
            <w:r>
              <w:rPr>
                <w:rFonts w:hint="eastAsia" w:ascii="宋体" w:hAnsi="宋体"/>
                <w:color w:val="auto"/>
                <w:szCs w:val="30"/>
              </w:rPr>
              <w:t>年   月   日           年   月   日            年   月   日</w:t>
            </w:r>
          </w:p>
        </w:tc>
      </w:tr>
    </w:tbl>
    <w:p>
      <w:pPr>
        <w:spacing w:after="78"/>
        <w:ind w:firstLine="480"/>
        <w:rPr>
          <w:rFonts w:hint="eastAsia"/>
          <w:color w:val="auto"/>
        </w:rPr>
      </w:pPr>
    </w:p>
    <w:p>
      <w:pPr>
        <w:spacing w:after="78"/>
        <w:ind w:firstLine="480"/>
        <w:rPr>
          <w:rFonts w:hint="eastAsia"/>
          <w:color w:val="auto"/>
        </w:rPr>
      </w:pPr>
    </w:p>
    <w:p>
      <w:pPr>
        <w:spacing w:after="78"/>
        <w:ind w:firstLine="562"/>
        <w:rPr>
          <w:rFonts w:hint="eastAsia"/>
          <w:b/>
          <w:color w:val="auto"/>
          <w:sz w:val="28"/>
          <w:szCs w:val="28"/>
          <w:u w:val="single"/>
        </w:rPr>
      </w:pPr>
      <w:r>
        <w:rPr>
          <w:rFonts w:hint="eastAsia"/>
          <w:b/>
          <w:color w:val="auto"/>
          <w:sz w:val="28"/>
          <w:szCs w:val="28"/>
        </w:rPr>
        <w:t>填报单位（签章）：</w:t>
      </w:r>
      <w:r>
        <w:rPr>
          <w:rFonts w:hint="eastAsia"/>
          <w:b/>
          <w:color w:val="auto"/>
          <w:sz w:val="28"/>
          <w:szCs w:val="28"/>
          <w:u w:val="single"/>
        </w:rPr>
        <w:t xml:space="preserve">                                    </w:t>
      </w:r>
    </w:p>
    <w:p>
      <w:pPr>
        <w:spacing w:after="78"/>
        <w:ind w:firstLine="480"/>
        <w:jc w:val="center"/>
        <w:rPr>
          <w:rFonts w:hint="eastAsia"/>
          <w:color w:val="auto"/>
        </w:rPr>
      </w:pPr>
    </w:p>
    <w:p>
      <w:pPr>
        <w:keepNext w:val="0"/>
        <w:keepLines w:val="0"/>
        <w:pageBreakBefore w:val="0"/>
        <w:widowControl w:val="0"/>
        <w:kinsoku/>
        <w:wordWrap/>
        <w:overflowPunct/>
        <w:topLinePunct w:val="0"/>
        <w:autoSpaceDE w:val="0"/>
        <w:autoSpaceDN w:val="0"/>
        <w:bidi w:val="0"/>
        <w:adjustRightInd/>
        <w:snapToGrid w:val="0"/>
        <w:spacing w:after="0" w:afterLines="0"/>
        <w:ind w:firstLine="0" w:firstLineChars="0"/>
        <w:jc w:val="center"/>
        <w:textAlignment w:val="center"/>
        <w:outlineLvl w:val="0"/>
        <w:rPr>
          <w:rFonts w:hint="default" w:ascii="方正小标宋简体" w:eastAsia="方正小标宋简体"/>
          <w:color w:val="auto"/>
          <w:sz w:val="36"/>
          <w:szCs w:val="36"/>
          <w:lang w:val="en-US" w:eastAsia="zh-CN"/>
        </w:rPr>
      </w:pPr>
      <w:r>
        <w:rPr>
          <w:rFonts w:ascii="宋体" w:hAnsi="宋体" w:eastAsia="宋体"/>
          <w:color w:val="auto"/>
          <w:sz w:val="32"/>
          <w:szCs w:val="32"/>
        </w:rPr>
        <w:fldChar w:fldCharType="begin"/>
      </w:r>
      <w:r>
        <w:rPr>
          <w:rFonts w:ascii="宋体" w:hAnsi="宋体" w:eastAsia="宋体"/>
          <w:color w:val="auto"/>
          <w:sz w:val="32"/>
          <w:szCs w:val="32"/>
        </w:rPr>
        <w:instrText xml:space="preserve"> </w:instrText>
      </w:r>
      <w:r>
        <w:rPr>
          <w:rFonts w:hint="eastAsia" w:ascii="宋体" w:hAnsi="宋体" w:eastAsia="宋体"/>
          <w:color w:val="auto"/>
          <w:sz w:val="32"/>
          <w:szCs w:val="32"/>
        </w:rPr>
        <w:instrText xml:space="preserve">TIME \@ "EEEE年O月A日"</w:instrText>
      </w:r>
      <w:r>
        <w:rPr>
          <w:rFonts w:ascii="宋体" w:hAnsi="宋体" w:eastAsia="宋体"/>
          <w:color w:val="auto"/>
          <w:sz w:val="32"/>
          <w:szCs w:val="32"/>
        </w:rPr>
        <w:instrText xml:space="preserve"> </w:instrText>
      </w:r>
      <w:r>
        <w:rPr>
          <w:rFonts w:ascii="宋体" w:hAnsi="宋体" w:eastAsia="宋体"/>
          <w:color w:val="auto"/>
          <w:sz w:val="32"/>
          <w:szCs w:val="32"/>
        </w:rPr>
        <w:fldChar w:fldCharType="separate"/>
      </w:r>
      <w:r>
        <w:rPr>
          <w:rFonts w:hint="eastAsia" w:ascii="宋体" w:hAnsi="宋体" w:eastAsia="宋体"/>
          <w:color w:val="auto"/>
          <w:sz w:val="32"/>
          <w:szCs w:val="32"/>
        </w:rPr>
        <w:t>二〇二三年三月二十七日</w:t>
      </w:r>
      <w:r>
        <w:rPr>
          <w:rFonts w:ascii="宋体" w:hAnsi="宋体" w:eastAsia="宋体"/>
          <w:color w:val="auto"/>
          <w:sz w:val="32"/>
          <w:szCs w:val="32"/>
        </w:rPr>
        <w:fldChar w:fldCharType="end"/>
      </w:r>
      <w:r>
        <w:rPr>
          <w:rFonts w:hint="eastAsia"/>
          <w:b/>
          <w:color w:val="auto"/>
          <w:sz w:val="44"/>
          <w:szCs w:val="44"/>
        </w:rPr>
        <w:br w:type="page"/>
      </w:r>
      <w:r>
        <w:rPr>
          <w:rFonts w:hint="eastAsia" w:ascii="方正小标宋简体" w:eastAsia="方正小标宋简体"/>
          <w:color w:val="auto"/>
          <w:sz w:val="36"/>
          <w:szCs w:val="36"/>
          <w:lang w:val="en-US" w:eastAsia="zh-CN"/>
        </w:rPr>
        <w:t>论证报告单</w:t>
      </w:r>
    </w:p>
    <w:tbl>
      <w:tblPr>
        <w:tblStyle w:val="9"/>
        <w:tblW w:w="101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0"/>
        <w:gridCol w:w="4755"/>
        <w:gridCol w:w="1365"/>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项目名称</w:t>
            </w:r>
          </w:p>
        </w:tc>
        <w:tc>
          <w:tcPr>
            <w:tcW w:w="4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项目编号</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after="0" w:afterLines="0"/>
              <w:ind w:firstLine="0" w:firstLineChars="0"/>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主持单位</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湄洲湾职业技术学院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出席专家</w:t>
            </w: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专家一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专家二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专家三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专家四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专家五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18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专家结论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2" w:hRule="atLeast"/>
          <w:jc w:val="center"/>
        </w:trPr>
        <w:tc>
          <w:tcPr>
            <w:tcW w:w="101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专家签名：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使用部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门意见</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adjustRightInd w:val="0"/>
              <w:snapToGrid w:val="0"/>
              <w:spacing w:after="0" w:afterLines="0"/>
              <w:ind w:firstLine="0" w:firstLineChars="0"/>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监督部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门意见</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adjustRightInd w:val="0"/>
              <w:snapToGrid w:val="0"/>
              <w:spacing w:after="0" w:afterLines="0"/>
              <w:ind w:firstLine="0" w:firstLineChars="0"/>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结论</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adjustRightInd w:val="0"/>
              <w:snapToGrid w:val="0"/>
              <w:spacing w:after="0" w:afterLines="0"/>
              <w:ind w:firstLine="0" w:firstLineChars="0"/>
              <w:jc w:val="center"/>
              <w:rPr>
                <w:rFonts w:hint="eastAsia" w:ascii="宋体" w:hAnsi="宋体" w:eastAsia="宋体" w:cs="宋体"/>
                <w:i w:val="0"/>
                <w:iCs w:val="0"/>
                <w:color w:val="auto"/>
                <w:sz w:val="24"/>
                <w:szCs w:val="24"/>
                <w:u w:val="none"/>
              </w:rPr>
            </w:pPr>
          </w:p>
        </w:tc>
      </w:tr>
    </w:tbl>
    <w:p>
      <w:pPr>
        <w:rPr>
          <w:rFonts w:hint="eastAsia"/>
          <w:b/>
          <w:color w:val="auto"/>
          <w:sz w:val="44"/>
          <w:szCs w:val="44"/>
        </w:rPr>
      </w:pPr>
      <w:r>
        <w:rPr>
          <w:rFonts w:hint="eastAsia"/>
          <w:b/>
          <w:color w:val="auto"/>
          <w:sz w:val="44"/>
          <w:szCs w:val="44"/>
        </w:rPr>
        <w:br w:type="page"/>
      </w:r>
    </w:p>
    <w:p>
      <w:pPr>
        <w:spacing w:after="78"/>
        <w:ind w:firstLine="0" w:firstLineChars="0"/>
        <w:jc w:val="center"/>
        <w:rPr>
          <w:rFonts w:hint="eastAsia"/>
          <w:b/>
          <w:color w:val="auto"/>
          <w:sz w:val="44"/>
          <w:szCs w:val="44"/>
        </w:rPr>
      </w:pPr>
      <w:r>
        <w:rPr>
          <w:rFonts w:hint="eastAsia"/>
          <w:b/>
          <w:color w:val="auto"/>
          <w:sz w:val="44"/>
          <w:szCs w:val="44"/>
        </w:rPr>
        <w:t>采购品目详细</w:t>
      </w:r>
      <w:r>
        <w:rPr>
          <w:rFonts w:hint="eastAsia"/>
          <w:b/>
          <w:color w:val="auto"/>
          <w:sz w:val="44"/>
          <w:szCs w:val="44"/>
          <w:lang w:val="en-US" w:eastAsia="zh-CN"/>
        </w:rPr>
        <w:t>评标标准及技术参数</w:t>
      </w:r>
      <w:r>
        <w:rPr>
          <w:rFonts w:hint="eastAsia"/>
          <w:b/>
          <w:color w:val="auto"/>
          <w:sz w:val="44"/>
          <w:szCs w:val="44"/>
        </w:rPr>
        <w:t>资料</w:t>
      </w:r>
    </w:p>
    <w:p>
      <w:pPr>
        <w:pStyle w:val="5"/>
        <w:numPr>
          <w:ilvl w:val="0"/>
          <w:numId w:val="1"/>
        </w:numPr>
        <w:spacing w:before="0" w:after="0" w:line="360" w:lineRule="auto"/>
        <w:rPr>
          <w:rFonts w:hint="eastAsia" w:ascii="宋体" w:hAnsi="宋体" w:cs="Arial"/>
          <w:color w:val="auto"/>
          <w:sz w:val="32"/>
        </w:rPr>
      </w:pPr>
      <w:r>
        <w:rPr>
          <w:rFonts w:ascii="宋体" w:hAnsi="宋体" w:cs="Arial"/>
          <w:color w:val="auto"/>
          <w:sz w:val="32"/>
        </w:rPr>
        <w:t>评标方法和</w:t>
      </w:r>
      <w:r>
        <w:rPr>
          <w:rFonts w:hint="eastAsia" w:ascii="宋体" w:hAnsi="宋体" w:cs="Arial"/>
          <w:color w:val="auto"/>
          <w:sz w:val="32"/>
          <w:lang w:val="en-US" w:eastAsia="zh-CN"/>
        </w:rPr>
        <w:t>评</w:t>
      </w:r>
      <w:r>
        <w:rPr>
          <w:rFonts w:ascii="宋体" w:hAnsi="宋体" w:cs="Arial"/>
          <w:color w:val="auto"/>
          <w:sz w:val="32"/>
        </w:rPr>
        <w:t>标标准</w:t>
      </w:r>
    </w:p>
    <w:p>
      <w:pPr>
        <w:numPr>
          <w:ilvl w:val="0"/>
          <w:numId w:val="2"/>
        </w:numPr>
        <w:rPr>
          <w:rFonts w:hint="eastAsia"/>
          <w:color w:val="auto"/>
        </w:rPr>
      </w:pPr>
      <w:r>
        <w:rPr>
          <w:rFonts w:hint="eastAsia"/>
          <w:b/>
          <w:color w:val="auto"/>
        </w:rPr>
        <w:t>评标方法</w:t>
      </w:r>
      <w:r>
        <w:rPr>
          <w:rFonts w:hint="eastAsia"/>
          <w:b/>
          <w:bCs/>
          <w:color w:val="auto"/>
        </w:rPr>
        <w:t>：</w:t>
      </w:r>
      <w:r>
        <w:rPr>
          <w:rFonts w:hint="eastAsia"/>
          <w:color w:val="auto"/>
        </w:rPr>
        <w:t xml:space="preserve"> 综合评分法。</w:t>
      </w:r>
    </w:p>
    <w:p>
      <w:pPr>
        <w:numPr>
          <w:ilvl w:val="0"/>
          <w:numId w:val="2"/>
        </w:numPr>
        <w:rPr>
          <w:rFonts w:hint="eastAsia"/>
          <w:b/>
          <w:bCs/>
          <w:color w:val="auto"/>
        </w:rPr>
      </w:pPr>
      <w:r>
        <w:rPr>
          <w:rFonts w:hint="eastAsia"/>
          <w:b/>
          <w:bCs/>
          <w:color w:val="auto"/>
        </w:rPr>
        <w:t>评标标准</w:t>
      </w:r>
    </w:p>
    <w:p>
      <w:pPr>
        <w:rPr>
          <w:rFonts w:hint="eastAsia"/>
          <w:color w:val="auto"/>
        </w:rPr>
      </w:pPr>
      <w:r>
        <w:rPr>
          <w:rFonts w:hint="eastAsia"/>
          <w:color w:val="auto"/>
        </w:rPr>
        <w:t>（</w:t>
      </w:r>
      <w:r>
        <w:rPr>
          <w:rFonts w:hint="eastAsia"/>
          <w:color w:val="auto"/>
          <w:lang w:val="en-US" w:eastAsia="zh-CN"/>
        </w:rPr>
        <w:t>1</w:t>
      </w:r>
      <w:r>
        <w:rPr>
          <w:rFonts w:hint="eastAsia"/>
          <w:color w:val="auto"/>
        </w:rPr>
        <w:t>）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rPr>
          <w:rFonts w:hint="eastAsia"/>
          <w:color w:val="auto"/>
        </w:rPr>
      </w:pPr>
      <w:r>
        <w:rPr>
          <w:rFonts w:hint="eastAsia"/>
          <w:color w:val="auto"/>
        </w:rPr>
        <w:t>（</w:t>
      </w:r>
      <w:r>
        <w:rPr>
          <w:rFonts w:hint="eastAsia"/>
          <w:color w:val="auto"/>
          <w:lang w:val="en-US" w:eastAsia="zh-CN"/>
        </w:rPr>
        <w:t>2</w:t>
      </w:r>
      <w:r>
        <w:rPr>
          <w:rFonts w:hint="eastAsia"/>
          <w:color w:val="auto"/>
        </w:rPr>
        <w:t>）各项评审因素的设置如下：</w:t>
      </w:r>
    </w:p>
    <w:p>
      <w:pPr>
        <w:rPr>
          <w:rFonts w:hint="eastAsia"/>
          <w:b/>
          <w:bCs/>
          <w:color w:val="auto"/>
        </w:rPr>
      </w:pPr>
      <w:r>
        <w:rPr>
          <w:rFonts w:hint="default"/>
          <w:b/>
          <w:bCs/>
          <w:color w:val="auto"/>
        </w:rPr>
        <w:t>①</w:t>
      </w:r>
      <w:r>
        <w:rPr>
          <w:rFonts w:hint="eastAsia"/>
          <w:b/>
          <w:bCs/>
          <w:color w:val="auto"/>
          <w:lang w:val="en-US" w:eastAsia="zh-CN"/>
        </w:rPr>
        <w:t>价</w:t>
      </w:r>
      <w:r>
        <w:rPr>
          <w:rFonts w:hint="eastAsia"/>
          <w:b/>
          <w:bCs/>
          <w:color w:val="auto"/>
        </w:rPr>
        <w:t>格项（F1×A1）满分为</w:t>
      </w:r>
      <w:r>
        <w:rPr>
          <w:rFonts w:hint="eastAsia"/>
          <w:b/>
          <w:bCs/>
          <w:i/>
          <w:iCs/>
          <w:color w:val="auto"/>
          <w:u w:val="single"/>
          <w:lang w:val="en-US" w:eastAsia="zh-CN"/>
        </w:rPr>
        <w:t>30</w:t>
      </w:r>
      <w:r>
        <w:rPr>
          <w:rFonts w:hint="eastAsia"/>
          <w:b/>
          <w:bCs/>
          <w:color w:val="auto"/>
        </w:rPr>
        <w:t>分。</w:t>
      </w:r>
    </w:p>
    <w:p>
      <w:pPr>
        <w:rPr>
          <w:rFonts w:hint="eastAsia"/>
          <w:color w:val="auto"/>
        </w:rPr>
      </w:pPr>
      <w:r>
        <w:rPr>
          <w:rFonts w:hint="eastAsia"/>
          <w:color w:val="auto"/>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rPr>
          <w:rFonts w:hint="eastAsia"/>
          <w:color w:val="auto"/>
        </w:rPr>
      </w:pPr>
      <w:r>
        <w:rPr>
          <w:rFonts w:hint="eastAsia"/>
          <w:color w:val="auto"/>
        </w:rPr>
        <w:t>b.价格扣除的规则如下：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noWrap w:val="0"/>
            <w:vAlign w:val="top"/>
          </w:tcPr>
          <w:p>
            <w:pPr>
              <w:rPr>
                <w:color w:val="auto"/>
              </w:rPr>
            </w:pPr>
            <w:r>
              <w:rPr>
                <w:rFonts w:hint="eastAsia"/>
                <w:color w:val="auto"/>
              </w:rPr>
              <w:t>评标项目</w:t>
            </w:r>
          </w:p>
        </w:tc>
        <w:tc>
          <w:tcPr>
            <w:tcW w:w="11514" w:type="dxa"/>
            <w:noWrap w:val="0"/>
            <w:vAlign w:val="top"/>
          </w:tcPr>
          <w:p>
            <w:pPr>
              <w:rPr>
                <w:color w:val="auto"/>
              </w:rPr>
            </w:pPr>
            <w:r>
              <w:rPr>
                <w:rFonts w:hint="eastAsia"/>
                <w:color w:val="auto"/>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rPr>
                <w:color w:val="auto"/>
              </w:rPr>
            </w:pPr>
            <w:r>
              <w:rPr>
                <w:rFonts w:hint="eastAsia"/>
                <w:color w:val="auto"/>
              </w:rPr>
              <w:t>小型、微型企业，监狱企业，残疾人</w:t>
            </w:r>
          </w:p>
        </w:tc>
        <w:tc>
          <w:tcPr>
            <w:tcW w:w="11514" w:type="dxa"/>
            <w:noWrap w:val="0"/>
            <w:vAlign w:val="top"/>
          </w:tcPr>
          <w:p>
            <w:pPr>
              <w:rPr>
                <w:b w:val="0"/>
                <w:bCs w:val="0"/>
                <w:color w:val="auto"/>
              </w:rPr>
            </w:pPr>
            <w:r>
              <w:rPr>
                <w:b/>
                <w:bCs/>
                <w:color w:val="auto"/>
              </w:rPr>
              <w:t>1、对小型、微型企业产品（限货物）的价格给予</w:t>
            </w:r>
            <w:r>
              <w:rPr>
                <w:rFonts w:hint="eastAsia"/>
                <w:b/>
                <w:bCs/>
                <w:i/>
                <w:iCs/>
                <w:color w:val="auto"/>
                <w:lang w:val="en-US" w:eastAsia="zh-CN"/>
              </w:rPr>
              <w:t>15</w:t>
            </w:r>
            <w:r>
              <w:rPr>
                <w:b/>
                <w:bCs/>
                <w:i/>
                <w:iCs/>
                <w:color w:val="auto"/>
              </w:rPr>
              <w:t>%</w:t>
            </w:r>
            <w:r>
              <w:rPr>
                <w:b/>
                <w:bCs/>
                <w:color w:val="auto"/>
              </w:rPr>
              <w:t>的扣除。 2、对监狱企业产品（限货物）的价格给予</w:t>
            </w:r>
            <w:r>
              <w:rPr>
                <w:rFonts w:hint="eastAsia"/>
                <w:b/>
                <w:bCs/>
                <w:i/>
                <w:iCs/>
                <w:color w:val="auto"/>
                <w:u w:val="single"/>
                <w:lang w:val="en-US" w:eastAsia="zh-CN"/>
              </w:rPr>
              <w:t>15</w:t>
            </w:r>
            <w:r>
              <w:rPr>
                <w:b/>
                <w:bCs/>
                <w:i/>
                <w:iCs/>
                <w:color w:val="auto"/>
                <w:u w:val="single"/>
              </w:rPr>
              <w:t>%</w:t>
            </w:r>
            <w:r>
              <w:rPr>
                <w:b/>
                <w:bCs/>
                <w:color w:val="auto"/>
              </w:rPr>
              <w:t>的扣除。 3、残疾人福利性单位提供本单位制造的货物、承担的工程或服务，或提供其他残疾人福利性单位制造的货物（不包括使用非残疾人福利性单位注册商标的货物），对相应货物、工程或服务的价格给予</w:t>
            </w:r>
            <w:r>
              <w:rPr>
                <w:rFonts w:hint="eastAsia"/>
                <w:b/>
                <w:bCs/>
                <w:i/>
                <w:iCs/>
                <w:color w:val="auto"/>
                <w:lang w:val="en-US" w:eastAsia="zh-CN"/>
              </w:rPr>
              <w:t>15</w:t>
            </w:r>
            <w:r>
              <w:rPr>
                <w:b/>
                <w:bCs/>
                <w:i/>
                <w:iCs/>
                <w:color w:val="auto"/>
              </w:rPr>
              <w:t>%</w:t>
            </w:r>
            <w:r>
              <w:rPr>
                <w:b/>
                <w:bCs/>
                <w:color w:val="auto"/>
              </w:rPr>
              <w:t>的扣除</w:t>
            </w:r>
            <w:r>
              <w:rPr>
                <w:rFonts w:hint="eastAsia"/>
                <w:b/>
                <w:bCs/>
                <w:color w:val="auto"/>
                <w:lang w:eastAsia="zh-CN"/>
              </w:rPr>
              <w:t>。</w:t>
            </w:r>
            <w:r>
              <w:rPr>
                <w:rFonts w:hint="eastAsia"/>
                <w:b/>
                <w:bCs/>
                <w:color w:val="auto"/>
                <w:lang w:val="en-US" w:eastAsia="zh-CN"/>
              </w:rPr>
              <w:t>4、对于</w:t>
            </w:r>
            <w:r>
              <w:rPr>
                <w:rFonts w:hint="eastAsia"/>
                <w:b/>
                <w:bCs/>
                <w:color w:val="auto"/>
              </w:rPr>
              <w:t>节能产品、环境标志产品</w:t>
            </w:r>
            <w:r>
              <w:rPr>
                <w:b/>
                <w:bCs/>
                <w:color w:val="auto"/>
              </w:rPr>
              <w:t>的价格给予</w:t>
            </w:r>
            <w:r>
              <w:rPr>
                <w:rFonts w:hint="eastAsia"/>
                <w:b/>
                <w:bCs/>
                <w:i/>
                <w:iCs/>
                <w:color w:val="auto"/>
                <w:lang w:val="en-US" w:eastAsia="zh-CN"/>
              </w:rPr>
              <w:t>15%</w:t>
            </w:r>
            <w:r>
              <w:rPr>
                <w:b/>
                <w:bCs/>
                <w:color w:val="auto"/>
              </w:rPr>
              <w:t>的扣除。</w:t>
            </w:r>
          </w:p>
        </w:tc>
      </w:tr>
    </w:tbl>
    <w:p>
      <w:pPr>
        <w:rPr>
          <w:rFonts w:hint="eastAsia"/>
          <w:b/>
          <w:bCs/>
          <w:color w:val="auto"/>
        </w:rPr>
      </w:pPr>
      <w:r>
        <w:rPr>
          <w:rFonts w:hint="eastAsia"/>
          <w:b/>
          <w:bCs/>
          <w:color w:val="auto"/>
        </w:rPr>
        <w:t>②技术项（F2×A2）满分为</w:t>
      </w:r>
      <w:r>
        <w:rPr>
          <w:rFonts w:hint="eastAsia"/>
          <w:b/>
          <w:bCs/>
          <w:color w:val="auto"/>
          <w:u w:val="single"/>
          <w:lang w:val="en-US" w:eastAsia="zh-CN"/>
        </w:rPr>
        <w:t>55</w:t>
      </w:r>
      <w:r>
        <w:rPr>
          <w:rFonts w:hint="eastAsia"/>
          <w:b/>
          <w:bCs/>
          <w:color w:val="auto"/>
        </w:rPr>
        <w:t>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019"/>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noWrap w:val="0"/>
            <w:vAlign w:val="top"/>
          </w:tcPr>
          <w:p>
            <w:pPr>
              <w:rPr>
                <w:rFonts w:hint="eastAsia"/>
                <w:color w:val="auto"/>
              </w:rPr>
            </w:pPr>
            <w:r>
              <w:rPr>
                <w:rFonts w:hint="eastAsia"/>
                <w:color w:val="auto"/>
              </w:rPr>
              <w:t>评标项目</w:t>
            </w:r>
          </w:p>
        </w:tc>
        <w:tc>
          <w:tcPr>
            <w:tcW w:w="1019" w:type="dxa"/>
            <w:noWrap w:val="0"/>
            <w:vAlign w:val="top"/>
          </w:tcPr>
          <w:p>
            <w:pPr>
              <w:ind w:left="0" w:leftChars="0" w:firstLine="0" w:firstLineChars="0"/>
              <w:rPr>
                <w:rFonts w:hint="eastAsia"/>
                <w:color w:val="auto"/>
              </w:rPr>
            </w:pPr>
            <w:r>
              <w:rPr>
                <w:rFonts w:hint="eastAsia"/>
                <w:color w:val="auto"/>
              </w:rPr>
              <w:t>评标分值</w:t>
            </w:r>
          </w:p>
        </w:tc>
        <w:tc>
          <w:tcPr>
            <w:tcW w:w="5600" w:type="dxa"/>
            <w:noWrap w:val="0"/>
            <w:vAlign w:val="top"/>
          </w:tcPr>
          <w:p>
            <w:pPr>
              <w:rPr>
                <w:rFonts w:hint="eastAsia"/>
                <w:color w:val="auto"/>
              </w:rPr>
            </w:pPr>
            <w:r>
              <w:rPr>
                <w:rFonts w:hint="eastAsia"/>
                <w:color w:val="auto"/>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noWrap w:val="0"/>
            <w:vAlign w:val="top"/>
          </w:tcPr>
          <w:p>
            <w:pPr>
              <w:rPr>
                <w:rFonts w:hint="default" w:eastAsia="仿宋_GB2312"/>
                <w:color w:val="auto"/>
                <w:lang w:val="en-US" w:eastAsia="zh-CN"/>
              </w:rPr>
            </w:pPr>
            <w:r>
              <w:rPr>
                <w:b/>
              </w:rPr>
              <w:t>1、技术要求符合性</w:t>
            </w:r>
          </w:p>
        </w:tc>
        <w:tc>
          <w:tcPr>
            <w:tcW w:w="1019" w:type="dxa"/>
            <w:noWrap w:val="0"/>
            <w:vAlign w:val="top"/>
          </w:tcPr>
          <w:p>
            <w:pPr>
              <w:jc w:val="right"/>
              <w:rPr>
                <w:rFonts w:hint="eastAsia"/>
                <w:color w:val="auto"/>
              </w:rPr>
            </w:pPr>
            <w:r>
              <w:rPr>
                <w:b/>
              </w:rPr>
              <w:t>49.00</w:t>
            </w:r>
          </w:p>
        </w:tc>
        <w:tc>
          <w:tcPr>
            <w:tcW w:w="5600" w:type="dxa"/>
            <w:noWrap w:val="0"/>
            <w:vAlign w:val="top"/>
          </w:tcPr>
          <w:p>
            <w:pPr>
              <w:rPr>
                <w:rFonts w:hint="eastAsia"/>
                <w:color w:val="auto"/>
              </w:rPr>
            </w:pPr>
            <w:r>
              <w:rPr>
                <w:b/>
              </w:rPr>
              <w:t>根据投标人对磋商文件第三章《采购内容及要求》“二、技术要求”中技术要求的逐项响应承诺等方面情况由评标委员会进行评议并评分,完全满足招标文件技术参数要求的得49分。技术参数每负偏离一项扣0.46分（共107项），扣完为止，正偏离不加分。（招标文件若有要求提供相关佐证材料的，应提供相关佐证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noWrap w:val="0"/>
            <w:vAlign w:val="top"/>
          </w:tcPr>
          <w:p>
            <w:pPr>
              <w:rPr>
                <w:rFonts w:hint="default" w:eastAsia="仿宋_GB2312"/>
                <w:color w:val="auto"/>
                <w:lang w:val="en-US" w:eastAsia="zh-CN"/>
              </w:rPr>
            </w:pPr>
            <w:r>
              <w:rPr>
                <w:b/>
              </w:rPr>
              <w:t>2、产品安全性</w:t>
            </w:r>
          </w:p>
        </w:tc>
        <w:tc>
          <w:tcPr>
            <w:tcW w:w="1019" w:type="dxa"/>
            <w:noWrap w:val="0"/>
            <w:vAlign w:val="top"/>
          </w:tcPr>
          <w:p>
            <w:pPr>
              <w:jc w:val="right"/>
              <w:rPr>
                <w:rFonts w:hint="eastAsia"/>
                <w:color w:val="auto"/>
              </w:rPr>
            </w:pPr>
            <w:r>
              <w:rPr>
                <w:b/>
              </w:rPr>
              <w:t>4.00</w:t>
            </w:r>
          </w:p>
        </w:tc>
        <w:tc>
          <w:tcPr>
            <w:tcW w:w="5600" w:type="dxa"/>
            <w:noWrap w:val="0"/>
            <w:vAlign w:val="top"/>
          </w:tcPr>
          <w:p>
            <w:pPr>
              <w:rPr>
                <w:rFonts w:hint="eastAsia"/>
                <w:color w:val="auto"/>
              </w:rPr>
            </w:pPr>
            <w:r>
              <w:rPr>
                <w:b/>
              </w:rPr>
              <w:t>投标产品1-1～1-5需提供原厂系统备份恢复功能，具有出厂备份和用户自定义备份功能，得2分。投标产品1-1～1-6需提供国家权威部门整机防雷击检测认证、平均无故障时间大于10万小时（国家MTBF标准测试，国家电子计算机质量监督检验中心检测），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noWrap w:val="0"/>
            <w:vAlign w:val="top"/>
          </w:tcPr>
          <w:p>
            <w:pPr>
              <w:rPr>
                <w:rFonts w:hint="default" w:eastAsia="仿宋_GB2312"/>
                <w:color w:val="auto"/>
                <w:lang w:val="en-US" w:eastAsia="zh-CN"/>
              </w:rPr>
            </w:pPr>
            <w:r>
              <w:rPr>
                <w:b/>
              </w:rPr>
              <w:t>3、计算机功能配置及技术指标</w:t>
            </w:r>
          </w:p>
        </w:tc>
        <w:tc>
          <w:tcPr>
            <w:tcW w:w="1019" w:type="dxa"/>
            <w:noWrap w:val="0"/>
            <w:vAlign w:val="top"/>
          </w:tcPr>
          <w:p>
            <w:pPr>
              <w:jc w:val="right"/>
              <w:rPr>
                <w:rFonts w:hint="eastAsia"/>
                <w:color w:val="auto"/>
              </w:rPr>
            </w:pPr>
            <w:r>
              <w:rPr>
                <w:b/>
              </w:rPr>
              <w:t>2.00</w:t>
            </w:r>
          </w:p>
        </w:tc>
        <w:tc>
          <w:tcPr>
            <w:tcW w:w="5600" w:type="dxa"/>
            <w:noWrap w:val="0"/>
            <w:vAlign w:val="top"/>
          </w:tcPr>
          <w:p>
            <w:pPr>
              <w:rPr>
                <w:rFonts w:hint="eastAsia"/>
                <w:color w:val="auto"/>
              </w:rPr>
            </w:pPr>
            <w:r>
              <w:rPr>
                <w:b/>
              </w:rPr>
              <w:t>产品说明是否全面、详尽：有提供系统正版授权、品牌授权、产品说明详细且符合需求的得2分；均未提供不得分。</w:t>
            </w:r>
          </w:p>
        </w:tc>
      </w:tr>
    </w:tbl>
    <w:p>
      <w:pPr>
        <w:rPr>
          <w:rFonts w:hint="eastAsia"/>
          <w:b/>
          <w:bCs/>
          <w:color w:val="auto"/>
        </w:rPr>
      </w:pPr>
    </w:p>
    <w:p>
      <w:pPr>
        <w:rPr>
          <w:rFonts w:hint="eastAsia"/>
          <w:b/>
          <w:bCs/>
          <w:color w:val="auto"/>
        </w:rPr>
      </w:pPr>
    </w:p>
    <w:p>
      <w:pPr>
        <w:rPr>
          <w:rFonts w:hint="eastAsia"/>
          <w:b/>
          <w:bCs/>
          <w:color w:val="auto"/>
        </w:rPr>
      </w:pPr>
    </w:p>
    <w:p>
      <w:pPr>
        <w:rPr>
          <w:rFonts w:hint="eastAsia"/>
          <w:b/>
          <w:bCs/>
          <w:color w:val="auto"/>
        </w:rPr>
      </w:pPr>
      <w:r>
        <w:rPr>
          <w:rFonts w:hint="eastAsia"/>
          <w:b/>
          <w:bCs/>
          <w:color w:val="auto"/>
        </w:rPr>
        <w:t>③商务项（F3×A3）满分为</w:t>
      </w:r>
      <w:r>
        <w:rPr>
          <w:rFonts w:hint="eastAsia"/>
          <w:b/>
          <w:bCs/>
          <w:i/>
          <w:iCs/>
          <w:color w:val="auto"/>
          <w:u w:val="single"/>
          <w:lang w:val="en-US" w:eastAsia="zh-CN"/>
        </w:rPr>
        <w:t>15</w:t>
      </w:r>
      <w:r>
        <w:rPr>
          <w:rFonts w:hint="eastAsia"/>
          <w:b/>
          <w:bCs/>
          <w:color w:val="auto"/>
        </w:rPr>
        <w:t>分。</w:t>
      </w:r>
    </w:p>
    <w:tbl>
      <w:tblPr>
        <w:tblStyle w:val="9"/>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900"/>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noWrap w:val="0"/>
            <w:vAlign w:val="top"/>
          </w:tcPr>
          <w:p>
            <w:pPr>
              <w:rPr>
                <w:rFonts w:hint="eastAsia"/>
                <w:color w:val="auto"/>
              </w:rPr>
            </w:pPr>
            <w:r>
              <w:rPr>
                <w:rFonts w:hint="eastAsia"/>
                <w:color w:val="auto"/>
              </w:rPr>
              <w:t>评标项目</w:t>
            </w:r>
          </w:p>
        </w:tc>
        <w:tc>
          <w:tcPr>
            <w:tcW w:w="900" w:type="dxa"/>
            <w:noWrap w:val="0"/>
            <w:vAlign w:val="top"/>
          </w:tcPr>
          <w:p>
            <w:pPr>
              <w:ind w:left="0" w:leftChars="0" w:firstLine="0" w:firstLineChars="0"/>
              <w:rPr>
                <w:rFonts w:hint="eastAsia"/>
                <w:color w:val="auto"/>
              </w:rPr>
            </w:pPr>
            <w:r>
              <w:rPr>
                <w:color w:val="auto"/>
              </w:rPr>
              <w:t>评标分值</w:t>
            </w:r>
          </w:p>
        </w:tc>
        <w:tc>
          <w:tcPr>
            <w:tcW w:w="5179" w:type="dxa"/>
            <w:noWrap w:val="0"/>
            <w:vAlign w:val="top"/>
          </w:tcPr>
          <w:p>
            <w:pPr>
              <w:rPr>
                <w:rFonts w:hint="eastAsia"/>
                <w:color w:val="auto"/>
              </w:rPr>
            </w:pPr>
            <w:r>
              <w:rPr>
                <w:rFonts w:hint="eastAsia"/>
                <w:color w:val="auto"/>
              </w:rPr>
              <w:t>评标方法描述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7" w:type="dxa"/>
          </w:tcPr>
          <w:p>
            <w:r>
              <w:rPr>
                <w:b/>
              </w:rPr>
              <w:t>1、投标人综合实力</w:t>
            </w:r>
          </w:p>
        </w:tc>
        <w:tc>
          <w:tcPr>
            <w:tcW w:w="900" w:type="dxa"/>
          </w:tcPr>
          <w:p>
            <w:pPr>
              <w:jc w:val="right"/>
            </w:pPr>
            <w:r>
              <w:rPr>
                <w:b/>
              </w:rPr>
              <w:t>3.00</w:t>
            </w:r>
          </w:p>
        </w:tc>
        <w:tc>
          <w:tcPr>
            <w:tcW w:w="5179" w:type="dxa"/>
          </w:tcPr>
          <w:p>
            <w:r>
              <w:rPr>
                <w:b/>
              </w:rPr>
              <w:t>投标人或投标产品生产厂家具备有效ISO9001（质量管理体系认证）证书、ISO14001（环保管理体系认证）证书、ISO45001（职业健康管理体系认证）证书。需提供有效证书扫描件，每提供一份得1分，满分3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67" w:hRule="atLeast"/>
        </w:trPr>
        <w:tc>
          <w:tcPr>
            <w:tcW w:w="2227" w:type="dxa"/>
            <w:vMerge w:val="restart"/>
          </w:tcPr>
          <w:p>
            <w:r>
              <w:rPr>
                <w:rFonts w:hint="eastAsia"/>
                <w:b/>
                <w:lang w:val="en-US" w:eastAsia="zh-CN"/>
              </w:rPr>
              <w:t>2</w:t>
            </w:r>
            <w:r>
              <w:rPr>
                <w:b/>
              </w:rPr>
              <w:t>、售后服务的响应及时间</w:t>
            </w:r>
          </w:p>
        </w:tc>
        <w:tc>
          <w:tcPr>
            <w:tcW w:w="900" w:type="dxa"/>
            <w:tcBorders>
              <w:bottom w:val="single" w:color="auto" w:sz="4" w:space="0"/>
            </w:tcBorders>
          </w:tcPr>
          <w:p>
            <w:pPr>
              <w:jc w:val="right"/>
            </w:pPr>
            <w:r>
              <w:rPr>
                <w:b/>
              </w:rPr>
              <w:t>3.00</w:t>
            </w:r>
          </w:p>
        </w:tc>
        <w:tc>
          <w:tcPr>
            <w:tcW w:w="5179" w:type="dxa"/>
            <w:tcBorders>
              <w:bottom w:val="single" w:color="auto" w:sz="4" w:space="0"/>
            </w:tcBorders>
          </w:tcPr>
          <w:p>
            <w:pPr>
              <w:rPr>
                <w:b/>
              </w:rPr>
            </w:pPr>
            <w:r>
              <w:rPr>
                <w:rFonts w:hint="eastAsia"/>
                <w:b/>
              </w:rPr>
              <w:t>根据投标人提供的质保期后维修服务的项目及费用承诺（须明确各配件的费用及维修费用）进行评分，进行横向对比最优的得3分，良的得1分，一般的得0分。（未明各配件的费用及维修费用本项目不得分。）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0" w:hRule="atLeast"/>
        </w:trPr>
        <w:tc>
          <w:tcPr>
            <w:tcW w:w="2227" w:type="dxa"/>
            <w:vMerge w:val="continue"/>
          </w:tcPr>
          <w:p>
            <w:pPr>
              <w:rPr>
                <w:b/>
              </w:rPr>
            </w:pPr>
          </w:p>
        </w:tc>
        <w:tc>
          <w:tcPr>
            <w:tcW w:w="900" w:type="dxa"/>
            <w:tcBorders>
              <w:top w:val="single" w:color="auto" w:sz="4" w:space="0"/>
            </w:tcBorders>
          </w:tcPr>
          <w:p>
            <w:pPr>
              <w:jc w:val="right"/>
              <w:rPr>
                <w:rFonts w:hint="default" w:eastAsia="宋体"/>
                <w:b/>
                <w:lang w:val="en-US" w:eastAsia="zh-CN"/>
              </w:rPr>
            </w:pPr>
            <w:r>
              <w:rPr>
                <w:rFonts w:hint="eastAsia"/>
                <w:b/>
                <w:lang w:val="en-US" w:eastAsia="zh-CN"/>
              </w:rPr>
              <w:t>3.00</w:t>
            </w:r>
          </w:p>
        </w:tc>
        <w:tc>
          <w:tcPr>
            <w:tcW w:w="5179" w:type="dxa"/>
            <w:tcBorders>
              <w:top w:val="single" w:color="auto" w:sz="4" w:space="0"/>
            </w:tcBorders>
          </w:tcPr>
          <w:p>
            <w:pPr>
              <w:rPr>
                <w:b/>
              </w:rPr>
            </w:pPr>
            <w:r>
              <w:rPr>
                <w:rFonts w:hint="eastAsia"/>
                <w:b/>
              </w:rPr>
              <w:t>根据投标人对所投设备的保修期承诺：招标文件要求的质保期为最低要求，投标人必须满足，在此基础上，每增加一年加1分，满分3分。投标文件中质保期未明确的视同满足招标文件的最低要求，承诺的质保期若不满足招标文件要求，视为未实质性响应招标文件要求，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7" w:type="dxa"/>
          </w:tcPr>
          <w:p>
            <w:r>
              <w:rPr>
                <w:rFonts w:hint="eastAsia"/>
                <w:b/>
                <w:lang w:val="en-US" w:eastAsia="zh-CN"/>
              </w:rPr>
              <w:t>3</w:t>
            </w:r>
            <w:r>
              <w:rPr>
                <w:b/>
              </w:rPr>
              <w:t>、安装和调试方案</w:t>
            </w:r>
          </w:p>
        </w:tc>
        <w:tc>
          <w:tcPr>
            <w:tcW w:w="900" w:type="dxa"/>
          </w:tcPr>
          <w:p>
            <w:pPr>
              <w:jc w:val="right"/>
            </w:pPr>
            <w:r>
              <w:rPr>
                <w:b/>
              </w:rPr>
              <w:t>3.00</w:t>
            </w:r>
          </w:p>
        </w:tc>
        <w:tc>
          <w:tcPr>
            <w:tcW w:w="5179" w:type="dxa"/>
          </w:tcPr>
          <w:p>
            <w:r>
              <w:rPr>
                <w:b/>
              </w:rPr>
              <w:t>根据投标人按招标文件要求，提供详细的安装和调试方案，包括安装计划、时间表、人力资源、技术支持等情况进行打分。方案详细描述且有利于采购人，对重点难点完全作出分析或解决措施全部有效的得3分，方案描述不够明确未能有利于采购人, 对重点难点基本作出分析或解决措施部分有效的得2分，方案简单描述，对重点难点并未作出分析或解决措施不够有效的得1分，未提供方案的不得分。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7" w:type="dxa"/>
          </w:tcPr>
          <w:p>
            <w:r>
              <w:rPr>
                <w:rFonts w:hint="eastAsia"/>
                <w:b/>
                <w:lang w:val="en-US" w:eastAsia="zh-CN"/>
              </w:rPr>
              <w:t>4</w:t>
            </w:r>
            <w:r>
              <w:rPr>
                <w:b/>
              </w:rPr>
              <w:t>、培训及技术支持</w:t>
            </w:r>
          </w:p>
        </w:tc>
        <w:tc>
          <w:tcPr>
            <w:tcW w:w="900" w:type="dxa"/>
          </w:tcPr>
          <w:p>
            <w:pPr>
              <w:jc w:val="right"/>
            </w:pPr>
            <w:r>
              <w:rPr>
                <w:b/>
              </w:rPr>
              <w:t>2.00</w:t>
            </w:r>
          </w:p>
        </w:tc>
        <w:tc>
          <w:tcPr>
            <w:tcW w:w="5179" w:type="dxa"/>
          </w:tcPr>
          <w:p>
            <w:r>
              <w:rPr>
                <w:b/>
              </w:rPr>
              <w:t>投标人需对学校相关操作人员至少组织培训3次，培训内容包括产品的日常操作（远程操作）和简易故障处理等得2分。（提供承诺函并加盖投标人公章），未提供者不得分。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7" w:type="dxa"/>
          </w:tcPr>
          <w:p>
            <w:r>
              <w:rPr>
                <w:rFonts w:hint="eastAsia"/>
                <w:b/>
                <w:lang w:val="en-US" w:eastAsia="zh-CN"/>
              </w:rPr>
              <w:t>5</w:t>
            </w:r>
            <w:r>
              <w:rPr>
                <w:b/>
              </w:rPr>
              <w:t>、业绩证明</w:t>
            </w:r>
          </w:p>
        </w:tc>
        <w:tc>
          <w:tcPr>
            <w:tcW w:w="900" w:type="dxa"/>
          </w:tcPr>
          <w:p>
            <w:pPr>
              <w:jc w:val="right"/>
            </w:pPr>
            <w:r>
              <w:rPr>
                <w:rFonts w:hint="eastAsia"/>
                <w:b/>
                <w:lang w:val="en-US" w:eastAsia="zh-CN"/>
              </w:rPr>
              <w:t>1</w:t>
            </w:r>
            <w:r>
              <w:rPr>
                <w:b/>
              </w:rPr>
              <w:t>.00</w:t>
            </w:r>
          </w:p>
        </w:tc>
        <w:tc>
          <w:tcPr>
            <w:tcW w:w="5179" w:type="dxa"/>
          </w:tcPr>
          <w:p>
            <w:r>
              <w:rPr>
                <w:b/>
              </w:rPr>
              <w:t>投标人应提供近几年来（2019年1月1日至今签订合同的）投标人类似项目的相关经验及业务，每提供1个案例的得1分，满分</w:t>
            </w:r>
            <w:r>
              <w:rPr>
                <w:rFonts w:hint="eastAsia"/>
                <w:b/>
                <w:lang w:val="en-US" w:eastAsia="zh-CN"/>
              </w:rPr>
              <w:t>1</w:t>
            </w:r>
            <w:r>
              <w:rPr>
                <w:b/>
              </w:rPr>
              <w:t>分。同一业绩不得重复计算。需提供业绩的以下四项证明材料，否则不计分： ①中标（成交）公告（提供相关网站中标（成交）公告的下载网页并注明网址）； ②中标（成交）通知书； ③采购合同文本； ④能够证明该业绩项目已经采购人验收合格的相关证明材料。</w:t>
            </w:r>
          </w:p>
        </w:tc>
      </w:tr>
    </w:tbl>
    <w:p>
      <w:pPr>
        <w:rPr>
          <w:rFonts w:hint="eastAsia"/>
          <w:color w:val="auto"/>
        </w:rPr>
      </w:pPr>
    </w:p>
    <w:p>
      <w:pPr>
        <w:rPr>
          <w:rFonts w:hint="eastAsia" w:ascii="宋体" w:hAnsi="宋体" w:cs="Arial"/>
          <w:color w:val="auto"/>
          <w:sz w:val="32"/>
        </w:rPr>
      </w:pPr>
      <w:r>
        <w:rPr>
          <w:rFonts w:hint="eastAsia" w:ascii="宋体" w:hAnsi="宋体" w:cs="Arial"/>
          <w:color w:val="auto"/>
          <w:sz w:val="32"/>
        </w:rPr>
        <w:br w:type="page"/>
      </w:r>
    </w:p>
    <w:p>
      <w:pPr>
        <w:pStyle w:val="5"/>
        <w:numPr>
          <w:ilvl w:val="0"/>
          <w:numId w:val="1"/>
        </w:numPr>
        <w:spacing w:before="0" w:after="0" w:line="360" w:lineRule="auto"/>
        <w:rPr>
          <w:rFonts w:hint="eastAsia" w:ascii="宋体" w:hAnsi="宋体" w:cs="Arial"/>
          <w:color w:val="auto"/>
          <w:sz w:val="32"/>
        </w:rPr>
      </w:pPr>
      <w:r>
        <w:rPr>
          <w:rFonts w:hint="eastAsia" w:ascii="宋体" w:hAnsi="宋体" w:cs="Arial"/>
          <w:color w:val="auto"/>
          <w:sz w:val="32"/>
        </w:rPr>
        <w:tab/>
      </w:r>
      <w:r>
        <w:rPr>
          <w:rFonts w:hint="eastAsia" w:ascii="宋体" w:hAnsi="宋体" w:cs="Arial"/>
          <w:color w:val="auto"/>
          <w:sz w:val="32"/>
        </w:rPr>
        <w:t>商务</w:t>
      </w:r>
      <w:r>
        <w:rPr>
          <w:rFonts w:hint="eastAsia" w:ascii="宋体" w:hAnsi="宋体" w:cs="Arial"/>
          <w:color w:val="auto"/>
          <w:sz w:val="32"/>
          <w:lang w:val="en-US" w:eastAsia="zh-CN"/>
        </w:rPr>
        <w:t>要求</w:t>
      </w:r>
    </w:p>
    <w:p>
      <w:pPr>
        <w:numPr>
          <w:ilvl w:val="0"/>
          <w:numId w:val="3"/>
        </w:numPr>
        <w:ind w:left="425" w:leftChars="0" w:hanging="425" w:firstLineChars="0"/>
        <w:rPr>
          <w:rFonts w:hint="eastAsia"/>
          <w:color w:val="auto"/>
        </w:rPr>
      </w:pPr>
      <w:r>
        <w:rPr>
          <w:rFonts w:hint="eastAsia"/>
          <w:b/>
          <w:color w:val="auto"/>
        </w:rPr>
        <w:t>项目需求单位：</w:t>
      </w:r>
      <w:r>
        <w:rPr>
          <w:rFonts w:hint="eastAsia"/>
          <w:color w:val="auto"/>
          <w:lang w:val="en-US" w:eastAsia="zh-CN"/>
        </w:rPr>
        <w:t>湄洲湾职业技术学院工艺美术系</w:t>
      </w:r>
    </w:p>
    <w:p>
      <w:pPr>
        <w:numPr>
          <w:ilvl w:val="0"/>
          <w:numId w:val="3"/>
        </w:numPr>
        <w:ind w:left="425" w:leftChars="0" w:hanging="425" w:firstLineChars="0"/>
        <w:rPr>
          <w:rFonts w:hint="eastAsia" w:ascii="宋体" w:hAnsi="宋体" w:cs="宋体"/>
          <w:kern w:val="0"/>
          <w:szCs w:val="21"/>
          <w:lang w:val="en-US" w:eastAsia="zh-CN"/>
        </w:rPr>
      </w:pPr>
      <w:r>
        <w:rPr>
          <w:rFonts w:hint="eastAsia"/>
          <w:b/>
          <w:color w:val="auto"/>
        </w:rPr>
        <w:t>项目需求名称及数量：</w:t>
      </w:r>
      <w:r>
        <w:rPr>
          <w:rFonts w:hint="eastAsia" w:ascii="宋体" w:hAnsi="宋体" w:cs="宋体"/>
          <w:kern w:val="0"/>
          <w:szCs w:val="21"/>
          <w:lang w:val="en-US" w:eastAsia="zh-CN"/>
        </w:rPr>
        <w:t xml:space="preserve"> </w:t>
      </w:r>
      <w:r>
        <w:rPr>
          <w:rFonts w:hint="eastAsia" w:ascii="宋体" w:hAnsi="宋体" w:cs="宋体"/>
          <w:kern w:val="0"/>
          <w:szCs w:val="21"/>
          <w:lang w:val="en-US" w:eastAsia="zh-Hans"/>
        </w:rPr>
        <w:t>图形工作站</w:t>
      </w:r>
      <w:r>
        <w:rPr>
          <w:rFonts w:hint="eastAsia" w:ascii="宋体" w:hAnsi="宋体" w:cs="宋体"/>
          <w:kern w:val="0"/>
          <w:szCs w:val="21"/>
          <w:lang w:val="en-US" w:eastAsia="zh-CN"/>
        </w:rPr>
        <w:t>50套</w:t>
      </w:r>
    </w:p>
    <w:p>
      <w:pPr>
        <w:numPr>
          <w:ilvl w:val="0"/>
          <w:numId w:val="3"/>
        </w:numPr>
        <w:ind w:left="425" w:leftChars="0" w:hanging="425" w:firstLineChars="0"/>
        <w:rPr>
          <w:rFonts w:hint="default" w:ascii="宋体" w:hAnsi="宋体" w:cs="宋体"/>
          <w:kern w:val="0"/>
          <w:szCs w:val="21"/>
          <w:lang w:val="en-US" w:eastAsia="zh-CN"/>
        </w:rPr>
      </w:pPr>
      <w:r>
        <w:rPr>
          <w:rFonts w:hint="eastAsia"/>
          <w:b/>
          <w:bCs/>
          <w:color w:val="auto"/>
          <w:lang w:val="en-US" w:eastAsia="zh-CN"/>
        </w:rPr>
        <w:t>投标人资格要求：</w:t>
      </w:r>
      <w:r>
        <w:rPr>
          <w:rFonts w:hint="eastAsia" w:ascii="宋体" w:hAnsi="宋体" w:cs="宋体"/>
          <w:kern w:val="0"/>
          <w:szCs w:val="21"/>
          <w:lang w:val="en-US" w:eastAsia="zh-CN"/>
        </w:rPr>
        <w:t>法定条件：符合《中华人民共和国政府采购法》第二十二条第一款规定的条件</w:t>
      </w:r>
    </w:p>
    <w:p>
      <w:pPr>
        <w:numPr>
          <w:ilvl w:val="0"/>
          <w:numId w:val="3"/>
        </w:numPr>
        <w:ind w:left="425" w:leftChars="0" w:hanging="425" w:firstLineChars="0"/>
        <w:rPr>
          <w:rFonts w:hint="eastAsia"/>
          <w:b/>
          <w:color w:val="auto"/>
        </w:rPr>
      </w:pPr>
      <w:r>
        <w:rPr>
          <w:rFonts w:hint="eastAsia"/>
          <w:b/>
          <w:color w:val="auto"/>
        </w:rPr>
        <w:t>项目交货地点：</w:t>
      </w:r>
      <w:r>
        <w:rPr>
          <w:rFonts w:hint="eastAsia" w:ascii="宋体" w:hAnsi="宋体" w:cs="宋体"/>
          <w:kern w:val="0"/>
          <w:szCs w:val="21"/>
          <w:lang w:val="en-US" w:eastAsia="zh-CN"/>
        </w:rPr>
        <w:t>湄洲湾职业技术学院工艺美术系北</w:t>
      </w:r>
      <w:r>
        <w:rPr>
          <w:rFonts w:hint="default" w:ascii="宋体" w:hAnsi="宋体" w:cs="宋体"/>
          <w:kern w:val="0"/>
          <w:szCs w:val="21"/>
          <w:lang w:eastAsia="zh-CN"/>
        </w:rPr>
        <w:t>303</w:t>
      </w:r>
    </w:p>
    <w:p>
      <w:pPr>
        <w:numPr>
          <w:ilvl w:val="0"/>
          <w:numId w:val="3"/>
        </w:numPr>
        <w:ind w:left="425" w:leftChars="0" w:hanging="425" w:firstLineChars="0"/>
        <w:rPr>
          <w:rFonts w:hint="eastAsia" w:ascii="宋体" w:hAnsi="宋体" w:cs="宋体"/>
          <w:kern w:val="0"/>
          <w:szCs w:val="21"/>
          <w:lang w:val="en-US" w:eastAsia="zh-CN"/>
        </w:rPr>
      </w:pPr>
      <w:r>
        <w:rPr>
          <w:rFonts w:hint="eastAsia"/>
          <w:b/>
          <w:color w:val="auto"/>
        </w:rPr>
        <w:t>项目交货方式：</w:t>
      </w:r>
      <w:r>
        <w:rPr>
          <w:rFonts w:hint="eastAsia" w:ascii="宋体" w:hAnsi="宋体" w:cs="宋体"/>
          <w:kern w:val="0"/>
          <w:szCs w:val="21"/>
          <w:lang w:val="en-US" w:eastAsia="zh-CN"/>
        </w:rPr>
        <w:t>送货上门，现场交货</w:t>
      </w:r>
    </w:p>
    <w:p>
      <w:pPr>
        <w:numPr>
          <w:ilvl w:val="0"/>
          <w:numId w:val="3"/>
        </w:numPr>
        <w:ind w:left="425" w:leftChars="0" w:hanging="425" w:firstLineChars="0"/>
        <w:rPr>
          <w:rFonts w:hint="eastAsia"/>
          <w:color w:val="auto"/>
        </w:rPr>
      </w:pPr>
      <w:r>
        <w:rPr>
          <w:rFonts w:hint="eastAsia"/>
          <w:b/>
          <w:color w:val="auto"/>
        </w:rPr>
        <w:t>交货期限：</w:t>
      </w:r>
      <w:r>
        <w:t>自合同签订之日起15日</w:t>
      </w:r>
    </w:p>
    <w:p>
      <w:pPr>
        <w:numPr>
          <w:ilvl w:val="0"/>
          <w:numId w:val="3"/>
        </w:numPr>
        <w:ind w:left="425" w:leftChars="0" w:hanging="425" w:firstLineChars="0"/>
        <w:rPr>
          <w:rFonts w:hint="eastAsia" w:ascii="宋体" w:hAnsi="宋体" w:eastAsia="宋体" w:cs="宋体"/>
          <w:szCs w:val="21"/>
          <w:shd w:val="clear" w:color="auto" w:fill="FFFFFF"/>
          <w:lang w:val="en-US" w:eastAsia="zh-Hans"/>
        </w:rPr>
      </w:pPr>
      <w:r>
        <w:rPr>
          <w:rFonts w:hint="eastAsia"/>
          <w:b/>
          <w:color w:val="auto"/>
        </w:rPr>
        <w:t>验收标准</w:t>
      </w:r>
      <w:r>
        <w:rPr>
          <w:rFonts w:hint="eastAsia"/>
          <w:color w:val="auto"/>
        </w:rPr>
        <w:t>：</w:t>
      </w:r>
      <w:r>
        <w:rPr>
          <w:rFonts w:hint="eastAsia" w:ascii="宋体" w:hAnsi="宋体" w:eastAsia="宋体" w:cs="宋体"/>
          <w:szCs w:val="21"/>
          <w:shd w:val="clear" w:color="auto" w:fill="FFFFFF"/>
          <w:lang w:val="en-US" w:eastAsia="zh-Hans"/>
        </w:rPr>
        <w:t>1、期次1，说明：所有货物按标准（国家或行业或地方标准）、招标文件、投标文件等有关部分内容进行验收。设备质量达到设计要求，安装调试各项指标符合技术参数要求。验收结果经双方确认后，双方代表必须按规定的验收交接单上的项目对照本合同填好验收结果并签名盖章。</w:t>
      </w:r>
    </w:p>
    <w:p>
      <w:pPr>
        <w:numPr>
          <w:ilvl w:val="0"/>
          <w:numId w:val="3"/>
        </w:numPr>
        <w:ind w:left="425" w:leftChars="0" w:hanging="425" w:firstLineChars="0"/>
        <w:rPr>
          <w:rFonts w:hint="eastAsia"/>
          <w:b/>
          <w:color w:val="auto"/>
        </w:rPr>
      </w:pPr>
      <w:r>
        <w:rPr>
          <w:rFonts w:hint="eastAsia"/>
          <w:b/>
          <w:color w:val="auto"/>
        </w:rPr>
        <w:t>质保期：</w:t>
      </w:r>
      <w:r>
        <w:rPr>
          <w:rFonts w:hint="eastAsia"/>
          <w:b/>
          <w:color w:val="auto"/>
          <w:lang w:val="en-US" w:eastAsia="zh-CN"/>
        </w:rPr>
        <w:t>5年</w:t>
      </w:r>
    </w:p>
    <w:p>
      <w:pPr>
        <w:numPr>
          <w:ilvl w:val="0"/>
          <w:numId w:val="3"/>
        </w:numPr>
        <w:ind w:left="425" w:leftChars="0" w:hanging="425" w:firstLineChars="0"/>
        <w:jc w:val="left"/>
        <w:rPr>
          <w:rFonts w:hint="eastAsia" w:ascii="宋体" w:hAnsi="宋体" w:eastAsia="宋体" w:cs="宋体"/>
          <w:szCs w:val="21"/>
          <w:shd w:val="clear" w:color="auto" w:fill="FFFFFF"/>
          <w:lang w:val="en-US" w:eastAsia="zh-Hans"/>
        </w:rPr>
      </w:pPr>
      <w:r>
        <w:rPr>
          <w:rFonts w:hint="eastAsia"/>
          <w:b/>
          <w:color w:val="auto"/>
        </w:rPr>
        <w:t>售后服务要求</w:t>
      </w:r>
      <w:r>
        <w:rPr>
          <w:rFonts w:hint="eastAsia"/>
          <w:b/>
          <w:color w:val="auto"/>
          <w:lang w:val="en-US" w:eastAsia="zh-CN"/>
        </w:rPr>
        <w:t xml:space="preserve">: </w:t>
      </w:r>
      <w:r>
        <w:rPr>
          <w:rFonts w:hint="eastAsia" w:ascii="宋体" w:hAnsi="宋体" w:eastAsia="宋体" w:cs="宋体"/>
          <w:szCs w:val="21"/>
          <w:shd w:val="clear" w:color="auto" w:fill="FFFFFF"/>
          <w:lang w:val="en-US" w:eastAsia="zh-Hans"/>
        </w:rPr>
        <w:t>自现场交验使用之日起，免费质量保修期为验收合格后五年或以上(招标一览表中有特殊要求的除外，厂家或国家有更长免费质量保修期限规定的从其规定)。质保期内免费提供产品保修、维护、技术支持服务。若在质保期间发生故障，投标人必须及时响应，在8小时内提供解决方法，如有需要应在下一个工作日内派技术人员到达现场，提供免费技术服务，并免费提供所有维修配件</w:t>
      </w:r>
      <w:r>
        <w:rPr>
          <w:rFonts w:hint="eastAsia" w:ascii="宋体" w:hAnsi="宋体" w:cs="宋体"/>
          <w:szCs w:val="21"/>
          <w:shd w:val="clear" w:color="auto" w:fill="FFFFFF"/>
          <w:lang w:val="en-US" w:eastAsia="zh-CN"/>
        </w:rPr>
        <w:t>，</w:t>
      </w:r>
      <w:r>
        <w:rPr>
          <w:rFonts w:hint="default"/>
          <w:b w:val="0"/>
          <w:bCs/>
          <w:color w:val="auto"/>
        </w:rPr>
        <w:t>若48小时内无法排除故障，则应先提供同档次备用机供采购人使用</w:t>
      </w:r>
      <w:r>
        <w:rPr>
          <w:rFonts w:hint="eastAsia"/>
          <w:b w:val="0"/>
          <w:bCs/>
          <w:color w:val="auto"/>
          <w:lang w:eastAsia="zh-CN"/>
        </w:rPr>
        <w:t>，</w:t>
      </w:r>
      <w:r>
        <w:rPr>
          <w:rFonts w:hint="default"/>
          <w:b w:val="0"/>
          <w:bCs/>
          <w:color w:val="auto"/>
        </w:rPr>
        <w:t>其中发生一切费用由</w:t>
      </w:r>
      <w:r>
        <w:rPr>
          <w:rFonts w:hint="eastAsia"/>
          <w:b w:val="0"/>
          <w:bCs/>
          <w:color w:val="auto"/>
          <w:lang w:val="en-US" w:eastAsia="zh-CN"/>
        </w:rPr>
        <w:t>供应商</w:t>
      </w:r>
      <w:r>
        <w:rPr>
          <w:rFonts w:hint="default"/>
          <w:b w:val="0"/>
          <w:bCs/>
          <w:color w:val="auto"/>
        </w:rPr>
        <w:t>承担</w:t>
      </w:r>
      <w:r>
        <w:rPr>
          <w:rFonts w:hint="eastAsia" w:ascii="宋体" w:hAnsi="宋体" w:eastAsia="宋体" w:cs="宋体"/>
          <w:szCs w:val="21"/>
          <w:shd w:val="clear" w:color="auto" w:fill="FFFFFF"/>
          <w:lang w:val="en-US" w:eastAsia="zh-Hans"/>
        </w:rPr>
        <w:t>。如保修期内同一故障发生三次，或在两个月内无法修复，中标人无条件换货。免费保修期满前1个月内中标人应负责对货物进行一次免费全面检查，如发现潜在问题，应负责排除，保证货物正常运行</w:t>
      </w:r>
      <w:r>
        <w:rPr>
          <w:rFonts w:hint="eastAsia" w:ascii="宋体" w:hAnsi="宋体" w:eastAsia="宋体" w:cs="宋体"/>
          <w:szCs w:val="21"/>
          <w:shd w:val="clear" w:color="auto" w:fill="FFFFFF"/>
          <w:lang w:val="en-US" w:eastAsia="zh-CN"/>
        </w:rPr>
        <w:t>。</w:t>
      </w:r>
    </w:p>
    <w:p>
      <w:pPr>
        <w:numPr>
          <w:ilvl w:val="0"/>
          <w:numId w:val="0"/>
        </w:numPr>
        <w:ind w:leftChars="0"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Hans"/>
        </w:rPr>
        <w:t>质保期后，中标人应提供配件、技术咨询、有偿维修等售后保障</w:t>
      </w:r>
      <w:r>
        <w:rPr>
          <w:rFonts w:hint="eastAsia" w:ascii="宋体" w:hAnsi="宋体" w:eastAsia="宋体" w:cs="宋体"/>
          <w:szCs w:val="21"/>
          <w:shd w:val="clear" w:color="auto" w:fill="FFFFFF"/>
          <w:lang w:val="en-US" w:eastAsia="zh-CN"/>
        </w:rPr>
        <w:t>。</w:t>
      </w:r>
    </w:p>
    <w:p>
      <w:pPr>
        <w:numPr>
          <w:ilvl w:val="0"/>
          <w:numId w:val="0"/>
        </w:numPr>
        <w:ind w:left="420" w:leftChars="200" w:firstLine="0" w:firstLineChars="0"/>
        <w:jc w:val="left"/>
        <w:rPr>
          <w:rFonts w:hint="eastAsia" w:ascii="宋体" w:hAnsi="宋体" w:eastAsia="宋体" w:cs="宋体"/>
          <w:szCs w:val="21"/>
          <w:shd w:val="clear" w:color="auto" w:fill="FFFFFF"/>
          <w:lang w:val="en-US" w:eastAsia="zh-Hans"/>
        </w:rPr>
      </w:pPr>
      <w:r>
        <w:rPr>
          <w:rFonts w:hint="eastAsia" w:ascii="宋体" w:hAnsi="宋体" w:eastAsia="宋体" w:cs="宋体"/>
          <w:szCs w:val="21"/>
          <w:shd w:val="clear" w:color="auto" w:fill="FFFFFF"/>
          <w:lang w:val="en-US" w:eastAsia="zh-Hans"/>
        </w:rPr>
        <w:t>中标人必须负责对设备使用维护人员进行设备安装、调试、操作、使用、维护及结构原理等方面的培训，并承担由此产生的一切费用。</w:t>
      </w:r>
    </w:p>
    <w:p>
      <w:pPr>
        <w:numPr>
          <w:ilvl w:val="0"/>
          <w:numId w:val="0"/>
        </w:numPr>
        <w:ind w:leftChars="0" w:firstLine="420" w:firstLineChars="200"/>
        <w:jc w:val="left"/>
        <w:rPr>
          <w:rFonts w:hint="eastAsia"/>
          <w:b/>
          <w:color w:val="auto"/>
        </w:rPr>
      </w:pPr>
      <w:r>
        <w:rPr>
          <w:rFonts w:hint="eastAsia" w:ascii="宋体" w:hAnsi="宋体" w:eastAsia="宋体" w:cs="宋体"/>
          <w:szCs w:val="21"/>
          <w:shd w:val="clear" w:color="auto" w:fill="FFFFFF"/>
          <w:lang w:val="en-US" w:eastAsia="zh-Hans"/>
        </w:rPr>
        <w:t>安装调试要求：中标人应负责将所有货物安装调试完毕。</w:t>
      </w:r>
    </w:p>
    <w:p>
      <w:pPr>
        <w:numPr>
          <w:ilvl w:val="0"/>
          <w:numId w:val="3"/>
        </w:numPr>
        <w:ind w:left="425" w:leftChars="0" w:hanging="425" w:firstLineChars="0"/>
        <w:rPr>
          <w:rFonts w:hint="eastAsia"/>
          <w:color w:val="auto"/>
        </w:rPr>
      </w:pPr>
      <w:r>
        <w:rPr>
          <w:rFonts w:hint="eastAsia"/>
          <w:b/>
          <w:color w:val="auto"/>
        </w:rPr>
        <w:t>付款方式：</w:t>
      </w:r>
      <w:r>
        <w:t>1、货物安装验收合格后，付合同金额的100%，需提供正式增值税发票，达到付款条件起30日，支付合同总金额的100.00%</w:t>
      </w:r>
    </w:p>
    <w:p>
      <w:pPr>
        <w:numPr>
          <w:ilvl w:val="0"/>
          <w:numId w:val="3"/>
        </w:numPr>
        <w:ind w:left="425" w:leftChars="0" w:hanging="425" w:firstLineChars="0"/>
        <w:rPr>
          <w:rFonts w:hint="eastAsia" w:eastAsia="仿宋_GB2312"/>
          <w:b/>
          <w:color w:val="auto"/>
          <w:lang w:eastAsia="zh-CN"/>
        </w:rPr>
      </w:pPr>
      <w:r>
        <w:rPr>
          <w:rFonts w:hint="eastAsia"/>
          <w:b/>
          <w:color w:val="auto"/>
        </w:rPr>
        <w:t>其他要求</w:t>
      </w:r>
      <w:r>
        <w:rPr>
          <w:rFonts w:hint="eastAsia"/>
          <w:b/>
          <w:color w:val="auto"/>
          <w:lang w:eastAsia="zh-CN"/>
        </w:rPr>
        <w:t>：</w:t>
      </w:r>
    </w:p>
    <w:p>
      <w:pPr>
        <w:rPr>
          <w:rFonts w:hint="eastAsia"/>
          <w:color w:val="auto"/>
        </w:r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titlePg/>
          <w:docGrid w:type="lines" w:linePitch="312" w:charSpace="0"/>
        </w:sectPr>
      </w:pPr>
    </w:p>
    <w:p>
      <w:pPr>
        <w:pStyle w:val="5"/>
        <w:numPr>
          <w:ilvl w:val="0"/>
          <w:numId w:val="1"/>
        </w:numPr>
        <w:spacing w:before="0" w:after="0" w:line="360" w:lineRule="auto"/>
        <w:rPr>
          <w:rFonts w:hint="eastAsia" w:ascii="宋体" w:hAnsi="宋体" w:cs="Arial"/>
          <w:color w:val="auto"/>
          <w:sz w:val="32"/>
        </w:rPr>
      </w:pPr>
      <w:r>
        <w:rPr>
          <w:rFonts w:hint="eastAsia" w:ascii="宋体" w:hAnsi="宋体" w:cs="Arial"/>
          <w:color w:val="auto"/>
          <w:sz w:val="32"/>
          <w:lang w:val="en-US" w:eastAsia="zh-CN"/>
        </w:rPr>
        <w:t>技术要求</w:t>
      </w:r>
      <w:r>
        <w:rPr>
          <w:rFonts w:hint="eastAsia" w:ascii="宋体" w:hAnsi="宋体" w:cs="Arial"/>
          <w:color w:val="auto"/>
          <w:sz w:val="32"/>
        </w:rPr>
        <w:t>（以“</w:t>
      </w:r>
      <w:r>
        <w:rPr>
          <w:rFonts w:hint="eastAsia" w:ascii="微软雅黑" w:hAnsi="微软雅黑" w:eastAsia="微软雅黑" w:cs="微软雅黑"/>
          <w:color w:val="auto"/>
          <w:sz w:val="32"/>
        </w:rPr>
        <w:t>★</w:t>
      </w:r>
      <w:r>
        <w:rPr>
          <w:rFonts w:hint="eastAsia" w:ascii="宋体" w:hAnsi="宋体" w:cs="Arial"/>
          <w:color w:val="auto"/>
          <w:sz w:val="32"/>
        </w:rPr>
        <w:t>”标示的内容为不允许负偏离的实质性要求）</w:t>
      </w:r>
    </w:p>
    <w:p>
      <w:pPr>
        <w:rPr>
          <w:rFonts w:hint="eastAsia"/>
          <w:color w:val="auto"/>
        </w:rPr>
      </w:pPr>
    </w:p>
    <w:tbl>
      <w:tblPr>
        <w:tblStyle w:val="9"/>
        <w:tblW w:w="14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60"/>
        <w:gridCol w:w="5820"/>
        <w:gridCol w:w="1680"/>
        <w:gridCol w:w="1170"/>
        <w:gridCol w:w="900"/>
        <w:gridCol w:w="139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8"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color w:val="auto"/>
                <w:szCs w:val="21"/>
              </w:rPr>
            </w:pPr>
            <w:r>
              <w:rPr>
                <w:rFonts w:hint="eastAsia"/>
                <w:color w:val="auto"/>
                <w:szCs w:val="21"/>
              </w:rPr>
              <w:t>序号</w:t>
            </w:r>
          </w:p>
        </w:tc>
        <w:tc>
          <w:tcPr>
            <w:tcW w:w="196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ind w:firstLine="0" w:firstLineChars="0"/>
              <w:jc w:val="center"/>
              <w:textAlignment w:val="center"/>
              <w:rPr>
                <w:rFonts w:hint="eastAsia"/>
                <w:color w:val="auto"/>
                <w:szCs w:val="21"/>
              </w:rPr>
            </w:pPr>
            <w:r>
              <w:rPr>
                <w:rFonts w:hint="eastAsia"/>
                <w:color w:val="auto"/>
                <w:szCs w:val="21"/>
              </w:rPr>
              <w:t>仪器名称</w:t>
            </w:r>
          </w:p>
          <w:p>
            <w:pPr>
              <w:keepNext w:val="0"/>
              <w:keepLines w:val="0"/>
              <w:pageBreakBefore w:val="0"/>
              <w:kinsoku/>
              <w:wordWrap/>
              <w:overflowPunct/>
              <w:topLinePunct w:val="0"/>
              <w:autoSpaceDE w:val="0"/>
              <w:autoSpaceDN w:val="0"/>
              <w:bidi w:val="0"/>
              <w:adjustRightInd w:val="0"/>
              <w:snapToGrid w:val="0"/>
              <w:spacing w:after="0" w:afterLines="0"/>
              <w:ind w:firstLine="0" w:firstLineChars="0"/>
              <w:jc w:val="center"/>
              <w:textAlignment w:val="center"/>
              <w:rPr>
                <w:rFonts w:hint="eastAsia"/>
                <w:color w:val="auto"/>
                <w:szCs w:val="21"/>
              </w:rPr>
            </w:pPr>
            <w:r>
              <w:rPr>
                <w:rFonts w:hint="eastAsia"/>
                <w:color w:val="auto"/>
                <w:szCs w:val="21"/>
              </w:rPr>
              <w:t>（软件）</w:t>
            </w:r>
          </w:p>
        </w:tc>
        <w:tc>
          <w:tcPr>
            <w:tcW w:w="582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ind w:firstLine="0" w:firstLineChars="0"/>
              <w:jc w:val="center"/>
              <w:textAlignment w:val="center"/>
              <w:rPr>
                <w:rFonts w:hint="eastAsia" w:eastAsia="仿宋_GB2312"/>
                <w:color w:val="auto"/>
                <w:szCs w:val="21"/>
                <w:lang w:eastAsia="zh-CN"/>
              </w:rPr>
            </w:pPr>
            <w:r>
              <w:rPr>
                <w:rFonts w:hint="eastAsia"/>
                <w:color w:val="auto"/>
                <w:szCs w:val="21"/>
                <w:lang w:eastAsia="zh-CN"/>
              </w:rPr>
              <w:t>技术参数及功能要求</w:t>
            </w:r>
          </w:p>
        </w:tc>
        <w:tc>
          <w:tcPr>
            <w:tcW w:w="168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color w:val="auto"/>
                <w:szCs w:val="21"/>
                <w:lang w:val="en-US" w:eastAsia="zh-CN"/>
              </w:rPr>
            </w:pPr>
            <w:r>
              <w:rPr>
                <w:rFonts w:hint="eastAsia"/>
                <w:color w:val="auto"/>
                <w:szCs w:val="21"/>
                <w:lang w:val="en-US" w:eastAsia="zh-CN"/>
              </w:rPr>
              <w:t>列举至少3家满足要求的</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color w:val="auto"/>
                <w:szCs w:val="21"/>
                <w:lang w:val="en-US" w:eastAsia="zh-CN"/>
              </w:rPr>
            </w:pPr>
            <w:r>
              <w:rPr>
                <w:rFonts w:hint="eastAsia"/>
                <w:color w:val="auto"/>
                <w:szCs w:val="21"/>
                <w:lang w:val="en-US" w:eastAsia="zh-CN"/>
              </w:rPr>
              <w:t>品牌厂家</w:t>
            </w:r>
          </w:p>
        </w:tc>
        <w:tc>
          <w:tcPr>
            <w:tcW w:w="117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ascii="仿宋_GB2312" w:hAnsi="仿宋_GB2312" w:eastAsia="仿宋_GB2312" w:cs="仿宋_GB2312"/>
                <w:color w:val="auto"/>
                <w:kern w:val="24"/>
                <w:sz w:val="24"/>
                <w:szCs w:val="21"/>
                <w:lang w:val="en-US" w:eastAsia="zh-CN" w:bidi="ar-SA"/>
              </w:rPr>
            </w:pPr>
            <w:r>
              <w:rPr>
                <w:rFonts w:hint="eastAsia"/>
                <w:color w:val="auto"/>
                <w:szCs w:val="21"/>
              </w:rPr>
              <w:t>数量</w:t>
            </w:r>
          </w:p>
        </w:tc>
        <w:tc>
          <w:tcPr>
            <w:tcW w:w="90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220" w:lineRule="atLeast"/>
              <w:ind w:firstLine="0" w:firstLineChars="0"/>
              <w:jc w:val="center"/>
              <w:textAlignment w:val="center"/>
              <w:rPr>
                <w:rFonts w:hint="eastAsia" w:ascii="仿宋_GB2312" w:hAnsi="仿宋_GB2312" w:eastAsia="宋体" w:cs="仿宋_GB2312"/>
                <w:snapToGrid w:val="0"/>
                <w:color w:val="auto"/>
                <w:spacing w:val="-20"/>
                <w:kern w:val="0"/>
                <w:sz w:val="24"/>
                <w:szCs w:val="21"/>
                <w:lang w:val="en-US" w:eastAsia="zh-CN" w:bidi="ar-SA"/>
              </w:rPr>
            </w:pPr>
            <w:r>
              <w:rPr>
                <w:rFonts w:hint="eastAsia"/>
                <w:snapToGrid w:val="0"/>
                <w:color w:val="auto"/>
                <w:spacing w:val="-20"/>
                <w:kern w:val="0"/>
                <w:szCs w:val="21"/>
                <w:lang w:eastAsia="zh-CN"/>
              </w:rPr>
              <w:t>单位</w:t>
            </w:r>
          </w:p>
        </w:tc>
        <w:tc>
          <w:tcPr>
            <w:tcW w:w="139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220" w:lineRule="atLeast"/>
              <w:ind w:firstLine="0" w:firstLineChars="0"/>
              <w:jc w:val="center"/>
              <w:textAlignment w:val="center"/>
              <w:rPr>
                <w:rFonts w:hint="eastAsia"/>
                <w:color w:val="auto"/>
                <w:szCs w:val="21"/>
              </w:rPr>
            </w:pPr>
            <w:r>
              <w:rPr>
                <w:rFonts w:hint="eastAsia"/>
                <w:color w:val="auto"/>
                <w:szCs w:val="21"/>
              </w:rPr>
              <w:t>预算单价</w:t>
            </w:r>
          </w:p>
          <w:p>
            <w:pPr>
              <w:keepNext w:val="0"/>
              <w:keepLines w:val="0"/>
              <w:pageBreakBefore w:val="0"/>
              <w:kinsoku/>
              <w:wordWrap/>
              <w:overflowPunct/>
              <w:topLinePunct w:val="0"/>
              <w:autoSpaceDE w:val="0"/>
              <w:autoSpaceDN w:val="0"/>
              <w:bidi w:val="0"/>
              <w:adjustRightInd w:val="0"/>
              <w:snapToGrid w:val="0"/>
              <w:spacing w:after="0" w:afterLines="0" w:line="220" w:lineRule="atLeast"/>
              <w:ind w:firstLine="0" w:firstLineChars="0"/>
              <w:jc w:val="center"/>
              <w:textAlignment w:val="center"/>
              <w:rPr>
                <w:rFonts w:hint="eastAsia" w:ascii="仿宋_GB2312" w:hAnsi="仿宋_GB2312" w:eastAsia="仿宋_GB2312" w:cs="仿宋_GB2312"/>
                <w:snapToGrid w:val="0"/>
                <w:color w:val="auto"/>
                <w:spacing w:val="-20"/>
                <w:kern w:val="0"/>
                <w:sz w:val="24"/>
                <w:szCs w:val="21"/>
                <w:lang w:val="en-US" w:eastAsia="zh-CN" w:bidi="ar-SA"/>
              </w:rPr>
            </w:pPr>
            <w:r>
              <w:rPr>
                <w:rFonts w:hint="eastAsia"/>
                <w:snapToGrid w:val="0"/>
                <w:color w:val="auto"/>
                <w:spacing w:val="-20"/>
                <w:kern w:val="0"/>
                <w:szCs w:val="21"/>
              </w:rPr>
              <w:t>（万元）</w:t>
            </w:r>
          </w:p>
        </w:tc>
        <w:tc>
          <w:tcPr>
            <w:tcW w:w="124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220" w:lineRule="atLeast"/>
              <w:ind w:firstLine="0" w:firstLineChars="0"/>
              <w:jc w:val="center"/>
              <w:textAlignment w:val="center"/>
              <w:rPr>
                <w:rFonts w:hint="eastAsia"/>
                <w:color w:val="auto"/>
                <w:szCs w:val="21"/>
              </w:rPr>
            </w:pPr>
            <w:r>
              <w:rPr>
                <w:rFonts w:hint="eastAsia"/>
                <w:color w:val="auto"/>
                <w:szCs w:val="21"/>
              </w:rPr>
              <w:t>预算金额</w:t>
            </w:r>
          </w:p>
          <w:p>
            <w:pPr>
              <w:keepNext w:val="0"/>
              <w:keepLines w:val="0"/>
              <w:pageBreakBefore w:val="0"/>
              <w:kinsoku/>
              <w:wordWrap/>
              <w:overflowPunct/>
              <w:topLinePunct w:val="0"/>
              <w:autoSpaceDE w:val="0"/>
              <w:autoSpaceDN w:val="0"/>
              <w:bidi w:val="0"/>
              <w:adjustRightInd w:val="0"/>
              <w:snapToGrid w:val="0"/>
              <w:spacing w:after="0" w:afterLines="0" w:line="220" w:lineRule="atLeast"/>
              <w:ind w:firstLine="0" w:firstLineChars="0"/>
              <w:jc w:val="center"/>
              <w:textAlignment w:val="center"/>
              <w:rPr>
                <w:rFonts w:hint="eastAsia" w:ascii="仿宋_GB2312" w:hAnsi="仿宋_GB2312" w:eastAsia="仿宋_GB2312" w:cs="仿宋_GB2312"/>
                <w:color w:val="auto"/>
                <w:kern w:val="24"/>
                <w:sz w:val="24"/>
                <w:szCs w:val="21"/>
                <w:lang w:val="en-US" w:eastAsia="zh-CN" w:bidi="ar-SA"/>
              </w:rPr>
            </w:pPr>
            <w:r>
              <w:rPr>
                <w:rFonts w:hint="eastAsia"/>
                <w:snapToGrid w:val="0"/>
                <w:color w:val="auto"/>
                <w:spacing w:val="-2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6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96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center"/>
              <w:textAlignment w:val="center"/>
              <w:rPr>
                <w:rFonts w:ascii="宋体" w:hAnsi="宋体" w:cs="宋体"/>
                <w:color w:val="auto"/>
                <w:kern w:val="0"/>
                <w:szCs w:val="21"/>
              </w:rPr>
            </w:pPr>
            <w:r>
              <w:rPr>
                <w:rFonts w:hint="eastAsia" w:ascii="仿宋" w:hAnsi="仿宋" w:eastAsia="仿宋" w:cs="仿宋"/>
                <w:sz w:val="24"/>
                <w:szCs w:val="24"/>
                <w:vertAlign w:val="baseline"/>
                <w:lang w:val="en-US" w:eastAsia="zh-Hans"/>
              </w:rPr>
              <w:t>图形工作站</w:t>
            </w:r>
          </w:p>
        </w:tc>
        <w:tc>
          <w:tcPr>
            <w:tcW w:w="5820"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 w:hAnsi="仿宋" w:eastAsia="仿宋" w:cs="仿宋"/>
                <w:sz w:val="24"/>
                <w:szCs w:val="24"/>
                <w:vertAlign w:val="baseline"/>
                <w:lang w:val="en-US" w:eastAsia="zh-Hans"/>
              </w:rPr>
            </w:pPr>
            <w:r>
              <w:rPr>
                <w:rFonts w:hint="default" w:ascii="仿宋" w:hAnsi="仿宋" w:eastAsia="仿宋" w:cs="仿宋"/>
                <w:sz w:val="24"/>
                <w:szCs w:val="24"/>
                <w:vertAlign w:val="baseline"/>
                <w:lang w:val="en-US" w:eastAsia="zh-Hans"/>
              </w:rPr>
              <w:t>CPU</w:t>
            </w:r>
            <w:r>
              <w:rPr>
                <w:rFonts w:hint="eastAsia" w:ascii="仿宋" w:hAnsi="仿宋" w:eastAsia="仿宋" w:cs="仿宋"/>
                <w:sz w:val="24"/>
                <w:szCs w:val="24"/>
                <w:vertAlign w:val="baseline"/>
                <w:lang w:val="en-US" w:eastAsia="zh-Hans"/>
              </w:rPr>
              <w:t>型号：≥</w:t>
            </w:r>
            <w:r>
              <w:rPr>
                <w:rFonts w:hint="default" w:ascii="仿宋" w:hAnsi="仿宋" w:eastAsia="仿宋" w:cs="仿宋"/>
                <w:sz w:val="24"/>
                <w:szCs w:val="24"/>
                <w:vertAlign w:val="baseline"/>
                <w:lang w:val="en-US" w:eastAsia="zh-Hans"/>
              </w:rPr>
              <w:t>I9-1</w:t>
            </w:r>
            <w:r>
              <w:rPr>
                <w:rFonts w:hint="eastAsia" w:ascii="仿宋" w:hAnsi="仿宋" w:eastAsia="仿宋" w:cs="仿宋"/>
                <w:sz w:val="24"/>
                <w:szCs w:val="24"/>
                <w:vertAlign w:val="baseline"/>
                <w:lang w:val="en-US" w:eastAsia="zh-CN"/>
              </w:rPr>
              <w:t>2</w:t>
            </w:r>
            <w:r>
              <w:rPr>
                <w:rFonts w:hint="default" w:ascii="仿宋" w:hAnsi="仿宋" w:eastAsia="仿宋" w:cs="仿宋"/>
                <w:sz w:val="24"/>
                <w:szCs w:val="24"/>
                <w:vertAlign w:val="baseline"/>
                <w:lang w:val="en-US" w:eastAsia="zh-Hans"/>
              </w:rPr>
              <w:t>900</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vertAlign w:val="baseline"/>
                <w:lang w:val="en-US" w:eastAsia="zh-Hans"/>
              </w:rPr>
            </w:pPr>
            <w:r>
              <w:rPr>
                <w:rFonts w:hint="default" w:ascii="仿宋" w:hAnsi="仿宋" w:eastAsia="仿宋" w:cs="仿宋"/>
                <w:sz w:val="24"/>
                <w:szCs w:val="24"/>
                <w:vertAlign w:val="baseline"/>
                <w:lang w:val="en-US" w:eastAsia="zh-Hans"/>
              </w:rPr>
              <w:t>CPU</w:t>
            </w:r>
            <w:r>
              <w:rPr>
                <w:rFonts w:hint="eastAsia" w:ascii="仿宋" w:hAnsi="仿宋" w:eastAsia="仿宋" w:cs="仿宋"/>
                <w:sz w:val="24"/>
                <w:szCs w:val="24"/>
                <w:vertAlign w:val="baseline"/>
                <w:lang w:val="en-US" w:eastAsia="zh-Hans"/>
              </w:rPr>
              <w:t>核数：≥</w:t>
            </w:r>
            <w:r>
              <w:rPr>
                <w:rFonts w:hint="eastAsia" w:ascii="仿宋" w:hAnsi="仿宋" w:eastAsia="仿宋" w:cs="仿宋"/>
                <w:sz w:val="24"/>
                <w:szCs w:val="24"/>
                <w:vertAlign w:val="baseline"/>
                <w:lang w:val="en-US" w:eastAsia="zh-CN"/>
              </w:rPr>
              <w:t>16</w:t>
            </w:r>
            <w:r>
              <w:rPr>
                <w:rFonts w:hint="eastAsia" w:ascii="仿宋" w:hAnsi="仿宋" w:eastAsia="仿宋" w:cs="仿宋"/>
                <w:sz w:val="24"/>
                <w:szCs w:val="24"/>
                <w:vertAlign w:val="baseline"/>
                <w:lang w:val="en-US" w:eastAsia="zh-Hans"/>
              </w:rPr>
              <w:t>核心</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Hans"/>
              </w:rPr>
              <w:t>内存容量：≥</w:t>
            </w:r>
            <w:r>
              <w:rPr>
                <w:rFonts w:hint="default" w:ascii="仿宋" w:hAnsi="仿宋" w:eastAsia="仿宋" w:cs="仿宋"/>
                <w:sz w:val="24"/>
                <w:szCs w:val="24"/>
                <w:vertAlign w:val="baseline"/>
                <w:lang w:val="en-US" w:eastAsia="zh-Hans"/>
              </w:rPr>
              <w:t>32GB</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Hans"/>
              </w:rPr>
              <w:t>内存插槽数量：≥</w:t>
            </w:r>
            <w:r>
              <w:rPr>
                <w:rFonts w:hint="default" w:ascii="仿宋" w:hAnsi="仿宋" w:eastAsia="仿宋" w:cs="仿宋"/>
                <w:sz w:val="24"/>
                <w:szCs w:val="24"/>
                <w:vertAlign w:val="baseline"/>
                <w:lang w:val="en-US" w:eastAsia="zh-Hans"/>
              </w:rPr>
              <w:t>4</w:t>
            </w:r>
            <w:r>
              <w:rPr>
                <w:rFonts w:hint="eastAsia" w:ascii="仿宋" w:hAnsi="仿宋" w:eastAsia="仿宋" w:cs="仿宋"/>
                <w:sz w:val="24"/>
                <w:szCs w:val="24"/>
                <w:vertAlign w:val="baseline"/>
                <w:lang w:val="en-US" w:eastAsia="zh-Hans"/>
              </w:rPr>
              <w:t>个</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Hans"/>
              </w:rPr>
              <w:t>最大支持内存容量：≥</w:t>
            </w:r>
            <w:r>
              <w:rPr>
                <w:rFonts w:hint="default" w:ascii="仿宋" w:hAnsi="仿宋" w:eastAsia="仿宋" w:cs="仿宋"/>
                <w:sz w:val="24"/>
                <w:szCs w:val="24"/>
                <w:vertAlign w:val="baseline"/>
                <w:lang w:val="en-US" w:eastAsia="zh-Hans"/>
              </w:rPr>
              <w:t>128GB</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Hans"/>
              </w:rPr>
              <w:t>硬盘类型：机械硬盘</w:t>
            </w:r>
            <w:r>
              <w:rPr>
                <w:rFonts w:hint="default" w:ascii="仿宋" w:hAnsi="仿宋" w:eastAsia="仿宋" w:cs="仿宋"/>
                <w:sz w:val="24"/>
                <w:szCs w:val="24"/>
                <w:vertAlign w:val="baseline"/>
                <w:lang w:val="en-US" w:eastAsia="zh-Hans"/>
              </w:rPr>
              <w:t>+</w:t>
            </w:r>
            <w:r>
              <w:rPr>
                <w:rFonts w:hint="eastAsia" w:ascii="仿宋" w:hAnsi="仿宋" w:eastAsia="仿宋" w:cs="仿宋"/>
                <w:sz w:val="24"/>
                <w:szCs w:val="24"/>
                <w:vertAlign w:val="baseline"/>
                <w:lang w:val="en-US" w:eastAsia="zh-Hans"/>
              </w:rPr>
              <w:t>固态硬盘</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Hans"/>
              </w:rPr>
              <w:t>硬盘容量：固态硬盘≥</w:t>
            </w:r>
            <w:r>
              <w:rPr>
                <w:rFonts w:hint="default" w:ascii="仿宋" w:hAnsi="仿宋" w:eastAsia="仿宋" w:cs="仿宋"/>
                <w:sz w:val="24"/>
                <w:szCs w:val="24"/>
                <w:vertAlign w:val="baseline"/>
                <w:lang w:val="en-US" w:eastAsia="zh-Hans"/>
              </w:rPr>
              <w:t>512GB</w:t>
            </w:r>
            <w:r>
              <w:rPr>
                <w:rFonts w:hint="eastAsia" w:ascii="仿宋" w:hAnsi="仿宋" w:eastAsia="仿宋" w:cs="仿宋"/>
                <w:sz w:val="24"/>
                <w:szCs w:val="24"/>
                <w:vertAlign w:val="baseline"/>
                <w:lang w:val="en-US" w:eastAsia="zh-Hans"/>
              </w:rPr>
              <w:t>，机械硬盘≥</w:t>
            </w:r>
            <w:r>
              <w:rPr>
                <w:rFonts w:hint="default" w:ascii="仿宋" w:hAnsi="仿宋" w:eastAsia="仿宋" w:cs="仿宋"/>
                <w:sz w:val="24"/>
                <w:szCs w:val="24"/>
                <w:vertAlign w:val="baseline"/>
                <w:lang w:val="en-US" w:eastAsia="zh-Hans"/>
              </w:rPr>
              <w:t>2</w:t>
            </w:r>
            <w:r>
              <w:rPr>
                <w:rFonts w:hint="eastAsia" w:ascii="仿宋" w:hAnsi="仿宋" w:eastAsia="仿宋" w:cs="仿宋"/>
                <w:sz w:val="24"/>
                <w:szCs w:val="24"/>
                <w:vertAlign w:val="baseline"/>
                <w:lang w:val="en-US" w:eastAsia="zh-CN"/>
              </w:rPr>
              <w:t>TB</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Hans"/>
              </w:rPr>
              <w:t>显卡类型：独立显卡</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显卡型号：≥RTX3070</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显存容量：≥8G</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显示器：≥23.8英寸</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lang w:val="en-US" w:eastAsia="zh-CN"/>
              </w:rPr>
            </w:pPr>
            <w:r>
              <w:rPr>
                <w:rFonts w:hint="eastAsia" w:ascii="仿宋" w:hAnsi="仿宋" w:eastAsia="仿宋" w:cs="仿宋"/>
                <w:sz w:val="24"/>
                <w:szCs w:val="24"/>
                <w:vertAlign w:val="baseline"/>
                <w:lang w:val="en-US" w:eastAsia="zh-CN"/>
              </w:rPr>
              <w:t>分辨率：≥1920*1080</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配鼠标、键盘、电源线</w:t>
            </w:r>
          </w:p>
          <w:p>
            <w:pPr>
              <w:pStyle w:val="2"/>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必须为品牌整机</w:t>
            </w:r>
          </w:p>
          <w:p>
            <w:pPr>
              <w:pStyle w:val="11"/>
              <w:keepNext w:val="0"/>
              <w:keepLines w:val="0"/>
              <w:pageBreakBefore w:val="0"/>
              <w:kinsoku/>
              <w:wordWrap/>
              <w:overflowPunct/>
              <w:topLinePunct w:val="0"/>
              <w:autoSpaceDE w:val="0"/>
              <w:autoSpaceDN w:val="0"/>
              <w:bidi w:val="0"/>
              <w:adjustRightInd w:val="0"/>
              <w:snapToGrid w:val="0"/>
              <w:spacing w:after="0" w:afterLines="0"/>
              <w:ind w:firstLine="0" w:firstLineChars="0"/>
              <w:jc w:val="center"/>
              <w:textAlignment w:val="center"/>
              <w:rPr>
                <w:rFonts w:ascii="宋体" w:hAnsi="宋体" w:cs="宋体"/>
                <w:color w:val="auto"/>
                <w:kern w:val="0"/>
                <w:szCs w:val="21"/>
              </w:rPr>
            </w:pPr>
          </w:p>
        </w:tc>
        <w:tc>
          <w:tcPr>
            <w:tcW w:w="168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ind w:firstLine="0" w:firstLineChars="0"/>
              <w:jc w:val="center"/>
              <w:textAlignment w:val="center"/>
              <w:rPr>
                <w:rFonts w:ascii="宋体" w:hAnsi="宋体"/>
                <w:color w:val="auto"/>
                <w:szCs w:val="21"/>
              </w:rPr>
            </w:pPr>
            <w:r>
              <w:rPr>
                <w:rFonts w:hint="eastAsia" w:ascii="仿宋" w:hAnsi="仿宋" w:eastAsia="仿宋" w:cs="仿宋"/>
                <w:sz w:val="24"/>
                <w:szCs w:val="24"/>
                <w:vertAlign w:val="baseline"/>
                <w:lang w:val="en-US" w:eastAsia="zh-Hans"/>
              </w:rPr>
              <w:t>戴尔、惠普、联想</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kern w:val="2"/>
                <w:sz w:val="24"/>
                <w:szCs w:val="24"/>
                <w:vertAlign w:val="baseline"/>
                <w:lang w:val="en-US" w:eastAsia="zh-CN" w:bidi="ar-SA"/>
              </w:rPr>
            </w:pPr>
            <w:r>
              <w:rPr>
                <w:rFonts w:hint="default" w:ascii="仿宋" w:hAnsi="仿宋" w:eastAsia="仿宋" w:cs="仿宋"/>
                <w:sz w:val="24"/>
                <w:szCs w:val="24"/>
                <w:vertAlign w:val="baseline"/>
                <w:lang w:eastAsia="zh-CN"/>
              </w:rPr>
              <w:t>50</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kern w:val="2"/>
                <w:sz w:val="24"/>
                <w:szCs w:val="24"/>
                <w:vertAlign w:val="baseline"/>
                <w:lang w:val="en-US" w:eastAsia="zh-Hans" w:bidi="ar-SA"/>
              </w:rPr>
            </w:pPr>
            <w:r>
              <w:rPr>
                <w:rFonts w:hint="eastAsia" w:ascii="仿宋" w:hAnsi="仿宋" w:eastAsia="仿宋" w:cs="仿宋"/>
                <w:sz w:val="24"/>
                <w:szCs w:val="24"/>
                <w:vertAlign w:val="baseline"/>
                <w:lang w:val="en-US" w:eastAsia="zh-Hans"/>
              </w:rPr>
              <w:t>套</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kern w:val="2"/>
                <w:sz w:val="24"/>
                <w:szCs w:val="24"/>
                <w:vertAlign w:val="baseline"/>
                <w:lang w:val="en-US" w:eastAsia="zh-CN" w:bidi="ar-SA"/>
              </w:rPr>
            </w:pPr>
            <w:r>
              <w:rPr>
                <w:rFonts w:hint="default" w:ascii="仿宋" w:hAnsi="仿宋" w:eastAsia="仿宋" w:cs="仿宋"/>
                <w:sz w:val="24"/>
                <w:szCs w:val="24"/>
                <w:vertAlign w:val="baseline"/>
                <w:lang w:eastAsia="zh-CN"/>
              </w:rPr>
              <w:t>1.8</w:t>
            </w:r>
          </w:p>
        </w:tc>
        <w:tc>
          <w:tcPr>
            <w:tcW w:w="124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kern w:val="2"/>
                <w:sz w:val="24"/>
                <w:szCs w:val="24"/>
                <w:vertAlign w:val="baseline"/>
                <w:lang w:val="en-US" w:eastAsia="zh-CN" w:bidi="ar-SA"/>
              </w:rPr>
            </w:pPr>
            <w:r>
              <w:rPr>
                <w:rFonts w:hint="default" w:ascii="仿宋" w:hAnsi="仿宋" w:eastAsia="仿宋" w:cs="仿宋"/>
                <w:sz w:val="24"/>
                <w:szCs w:val="24"/>
                <w:vertAlign w:val="baseline"/>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593" w:type="dxa"/>
            <w:gridSpan w:val="7"/>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right"/>
              <w:textAlignment w:val="center"/>
              <w:rPr>
                <w:rFonts w:hint="eastAsia" w:ascii="宋体" w:hAnsi="宋体" w:cs="宋体"/>
                <w:b/>
                <w:color w:val="auto"/>
                <w:kern w:val="0"/>
                <w:sz w:val="18"/>
                <w:szCs w:val="18"/>
              </w:rPr>
            </w:pPr>
            <w:r>
              <w:rPr>
                <w:rFonts w:hint="eastAsia" w:ascii="宋体" w:hAnsi="宋体"/>
                <w:b/>
                <w:color w:val="auto"/>
                <w:szCs w:val="21"/>
              </w:rPr>
              <w:t>合计（万元）</w:t>
            </w:r>
          </w:p>
        </w:tc>
        <w:tc>
          <w:tcPr>
            <w:tcW w:w="124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center"/>
              <w:textAlignment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593" w:type="dxa"/>
            <w:gridSpan w:val="7"/>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right"/>
              <w:textAlignment w:val="center"/>
              <w:rPr>
                <w:rFonts w:hint="eastAsia" w:ascii="宋体" w:hAnsi="宋体" w:cs="宋体"/>
                <w:b/>
                <w:color w:val="auto"/>
                <w:kern w:val="0"/>
                <w:sz w:val="18"/>
                <w:szCs w:val="18"/>
              </w:rPr>
            </w:pPr>
            <w:r>
              <w:rPr>
                <w:rFonts w:hint="eastAsia" w:ascii="宋体" w:hAnsi="宋体"/>
                <w:b/>
                <w:color w:val="auto"/>
                <w:szCs w:val="21"/>
              </w:rPr>
              <w:t>立项</w:t>
            </w:r>
            <w:r>
              <w:rPr>
                <w:rFonts w:ascii="宋体" w:hAnsi="宋体"/>
                <w:b/>
                <w:color w:val="auto"/>
                <w:szCs w:val="21"/>
              </w:rPr>
              <w:t>批准经费</w:t>
            </w:r>
            <w:r>
              <w:rPr>
                <w:rFonts w:hint="eastAsia" w:ascii="宋体" w:hAnsi="宋体"/>
                <w:b/>
                <w:color w:val="auto"/>
                <w:szCs w:val="21"/>
              </w:rPr>
              <w:t>（万元）</w:t>
            </w:r>
          </w:p>
        </w:tc>
        <w:tc>
          <w:tcPr>
            <w:tcW w:w="124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center"/>
              <w:textAlignment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90</w:t>
            </w:r>
          </w:p>
        </w:tc>
      </w:tr>
    </w:tbl>
    <w:p>
      <w:pPr>
        <w:ind w:firstLine="360" w:firstLineChars="200"/>
        <w:rPr>
          <w:rFonts w:hint="eastAsia"/>
          <w:color w:val="auto"/>
          <w:sz w:val="18"/>
          <w:szCs w:val="18"/>
        </w:rPr>
      </w:pPr>
      <w:r>
        <w:rPr>
          <w:rFonts w:hint="eastAsia"/>
          <w:color w:val="auto"/>
          <w:sz w:val="18"/>
          <w:szCs w:val="18"/>
        </w:rPr>
        <w:t>注：1．通用设备：不定品牌，但要注明详细的配置。通用设备指电脑、空调、投影仪等。2．技术参数不能标注特殊符号。3．参数2页或以上需加盖骑缝章。</w:t>
      </w:r>
      <w:bookmarkStart w:id="0" w:name="_GoBack"/>
      <w:bookmarkEnd w:id="0"/>
    </w:p>
    <w:p>
      <w:pPr>
        <w:spacing w:after="78"/>
        <w:ind w:firstLine="0" w:firstLineChars="0"/>
        <w:jc w:val="center"/>
        <w:outlineLvl w:val="0"/>
        <w:rPr>
          <w:rFonts w:hint="eastAsia"/>
          <w:b/>
          <w:color w:val="auto"/>
          <w:sz w:val="44"/>
          <w:szCs w:val="44"/>
          <w:lang w:val="en-US" w:eastAsia="zh-CN"/>
        </w:rPr>
        <w:sectPr>
          <w:pgSz w:w="16838" w:h="11906" w:orient="landscape"/>
          <w:pgMar w:top="1803" w:right="1440" w:bottom="1803" w:left="1440" w:header="851" w:footer="992" w:gutter="0"/>
          <w:cols w:space="720" w:num="1"/>
          <w:titlePg/>
          <w:rtlGutter w:val="0"/>
          <w:docGrid w:type="lines" w:linePitch="332" w:charSpace="0"/>
        </w:sectPr>
      </w:pPr>
    </w:p>
    <w:p>
      <w:pPr>
        <w:spacing w:after="78"/>
        <w:ind w:firstLine="0" w:firstLineChars="0"/>
        <w:jc w:val="center"/>
        <w:outlineLvl w:val="0"/>
        <w:rPr>
          <w:rFonts w:hint="eastAsia" w:eastAsia="仿宋_GB2312"/>
          <w:b/>
          <w:color w:val="auto"/>
          <w:sz w:val="44"/>
          <w:szCs w:val="44"/>
          <w:lang w:val="en-US" w:eastAsia="zh-CN"/>
        </w:rPr>
      </w:pPr>
      <w:r>
        <w:rPr>
          <w:rFonts w:hint="eastAsia"/>
          <w:b/>
          <w:color w:val="auto"/>
          <w:sz w:val="44"/>
          <w:szCs w:val="44"/>
          <w:lang w:val="en-US" w:eastAsia="zh-CN"/>
        </w:rPr>
        <w:t>责 任 书</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rPr>
        <w:t>甲方：湄洲湾职业技术学院</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b/>
          <w:bCs/>
          <w:color w:val="auto"/>
          <w:sz w:val="30"/>
          <w:szCs w:val="30"/>
        </w:rPr>
      </w:pPr>
      <w:r>
        <w:rPr>
          <w:rFonts w:hint="eastAsia" w:ascii="仿宋" w:hAnsi="仿宋" w:eastAsia="仿宋" w:cs="宋体"/>
          <w:color w:val="auto"/>
          <w:sz w:val="30"/>
          <w:szCs w:val="30"/>
        </w:rPr>
        <w:t>乙方：（项目所属部门）</w:t>
      </w:r>
      <w:r>
        <w:rPr>
          <w:rFonts w:hint="eastAsia" w:ascii="仿宋" w:hAnsi="仿宋" w:eastAsia="仿宋" w:cs="宋体"/>
          <w:color w:val="auto"/>
          <w:sz w:val="30"/>
          <w:szCs w:val="30"/>
          <w:u w:val="single"/>
        </w:rPr>
        <w:t xml:space="preserve">   </w:t>
      </w:r>
      <w:r>
        <w:rPr>
          <w:rFonts w:hint="eastAsia" w:ascii="仿宋" w:hAnsi="仿宋" w:eastAsia="仿宋" w:cs="宋体"/>
          <w:color w:val="auto"/>
          <w:sz w:val="30"/>
          <w:szCs w:val="30"/>
          <w:u w:val="single"/>
          <w:lang w:val="en-US" w:eastAsia="zh-Hans"/>
        </w:rPr>
        <w:t>工艺美术系</w:t>
      </w:r>
      <w:r>
        <w:rPr>
          <w:rFonts w:hint="eastAsia" w:ascii="仿宋" w:hAnsi="仿宋" w:eastAsia="仿宋" w:cs="宋体"/>
          <w:color w:val="auto"/>
          <w:sz w:val="30"/>
          <w:szCs w:val="30"/>
          <w:u w:val="single"/>
        </w:rPr>
        <w:t xml:space="preserve">  </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b/>
          <w:bCs/>
          <w:color w:val="auto"/>
          <w:sz w:val="30"/>
          <w:szCs w:val="30"/>
        </w:rPr>
      </w:pPr>
      <w:r>
        <w:rPr>
          <w:rFonts w:hint="eastAsia" w:ascii="仿宋" w:hAnsi="仿宋" w:eastAsia="仿宋" w:cs="宋体"/>
          <w:color w:val="auto"/>
          <w:sz w:val="30"/>
          <w:szCs w:val="30"/>
        </w:rPr>
        <w:t xml:space="preserve">丙方：（项目负责人）  </w:t>
      </w:r>
      <w:r>
        <w:rPr>
          <w:rFonts w:hint="eastAsia" w:ascii="仿宋" w:hAnsi="仿宋" w:eastAsia="仿宋" w:cs="宋体"/>
          <w:color w:val="auto"/>
          <w:sz w:val="30"/>
          <w:szCs w:val="30"/>
          <w:u w:val="single"/>
        </w:rPr>
        <w:t xml:space="preserve">   </w:t>
      </w:r>
      <w:r>
        <w:rPr>
          <w:rFonts w:hint="eastAsia" w:ascii="仿宋" w:hAnsi="仿宋" w:eastAsia="仿宋" w:cs="宋体"/>
          <w:color w:val="auto"/>
          <w:sz w:val="30"/>
          <w:szCs w:val="30"/>
          <w:u w:val="single"/>
          <w:lang w:val="en-US" w:eastAsia="zh-CN"/>
        </w:rPr>
        <w:t xml:space="preserve">  马安萍</w:t>
      </w:r>
      <w:r>
        <w:rPr>
          <w:rFonts w:hint="eastAsia" w:ascii="仿宋" w:hAnsi="仿宋" w:eastAsia="仿宋" w:cs="宋体"/>
          <w:color w:val="auto"/>
          <w:sz w:val="30"/>
          <w:szCs w:val="30"/>
          <w:u w:val="single"/>
        </w:rPr>
        <w:t xml:space="preserve">    </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rPr>
        <w:t>1</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学院从“</w:t>
      </w:r>
      <w:r>
        <w:rPr>
          <w:rFonts w:hint="eastAsia" w:ascii="仿宋" w:hAnsi="仿宋" w:eastAsia="仿宋" w:cs="宋体"/>
          <w:color w:val="auto"/>
          <w:sz w:val="30"/>
          <w:szCs w:val="30"/>
          <w:u w:val="single"/>
        </w:rPr>
        <w:t xml:space="preserve">                             </w:t>
      </w:r>
      <w:r>
        <w:rPr>
          <w:rFonts w:hint="eastAsia" w:ascii="仿宋" w:hAnsi="仿宋" w:eastAsia="仿宋" w:cs="宋体"/>
          <w:color w:val="auto"/>
          <w:sz w:val="30"/>
          <w:szCs w:val="30"/>
        </w:rPr>
        <w:t>”专项经费划拨</w:t>
      </w:r>
      <w:r>
        <w:rPr>
          <w:rFonts w:hint="eastAsia" w:ascii="仿宋" w:hAnsi="仿宋" w:eastAsia="仿宋" w:cs="宋体"/>
          <w:color w:val="auto"/>
          <w:sz w:val="30"/>
          <w:szCs w:val="30"/>
          <w:u w:val="single"/>
        </w:rPr>
        <w:t xml:space="preserve">      </w:t>
      </w:r>
      <w:r>
        <w:rPr>
          <w:rFonts w:hint="eastAsia" w:ascii="仿宋" w:hAnsi="仿宋" w:eastAsia="仿宋" w:cs="宋体"/>
          <w:color w:val="auto"/>
          <w:sz w:val="30"/>
          <w:szCs w:val="30"/>
        </w:rPr>
        <w:t>万元用于乙方20  年实训设备采购项目经费。</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rPr>
        <w:t>2</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乙方和丙方应积极组织设备采购论证及其他相关工作，并在规定时间内完成实训设备的验收工作。</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rPr>
        <w:t>3</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制定运行管理、收费管理、开放共享管理及绩效分配管理办法</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指定专人负责设备日常运行及维护。</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lang w:val="en-US" w:eastAsia="zh-CN"/>
        </w:rPr>
        <w:t>4</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采购回来的实训设备未达到项目绩效论证报告所列预期目标的，追究主体责任。</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lang w:val="en-US" w:eastAsia="zh-CN"/>
        </w:rPr>
        <w:t>5</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设备接入学校大型仪器设备物联共享系统，在满足本单位使用需求的同时，对学校其它学科及社会开放共享。</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lang w:val="en-US" w:eastAsia="zh-CN"/>
        </w:rPr>
        <w:t>6</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新采购实训设备完成验收后，学院每学年将组织对所采购设备的利用情况进行专项检查，对检查发现问题的单位和负责人，追究主体责任。</w:t>
      </w:r>
    </w:p>
    <w:p>
      <w:pPr>
        <w:keepNext w:val="0"/>
        <w:keepLines w:val="0"/>
        <w:pageBreakBefore w:val="0"/>
        <w:widowControl w:val="0"/>
        <w:tabs>
          <w:tab w:val="left" w:pos="6840"/>
        </w:tabs>
        <w:kinsoku/>
        <w:wordWrap w:val="0"/>
        <w:overflowPunct/>
        <w:topLinePunct w:val="0"/>
        <w:autoSpaceDE w:val="0"/>
        <w:autoSpaceDN w:val="0"/>
        <w:bidi w:val="0"/>
        <w:adjustRightInd w:val="0"/>
        <w:snapToGrid w:val="0"/>
        <w:spacing w:after="0" w:afterLines="0" w:line="360" w:lineRule="auto"/>
        <w:jc w:val="both"/>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rPr>
        <w:t>甲    方：湄洲湾职业技术学院</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仿宋" w:hAnsi="仿宋" w:eastAsia="仿宋" w:cs="宋体"/>
          <w:color w:val="auto"/>
          <w:sz w:val="30"/>
          <w:szCs w:val="30"/>
          <w:lang w:val="en-US" w:eastAsia="zh-CN"/>
        </w:rPr>
      </w:pPr>
      <w:r>
        <w:rPr>
          <w:rFonts w:hint="eastAsia" w:ascii="仿宋" w:hAnsi="仿宋" w:eastAsia="仿宋" w:cs="宋体"/>
          <w:color w:val="auto"/>
          <w:sz w:val="30"/>
          <w:szCs w:val="30"/>
        </w:rPr>
        <w:t>乙方代表（签名）：</w:t>
      </w:r>
      <w:r>
        <w:rPr>
          <w:rFonts w:hint="eastAsia" w:ascii="仿宋" w:hAnsi="仿宋" w:eastAsia="仿宋" w:cs="宋体"/>
          <w:color w:val="auto"/>
          <w:sz w:val="30"/>
          <w:szCs w:val="30"/>
          <w:u w:val="single"/>
          <w:lang w:val="en-US" w:eastAsia="zh-CN"/>
        </w:rPr>
        <w:t xml:space="preserve">                   </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仿宋" w:hAnsi="仿宋" w:eastAsia="仿宋" w:cs="宋体"/>
          <w:color w:val="auto"/>
          <w:sz w:val="30"/>
          <w:szCs w:val="30"/>
          <w:lang w:val="en-US" w:eastAsia="zh-CN"/>
        </w:rPr>
      </w:pPr>
      <w:r>
        <w:rPr>
          <w:rFonts w:hint="eastAsia" w:ascii="仿宋" w:hAnsi="仿宋" w:eastAsia="仿宋" w:cs="宋体"/>
          <w:color w:val="auto"/>
          <w:sz w:val="30"/>
          <w:szCs w:val="30"/>
        </w:rPr>
        <w:t>丙    方（签名）：</w:t>
      </w:r>
      <w:r>
        <w:rPr>
          <w:rFonts w:hint="eastAsia" w:ascii="仿宋" w:hAnsi="仿宋" w:eastAsia="仿宋" w:cs="宋体"/>
          <w:color w:val="auto"/>
          <w:sz w:val="30"/>
          <w:szCs w:val="30"/>
          <w:u w:val="single"/>
          <w:lang w:val="en-US" w:eastAsia="zh-CN"/>
        </w:rPr>
        <w:t xml:space="preserve">                   </w:t>
      </w:r>
    </w:p>
    <w:p>
      <w:pPr>
        <w:jc w:val="right"/>
        <w:rPr>
          <w:rFonts w:hint="default"/>
          <w:color w:val="auto"/>
          <w:sz w:val="30"/>
          <w:szCs w:val="30"/>
          <w:lang w:val="en-US" w:eastAsia="zh-CN"/>
        </w:rPr>
      </w:pPr>
      <w:r>
        <w:rPr>
          <w:rFonts w:hint="eastAsia" w:ascii="仿宋" w:hAnsi="仿宋" w:eastAsia="仿宋" w:cs="宋体"/>
          <w:color w:val="auto"/>
          <w:sz w:val="30"/>
          <w:szCs w:val="30"/>
          <w:lang w:val="en-US" w:eastAsia="zh-CN"/>
        </w:rPr>
        <w:t xml:space="preserve">  </w:t>
      </w:r>
      <w:r>
        <w:rPr>
          <w:rFonts w:hint="eastAsia" w:ascii="仿宋" w:hAnsi="仿宋" w:eastAsia="仿宋" w:cs="宋体"/>
          <w:color w:val="auto"/>
          <w:sz w:val="30"/>
          <w:szCs w:val="30"/>
        </w:rPr>
        <w:t>年   月   日</w:t>
      </w:r>
    </w:p>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AFA8D"/>
    <w:multiLevelType w:val="singleLevel"/>
    <w:tmpl w:val="D02AFA8D"/>
    <w:lvl w:ilvl="0" w:tentative="0">
      <w:start w:val="1"/>
      <w:numFmt w:val="decimal"/>
      <w:lvlText w:val="%1."/>
      <w:lvlJc w:val="left"/>
      <w:pPr>
        <w:ind w:left="425" w:hanging="425"/>
      </w:pPr>
      <w:rPr>
        <w:rFonts w:hint="default"/>
        <w:b/>
        <w:bCs/>
      </w:rPr>
    </w:lvl>
  </w:abstractNum>
  <w:abstractNum w:abstractNumId="1">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B9570D"/>
    <w:multiLevelType w:val="multilevel"/>
    <w:tmpl w:val="22B9570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ZmUwMWIwMjRlNTFjNzNlZTY2NGI2MGFlZTk2ZmYifQ=="/>
  </w:docVars>
  <w:rsids>
    <w:rsidRoot w:val="56F264F0"/>
    <w:rsid w:val="00155351"/>
    <w:rsid w:val="051C683A"/>
    <w:rsid w:val="10A06B85"/>
    <w:rsid w:val="25E925EB"/>
    <w:rsid w:val="3B392F9B"/>
    <w:rsid w:val="4B4C086D"/>
    <w:rsid w:val="4C59524B"/>
    <w:rsid w:val="54785667"/>
    <w:rsid w:val="56F264F0"/>
    <w:rsid w:val="59D749A4"/>
    <w:rsid w:val="64FF1965"/>
    <w:rsid w:val="729D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rFonts w:ascii="Calibri" w:hAnsi="Calibri" w:cs="Times New Roman"/>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4"/>
      <w:szCs w:val="24"/>
    </w:r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
    <w:name w:val="明显引用1"/>
    <w:basedOn w:val="1"/>
    <w:next w:val="1"/>
    <w:qFormat/>
    <w:uiPriority w:val="30"/>
    <w:pPr>
      <w:pBdr>
        <w:top w:val="single" w:color="4F81BD" w:sz="4" w:space="10"/>
        <w:bottom w:val="single" w:color="4F81BD" w:sz="4" w:space="10"/>
      </w:pBdr>
      <w:spacing w:before="360" w:after="360"/>
      <w:ind w:left="864" w:right="864"/>
      <w:jc w:val="center"/>
    </w:pPr>
    <w:rPr>
      <w:i/>
      <w:iCs/>
      <w:color w:val="4F81BD"/>
    </w:rPr>
  </w:style>
  <w:style w:type="paragraph" w:styleId="6">
    <w:name w:val="annotation text"/>
    <w:basedOn w:val="1"/>
    <w:unhideWhenUsed/>
    <w:qFormat/>
    <w:uiPriority w:val="99"/>
    <w:pPr>
      <w:jc w:val="left"/>
    </w:pPr>
  </w:style>
  <w:style w:type="paragraph" w:styleId="7">
    <w:name w:val="footer"/>
    <w:basedOn w:val="1"/>
    <w:qFormat/>
    <w:uiPriority w:val="0"/>
    <w:pPr>
      <w:tabs>
        <w:tab w:val="center" w:pos="4153"/>
        <w:tab w:val="right" w:pos="8306"/>
      </w:tabs>
      <w:spacing w:line="240" w:lineRule="auto"/>
    </w:pPr>
    <w:rPr>
      <w:sz w:val="18"/>
      <w:szCs w:val="18"/>
    </w:rPr>
  </w:style>
  <w:style w:type="paragraph" w:styleId="8">
    <w:name w:val="Normal (Web)"/>
    <w:basedOn w:val="1"/>
    <w:qFormat/>
    <w:uiPriority w:val="0"/>
    <w:pPr>
      <w:widowControl/>
      <w:jc w:val="left"/>
    </w:pPr>
    <w:rPr>
      <w:rFonts w:ascii="宋体" w:hAnsi="宋体" w:cs="宋体"/>
      <w:kern w:val="0"/>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3440</Words>
  <Characters>3637</Characters>
  <Lines>0</Lines>
  <Paragraphs>0</Paragraphs>
  <TotalTime>1</TotalTime>
  <ScaleCrop>false</ScaleCrop>
  <LinksUpToDate>false</LinksUpToDate>
  <CharactersWithSpaces>4028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2023-02-09T09:53:00Z</dcterms:created>
  <dc:creator>葱说</dc:creator>
  <cp:lastModifiedBy>葱说</cp:lastModifiedBy>
  <dcterms:modified xsi:type="dcterms:W3CDTF">2023-03-27T02:49:31Z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C4D5C2FD0EAB4C4E8CB59A634334B0FF</vt:lpwstr>
  </property>
</Properties>
</file>