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5A1B812">
      <w:pPr>
        <w:pStyle w:val="19"/>
        <w:widowControl/>
        <w:spacing w:before="75" w:beforeAutospacing="0" w:after="75" w:afterAutospacing="0"/>
        <w:jc w:val="center"/>
        <w:rPr>
          <w:rStyle w:val="26"/>
          <w:rFonts w:ascii="宋体" w:hAnsi="宋体" w:cs="宋体"/>
          <w:color w:val="auto"/>
          <w:sz w:val="72"/>
          <w:szCs w:val="72"/>
          <w:highlight w:val="none"/>
        </w:rPr>
      </w:pPr>
    </w:p>
    <w:p w14:paraId="48268F23">
      <w:pPr>
        <w:pStyle w:val="19"/>
        <w:widowControl/>
        <w:spacing w:before="75" w:beforeAutospacing="0" w:after="75" w:afterAutospacing="0"/>
        <w:jc w:val="center"/>
        <w:rPr>
          <w:color w:val="auto"/>
          <w:highlight w:val="none"/>
        </w:rPr>
      </w:pPr>
      <w:r>
        <w:rPr>
          <w:rStyle w:val="26"/>
          <w:rFonts w:hint="eastAsia" w:ascii="宋体" w:hAnsi="宋体" w:cs="宋体"/>
          <w:color w:val="auto"/>
          <w:sz w:val="72"/>
          <w:szCs w:val="72"/>
          <w:highlight w:val="none"/>
        </w:rPr>
        <w:t>货物和服务项目</w:t>
      </w:r>
    </w:p>
    <w:p w14:paraId="6B6FC14F">
      <w:pPr>
        <w:pStyle w:val="19"/>
        <w:widowControl/>
        <w:spacing w:before="75" w:beforeAutospacing="0" w:after="75" w:afterAutospacing="0"/>
        <w:jc w:val="center"/>
        <w:rPr>
          <w:rStyle w:val="26"/>
          <w:rFonts w:ascii="宋体" w:hAnsi="宋体" w:cs="宋体"/>
          <w:color w:val="auto"/>
          <w:sz w:val="72"/>
          <w:szCs w:val="72"/>
          <w:highlight w:val="none"/>
        </w:rPr>
      </w:pPr>
      <w:r>
        <w:rPr>
          <w:rStyle w:val="26"/>
          <w:rFonts w:hint="eastAsia" w:ascii="宋体" w:hAnsi="宋体" w:cs="宋体"/>
          <w:color w:val="auto"/>
          <w:sz w:val="72"/>
          <w:szCs w:val="72"/>
          <w:highlight w:val="none"/>
        </w:rPr>
        <w:t>公开招标文件</w:t>
      </w:r>
    </w:p>
    <w:p w14:paraId="3E2A4A94">
      <w:pPr>
        <w:pStyle w:val="19"/>
        <w:widowControl/>
        <w:spacing w:before="75" w:beforeAutospacing="0" w:after="75" w:afterAutospacing="0"/>
        <w:jc w:val="center"/>
        <w:rPr>
          <w:rFonts w:hint="eastAsia"/>
          <w:b/>
          <w:bCs/>
          <w:color w:val="auto"/>
          <w:sz w:val="32"/>
          <w:szCs w:val="32"/>
          <w:highlight w:val="none"/>
        </w:rPr>
      </w:pPr>
    </w:p>
    <w:p w14:paraId="0C75FD18">
      <w:pPr>
        <w:pStyle w:val="19"/>
        <w:widowControl/>
        <w:spacing w:before="75" w:beforeAutospacing="0" w:after="75" w:afterAutospacing="0"/>
        <w:jc w:val="center"/>
        <w:rPr>
          <w:color w:val="auto"/>
          <w:highlight w:val="none"/>
        </w:rPr>
      </w:pPr>
      <w:r>
        <w:rPr>
          <w:rFonts w:hint="eastAsia"/>
          <w:b/>
          <w:bCs/>
          <w:color w:val="auto"/>
          <w:sz w:val="32"/>
          <w:szCs w:val="32"/>
          <w:highlight w:val="none"/>
        </w:rPr>
        <w:t xml:space="preserve"> </w:t>
      </w:r>
      <w:r>
        <w:rPr>
          <w:color w:val="auto"/>
          <w:highlight w:val="none"/>
        </w:rPr>
        <w:t> </w:t>
      </w:r>
    </w:p>
    <w:p w14:paraId="43AE0CD9">
      <w:pPr>
        <w:pStyle w:val="19"/>
        <w:widowControl/>
        <w:spacing w:before="75" w:beforeAutospacing="0" w:after="75" w:afterAutospacing="0"/>
        <w:jc w:val="center"/>
        <w:rPr>
          <w:color w:val="auto"/>
          <w:highlight w:val="none"/>
        </w:rPr>
      </w:pPr>
      <w:r>
        <w:rPr>
          <w:rStyle w:val="26"/>
          <w:rFonts w:hint="eastAsia" w:ascii="宋体" w:hAnsi="宋体" w:cs="宋体"/>
          <w:color w:val="auto"/>
          <w:sz w:val="36"/>
          <w:szCs w:val="36"/>
          <w:highlight w:val="none"/>
        </w:rPr>
        <w:t> </w:t>
      </w:r>
    </w:p>
    <w:p w14:paraId="215D0D2C">
      <w:pPr>
        <w:pStyle w:val="19"/>
        <w:widowControl/>
        <w:spacing w:before="75" w:beforeAutospacing="0" w:after="75" w:afterAutospacing="0"/>
        <w:jc w:val="center"/>
        <w:rPr>
          <w:rStyle w:val="26"/>
          <w:rFonts w:hint="eastAsia" w:ascii="宋体" w:hAnsi="宋体" w:cs="宋体"/>
          <w:color w:val="auto"/>
          <w:sz w:val="32"/>
          <w:szCs w:val="32"/>
          <w:highlight w:val="none"/>
          <w:lang w:eastAsia="zh-CN"/>
        </w:rPr>
      </w:pPr>
      <w:r>
        <w:rPr>
          <w:rStyle w:val="26"/>
          <w:rFonts w:hint="eastAsia" w:ascii="宋体" w:hAnsi="宋体" w:cs="宋体"/>
          <w:color w:val="auto"/>
          <w:sz w:val="32"/>
          <w:szCs w:val="32"/>
          <w:highlight w:val="none"/>
        </w:rPr>
        <w:t>项目名称：</w:t>
      </w:r>
      <w:r>
        <w:rPr>
          <w:rStyle w:val="26"/>
          <w:rFonts w:hint="eastAsia" w:ascii="宋体" w:hAnsi="宋体" w:cs="宋体"/>
          <w:color w:val="auto"/>
          <w:sz w:val="32"/>
          <w:szCs w:val="32"/>
          <w:highlight w:val="none"/>
          <w:lang w:eastAsia="zh-CN"/>
        </w:rPr>
        <w:t>自办学生食堂服务团队招标采购</w:t>
      </w:r>
    </w:p>
    <w:p w14:paraId="37D0219F">
      <w:pPr>
        <w:pStyle w:val="19"/>
        <w:widowControl/>
        <w:spacing w:before="75" w:beforeAutospacing="0" w:after="75" w:afterAutospacing="0"/>
        <w:jc w:val="center"/>
        <w:rPr>
          <w:rStyle w:val="26"/>
          <w:rFonts w:hint="eastAsia" w:ascii="宋体" w:hAnsi="宋体" w:cs="宋体"/>
          <w:color w:val="auto"/>
          <w:sz w:val="32"/>
          <w:szCs w:val="32"/>
          <w:highlight w:val="none"/>
        </w:rPr>
      </w:pPr>
    </w:p>
    <w:p w14:paraId="2E60EB30">
      <w:pPr>
        <w:pStyle w:val="19"/>
        <w:widowControl/>
        <w:spacing w:before="75" w:beforeAutospacing="0" w:after="75" w:afterAutospacing="0"/>
        <w:jc w:val="center"/>
        <w:rPr>
          <w:rStyle w:val="26"/>
          <w:rFonts w:hint="eastAsia" w:ascii="宋体" w:hAnsi="宋体" w:cs="宋体"/>
          <w:color w:val="auto"/>
          <w:sz w:val="32"/>
          <w:szCs w:val="32"/>
          <w:highlight w:val="none"/>
          <w:lang w:eastAsia="zh-CN"/>
        </w:rPr>
      </w:pPr>
      <w:r>
        <w:rPr>
          <w:rStyle w:val="26"/>
          <w:rFonts w:hint="eastAsia" w:ascii="宋体" w:hAnsi="宋体" w:cs="宋体"/>
          <w:color w:val="auto"/>
          <w:sz w:val="32"/>
          <w:szCs w:val="32"/>
          <w:highlight w:val="none"/>
        </w:rPr>
        <w:t>项目编号：</w:t>
      </w:r>
      <w:r>
        <w:rPr>
          <w:rStyle w:val="26"/>
          <w:rFonts w:hint="eastAsia" w:ascii="宋体" w:hAnsi="宋体" w:cs="宋体"/>
          <w:color w:val="auto"/>
          <w:sz w:val="32"/>
          <w:szCs w:val="32"/>
          <w:highlight w:val="none"/>
          <w:lang w:eastAsia="zh-CN"/>
        </w:rPr>
        <w:t>FJYL[GK]20250640</w:t>
      </w:r>
    </w:p>
    <w:p w14:paraId="6BE85DC9">
      <w:pPr>
        <w:pStyle w:val="19"/>
        <w:widowControl/>
        <w:spacing w:before="75" w:beforeAutospacing="0" w:after="75" w:afterAutospacing="0"/>
        <w:rPr>
          <w:color w:val="auto"/>
          <w:sz w:val="32"/>
          <w:szCs w:val="32"/>
          <w:highlight w:val="none"/>
        </w:rPr>
      </w:pPr>
      <w:r>
        <w:rPr>
          <w:rStyle w:val="26"/>
          <w:rFonts w:hint="eastAsia" w:ascii="宋体" w:hAnsi="宋体" w:cs="宋体"/>
          <w:color w:val="auto"/>
          <w:sz w:val="32"/>
          <w:szCs w:val="32"/>
          <w:highlight w:val="none"/>
        </w:rPr>
        <w:t>                   </w:t>
      </w:r>
    </w:p>
    <w:p w14:paraId="2A37D8B7">
      <w:pPr>
        <w:pStyle w:val="19"/>
        <w:widowControl/>
        <w:spacing w:before="75" w:beforeAutospacing="0" w:after="75" w:afterAutospacing="0"/>
        <w:rPr>
          <w:color w:val="auto"/>
          <w:sz w:val="32"/>
          <w:szCs w:val="32"/>
          <w:highlight w:val="none"/>
        </w:rPr>
      </w:pPr>
      <w:r>
        <w:rPr>
          <w:color w:val="auto"/>
          <w:sz w:val="32"/>
          <w:szCs w:val="32"/>
          <w:highlight w:val="none"/>
        </w:rPr>
        <w:t> </w:t>
      </w:r>
    </w:p>
    <w:p w14:paraId="035B1E36">
      <w:pPr>
        <w:pStyle w:val="19"/>
        <w:widowControl/>
        <w:spacing w:before="75" w:beforeAutospacing="0" w:after="75" w:afterAutospacing="0"/>
        <w:rPr>
          <w:color w:val="auto"/>
          <w:sz w:val="32"/>
          <w:szCs w:val="32"/>
          <w:highlight w:val="none"/>
        </w:rPr>
      </w:pPr>
    </w:p>
    <w:p w14:paraId="4E07E86F">
      <w:pPr>
        <w:pStyle w:val="19"/>
        <w:widowControl/>
        <w:spacing w:before="75" w:beforeAutospacing="0" w:after="75" w:afterAutospacing="0"/>
        <w:rPr>
          <w:color w:val="auto"/>
          <w:sz w:val="32"/>
          <w:szCs w:val="32"/>
          <w:highlight w:val="none"/>
        </w:rPr>
      </w:pPr>
    </w:p>
    <w:p w14:paraId="30972E57">
      <w:pPr>
        <w:widowControl/>
        <w:jc w:val="left"/>
        <w:rPr>
          <w:color w:val="auto"/>
          <w:sz w:val="32"/>
          <w:szCs w:val="32"/>
          <w:highlight w:val="none"/>
        </w:rPr>
      </w:pPr>
      <w:r>
        <w:rPr>
          <w:rFonts w:ascii="宋体" w:hAnsi="宋体" w:cs="宋体"/>
          <w:color w:val="auto"/>
          <w:kern w:val="0"/>
          <w:sz w:val="32"/>
          <w:szCs w:val="32"/>
          <w:highlight w:val="none"/>
          <w:lang w:bidi="ar"/>
        </w:rPr>
        <w:t> </w:t>
      </w:r>
    </w:p>
    <w:p w14:paraId="23127B68">
      <w:pPr>
        <w:pStyle w:val="19"/>
        <w:widowControl/>
        <w:spacing w:before="75" w:beforeAutospacing="0" w:after="75" w:afterAutospacing="0"/>
        <w:jc w:val="center"/>
        <w:rPr>
          <w:rStyle w:val="26"/>
          <w:rFonts w:hint="eastAsia" w:ascii="宋体" w:hAnsi="宋体" w:cs="宋体"/>
          <w:color w:val="auto"/>
          <w:sz w:val="32"/>
          <w:szCs w:val="32"/>
          <w:highlight w:val="none"/>
          <w:lang w:eastAsia="zh-CN"/>
        </w:rPr>
      </w:pPr>
      <w:r>
        <w:rPr>
          <w:rStyle w:val="26"/>
          <w:rFonts w:hint="eastAsia" w:ascii="宋体" w:hAnsi="宋体" w:cs="宋体"/>
          <w:color w:val="auto"/>
          <w:sz w:val="32"/>
          <w:szCs w:val="32"/>
          <w:highlight w:val="none"/>
          <w:lang w:eastAsia="zh-CN"/>
        </w:rPr>
        <w:t>采购人：湄洲湾职业技术学院</w:t>
      </w:r>
    </w:p>
    <w:p w14:paraId="77B92800">
      <w:pPr>
        <w:pStyle w:val="19"/>
        <w:widowControl/>
        <w:spacing w:before="75" w:beforeAutospacing="0" w:after="75" w:afterAutospacing="0"/>
        <w:jc w:val="center"/>
        <w:rPr>
          <w:rStyle w:val="26"/>
          <w:rFonts w:hint="eastAsia" w:ascii="宋体" w:hAnsi="宋体" w:cs="宋体"/>
          <w:color w:val="auto"/>
          <w:sz w:val="32"/>
          <w:szCs w:val="32"/>
          <w:highlight w:val="none"/>
          <w:lang w:eastAsia="zh-CN"/>
        </w:rPr>
      </w:pPr>
      <w:r>
        <w:rPr>
          <w:rStyle w:val="26"/>
          <w:rFonts w:hint="eastAsia" w:ascii="宋体" w:hAnsi="宋体" w:cs="宋体"/>
          <w:color w:val="auto"/>
          <w:sz w:val="32"/>
          <w:szCs w:val="32"/>
          <w:highlight w:val="none"/>
          <w:lang w:eastAsia="zh-CN"/>
        </w:rPr>
        <w:t>代理机构：福建亿立项目管理有限公司</w:t>
      </w:r>
    </w:p>
    <w:p w14:paraId="136D2398">
      <w:pPr>
        <w:pStyle w:val="19"/>
        <w:widowControl/>
        <w:spacing w:before="75" w:beforeAutospacing="0" w:after="75" w:afterAutospacing="0"/>
        <w:jc w:val="center"/>
        <w:rPr>
          <w:color w:val="auto"/>
          <w:sz w:val="32"/>
          <w:szCs w:val="32"/>
          <w:highlight w:val="none"/>
        </w:rPr>
      </w:pPr>
    </w:p>
    <w:p w14:paraId="5298D04E">
      <w:pPr>
        <w:pStyle w:val="19"/>
        <w:widowControl/>
        <w:spacing w:before="75" w:beforeAutospacing="0" w:after="75" w:afterAutospacing="0"/>
        <w:jc w:val="center"/>
        <w:rPr>
          <w:color w:val="auto"/>
          <w:sz w:val="32"/>
          <w:szCs w:val="32"/>
          <w:highlight w:val="none"/>
        </w:rPr>
      </w:pPr>
      <w:r>
        <w:rPr>
          <w:color w:val="auto"/>
          <w:sz w:val="32"/>
          <w:szCs w:val="32"/>
          <w:highlight w:val="none"/>
        </w:rPr>
        <w:t> </w:t>
      </w:r>
    </w:p>
    <w:p w14:paraId="788B67A4">
      <w:pPr>
        <w:pStyle w:val="19"/>
        <w:widowControl/>
        <w:spacing w:before="75" w:beforeAutospacing="0" w:after="75" w:afterAutospacing="0" w:line="360" w:lineRule="atLeast"/>
        <w:ind w:right="720"/>
        <w:jc w:val="center"/>
        <w:rPr>
          <w:rStyle w:val="26"/>
          <w:rFonts w:hint="eastAsia" w:ascii="宋体" w:hAnsi="宋体" w:cs="宋体"/>
          <w:color w:val="auto"/>
          <w:sz w:val="32"/>
          <w:szCs w:val="32"/>
          <w:highlight w:val="none"/>
        </w:rPr>
      </w:pPr>
      <w:r>
        <w:rPr>
          <w:rStyle w:val="26"/>
          <w:rFonts w:hint="eastAsia" w:ascii="宋体" w:hAnsi="宋体" w:cs="宋体"/>
          <w:color w:val="auto"/>
          <w:sz w:val="32"/>
          <w:szCs w:val="32"/>
          <w:highlight w:val="none"/>
        </w:rPr>
        <w:t>202</w:t>
      </w:r>
      <w:r>
        <w:rPr>
          <w:rStyle w:val="26"/>
          <w:rFonts w:hint="eastAsia" w:ascii="宋体" w:hAnsi="宋体" w:cs="宋体"/>
          <w:color w:val="auto"/>
          <w:sz w:val="32"/>
          <w:szCs w:val="32"/>
          <w:highlight w:val="none"/>
          <w:lang w:val="en-US" w:eastAsia="zh-CN"/>
        </w:rPr>
        <w:t>5</w:t>
      </w:r>
      <w:r>
        <w:rPr>
          <w:rStyle w:val="26"/>
          <w:rFonts w:hint="eastAsia" w:ascii="宋体" w:hAnsi="宋体" w:cs="宋体"/>
          <w:color w:val="auto"/>
          <w:sz w:val="32"/>
          <w:szCs w:val="32"/>
          <w:highlight w:val="none"/>
        </w:rPr>
        <w:t>年</w:t>
      </w:r>
      <w:r>
        <w:rPr>
          <w:rStyle w:val="26"/>
          <w:rFonts w:hint="eastAsia" w:ascii="宋体" w:hAnsi="宋体" w:cs="宋体"/>
          <w:color w:val="auto"/>
          <w:sz w:val="32"/>
          <w:szCs w:val="32"/>
          <w:highlight w:val="none"/>
          <w:lang w:val="en-US" w:eastAsia="zh-CN"/>
        </w:rPr>
        <w:t>07</w:t>
      </w:r>
      <w:r>
        <w:rPr>
          <w:rStyle w:val="26"/>
          <w:rFonts w:hint="eastAsia" w:ascii="宋体" w:hAnsi="宋体" w:cs="宋体"/>
          <w:color w:val="auto"/>
          <w:sz w:val="32"/>
          <w:szCs w:val="32"/>
          <w:highlight w:val="none"/>
        </w:rPr>
        <w:t>月</w:t>
      </w:r>
    </w:p>
    <w:p w14:paraId="6DAB557E">
      <w:pPr>
        <w:pStyle w:val="19"/>
        <w:widowControl/>
        <w:spacing w:before="75" w:beforeAutospacing="0" w:after="75" w:afterAutospacing="0"/>
        <w:jc w:val="center"/>
        <w:rPr>
          <w:color w:val="auto"/>
          <w:highlight w:val="none"/>
        </w:rPr>
      </w:pPr>
      <w:r>
        <w:rPr>
          <w:rStyle w:val="26"/>
          <w:rFonts w:hint="eastAsia" w:ascii="宋体" w:hAnsi="宋体" w:cs="宋体"/>
          <w:color w:val="auto"/>
          <w:sz w:val="31"/>
          <w:szCs w:val="31"/>
          <w:highlight w:val="none"/>
        </w:rPr>
        <w:t>第一章</w:t>
      </w:r>
      <w:r>
        <w:rPr>
          <w:rStyle w:val="26"/>
          <w:color w:val="auto"/>
          <w:sz w:val="31"/>
          <w:szCs w:val="31"/>
          <w:highlight w:val="none"/>
        </w:rPr>
        <w:t>   </w:t>
      </w:r>
      <w:r>
        <w:rPr>
          <w:rStyle w:val="26"/>
          <w:rFonts w:hint="eastAsia" w:ascii="宋体" w:hAnsi="宋体" w:cs="宋体"/>
          <w:color w:val="auto"/>
          <w:sz w:val="31"/>
          <w:szCs w:val="31"/>
          <w:highlight w:val="none"/>
        </w:rPr>
        <w:t>投标邀请</w:t>
      </w:r>
    </w:p>
    <w:p w14:paraId="1D4E850C">
      <w:pPr>
        <w:pStyle w:val="19"/>
        <w:widowControl/>
        <w:spacing w:before="75" w:beforeAutospacing="0" w:after="75" w:afterAutospacing="0" w:line="240" w:lineRule="exact"/>
        <w:rPr>
          <w:color w:val="auto"/>
          <w:highlight w:val="none"/>
        </w:rPr>
      </w:pPr>
      <w:r>
        <w:rPr>
          <w:color w:val="auto"/>
          <w:highlight w:val="none"/>
        </w:rPr>
        <w:t> </w:t>
      </w:r>
    </w:p>
    <w:p w14:paraId="3E0BA1A9">
      <w:pPr>
        <w:pStyle w:val="19"/>
        <w:widowControl/>
        <w:spacing w:before="75" w:beforeAutospacing="0" w:after="75" w:afterAutospacing="0" w:line="300" w:lineRule="exact"/>
        <w:ind w:firstLine="480"/>
        <w:rPr>
          <w:color w:val="auto"/>
          <w:highlight w:val="none"/>
        </w:rPr>
      </w:pPr>
      <w:r>
        <w:rPr>
          <w:rFonts w:hint="eastAsia" w:ascii="宋体" w:hAnsi="宋体" w:cs="宋体"/>
          <w:color w:val="auto"/>
          <w:highlight w:val="none"/>
          <w:u w:val="single"/>
        </w:rPr>
        <w:t>福建亿立项目管理有限公司</w:t>
      </w:r>
      <w:r>
        <w:rPr>
          <w:rFonts w:hint="eastAsia" w:ascii="宋体" w:hAnsi="宋体" w:cs="宋体"/>
          <w:color w:val="auto"/>
          <w:highlight w:val="none"/>
        </w:rPr>
        <w:t>采用</w:t>
      </w:r>
      <w:r>
        <w:rPr>
          <w:rFonts w:hint="eastAsia" w:ascii="宋体" w:hAnsi="宋体" w:cs="宋体"/>
          <w:color w:val="auto"/>
          <w:highlight w:val="none"/>
          <w:u w:val="single"/>
        </w:rPr>
        <w:t>公开招标方式</w:t>
      </w:r>
      <w:r>
        <w:rPr>
          <w:rFonts w:hint="eastAsia" w:ascii="宋体" w:hAnsi="宋体" w:cs="宋体"/>
          <w:color w:val="auto"/>
          <w:highlight w:val="none"/>
        </w:rPr>
        <w:t>组织</w:t>
      </w:r>
      <w:r>
        <w:rPr>
          <w:rFonts w:hint="eastAsia" w:ascii="宋体" w:hAnsi="宋体" w:cs="宋体"/>
          <w:color w:val="auto"/>
          <w:highlight w:val="none"/>
          <w:u w:val="single"/>
          <w:lang w:eastAsia="zh-CN"/>
        </w:rPr>
        <w:t>自办学生食堂服务团队招标采购</w:t>
      </w:r>
      <w:r>
        <w:rPr>
          <w:rFonts w:hint="eastAsia" w:ascii="宋体" w:hAnsi="宋体" w:cs="宋体"/>
          <w:color w:val="auto"/>
          <w:highlight w:val="none"/>
        </w:rPr>
        <w:t>（以下简称：“本项目”）的政府采购活动，现邀请供应商参加投标。</w:t>
      </w:r>
    </w:p>
    <w:p w14:paraId="78CA8EED">
      <w:pPr>
        <w:pStyle w:val="19"/>
        <w:widowControl/>
        <w:spacing w:before="75" w:beforeAutospacing="0" w:after="75" w:afterAutospacing="0" w:line="300" w:lineRule="exact"/>
        <w:ind w:firstLine="480"/>
        <w:rPr>
          <w:color w:val="auto"/>
          <w:highlight w:val="none"/>
        </w:rPr>
      </w:pPr>
      <w:r>
        <w:rPr>
          <w:rFonts w:hint="eastAsia" w:ascii="宋体" w:hAnsi="宋体" w:cs="宋体"/>
          <w:color w:val="auto"/>
          <w:highlight w:val="none"/>
        </w:rPr>
        <w:t>1、项目编号：</w:t>
      </w:r>
      <w:r>
        <w:rPr>
          <w:rFonts w:hint="eastAsia" w:ascii="宋体" w:hAnsi="宋体" w:cs="宋体"/>
          <w:color w:val="auto"/>
          <w:highlight w:val="none"/>
          <w:u w:val="single"/>
          <w:lang w:eastAsia="zh-CN"/>
        </w:rPr>
        <w:t>FJYL[GK]20250640</w:t>
      </w:r>
      <w:r>
        <w:rPr>
          <w:rFonts w:hint="eastAsia" w:ascii="宋体" w:hAnsi="宋体" w:cs="宋体"/>
          <w:color w:val="auto"/>
          <w:highlight w:val="none"/>
        </w:rPr>
        <w:t>。</w:t>
      </w:r>
    </w:p>
    <w:p w14:paraId="5AE8271D">
      <w:pPr>
        <w:pStyle w:val="19"/>
        <w:widowControl/>
        <w:spacing w:before="75" w:beforeAutospacing="0" w:after="75" w:afterAutospacing="0" w:line="300" w:lineRule="exact"/>
        <w:ind w:firstLine="480"/>
        <w:rPr>
          <w:rFonts w:ascii="宋体" w:hAnsi="宋体" w:cs="宋体"/>
          <w:color w:val="auto"/>
          <w:highlight w:val="none"/>
        </w:rPr>
      </w:pPr>
      <w:r>
        <w:rPr>
          <w:rFonts w:hint="eastAsia" w:ascii="宋体" w:hAnsi="宋体" w:cs="宋体"/>
          <w:color w:val="auto"/>
          <w:highlight w:val="none"/>
        </w:rPr>
        <w:t>2、预算金额、最高限价：详见《采购标的一览表》。</w:t>
      </w:r>
    </w:p>
    <w:p w14:paraId="4329032E">
      <w:pPr>
        <w:pStyle w:val="19"/>
        <w:widowControl/>
        <w:spacing w:before="75" w:beforeAutospacing="0" w:after="75" w:afterAutospacing="0" w:line="300" w:lineRule="exact"/>
        <w:ind w:firstLine="480"/>
        <w:rPr>
          <w:color w:val="auto"/>
          <w:highlight w:val="none"/>
        </w:rPr>
      </w:pPr>
      <w:r>
        <w:rPr>
          <w:rFonts w:hint="eastAsia" w:ascii="宋体" w:hAnsi="宋体" w:cs="宋体"/>
          <w:color w:val="auto"/>
          <w:highlight w:val="none"/>
        </w:rPr>
        <w:t>3、招标内容及要求：详见《采购标的一览表》及招标文件第五章。</w:t>
      </w:r>
    </w:p>
    <w:p w14:paraId="3FF73C4A">
      <w:pPr>
        <w:pStyle w:val="19"/>
        <w:widowControl/>
        <w:spacing w:before="75" w:beforeAutospacing="0" w:after="75" w:afterAutospacing="0" w:line="300" w:lineRule="exact"/>
        <w:ind w:firstLine="480"/>
        <w:rPr>
          <w:rFonts w:hint="eastAsia" w:ascii="宋体" w:hAnsi="宋体" w:cs="宋体"/>
          <w:color w:val="auto"/>
          <w:highlight w:val="none"/>
        </w:rPr>
      </w:pPr>
      <w:r>
        <w:rPr>
          <w:rFonts w:hint="eastAsia" w:ascii="宋体" w:hAnsi="宋体" w:cs="宋体"/>
          <w:color w:val="auto"/>
          <w:highlight w:val="none"/>
        </w:rPr>
        <w:t>4、需要落实的政府采购政策：</w:t>
      </w:r>
    </w:p>
    <w:p w14:paraId="63B1F6CD">
      <w:pPr>
        <w:ind w:firstLine="960"/>
        <w:jc w:val="left"/>
        <w:rPr>
          <w:rFonts w:hint="eastAsia" w:ascii="Calibri" w:hAnsi="Calibri" w:eastAsia="宋体" w:cs="Times New Roman"/>
          <w:color w:val="auto"/>
          <w:sz w:val="24"/>
          <w:szCs w:val="24"/>
          <w:highlight w:val="none"/>
          <w:lang w:val="en-US" w:eastAsia="zh-Hans"/>
        </w:rPr>
      </w:pPr>
      <w:r>
        <w:rPr>
          <w:rFonts w:hint="eastAsia" w:ascii="Calibri" w:hAnsi="Calibri" w:eastAsia="宋体" w:cs="Times New Roman"/>
          <w:color w:val="auto"/>
          <w:sz w:val="24"/>
          <w:szCs w:val="24"/>
          <w:highlight w:val="none"/>
          <w:lang w:val="en-US" w:eastAsia="zh-Hans"/>
        </w:rPr>
        <w:t>进口产品：不适用本项目</w:t>
      </w:r>
    </w:p>
    <w:p w14:paraId="25BDEABD">
      <w:pPr>
        <w:ind w:firstLine="960"/>
        <w:jc w:val="left"/>
        <w:rPr>
          <w:rFonts w:hint="eastAsia" w:ascii="Calibri" w:hAnsi="Calibri" w:eastAsia="宋体" w:cs="Times New Roman"/>
          <w:color w:val="auto"/>
          <w:sz w:val="24"/>
          <w:szCs w:val="24"/>
          <w:highlight w:val="none"/>
          <w:lang w:val="en-US" w:eastAsia="zh-Hans"/>
        </w:rPr>
      </w:pPr>
      <w:r>
        <w:rPr>
          <w:rFonts w:hint="eastAsia" w:ascii="Calibri" w:hAnsi="Calibri" w:eastAsia="宋体" w:cs="Times New Roman"/>
          <w:color w:val="auto"/>
          <w:sz w:val="24"/>
          <w:szCs w:val="24"/>
          <w:highlight w:val="none"/>
          <w:lang w:val="en-US" w:eastAsia="zh-Hans"/>
        </w:rPr>
        <w:t>节能产品：不适用本项目</w:t>
      </w:r>
    </w:p>
    <w:p w14:paraId="0ED63F22">
      <w:pPr>
        <w:ind w:firstLine="960"/>
        <w:jc w:val="left"/>
        <w:rPr>
          <w:rFonts w:hint="eastAsia" w:ascii="Calibri" w:hAnsi="Calibri" w:eastAsia="宋体" w:cs="Times New Roman"/>
          <w:color w:val="auto"/>
          <w:sz w:val="24"/>
          <w:szCs w:val="24"/>
          <w:highlight w:val="none"/>
          <w:lang w:val="en-US" w:eastAsia="zh-Hans"/>
        </w:rPr>
      </w:pPr>
      <w:r>
        <w:rPr>
          <w:rFonts w:hint="eastAsia" w:ascii="Calibri" w:hAnsi="Calibri" w:eastAsia="宋体" w:cs="Times New Roman"/>
          <w:color w:val="auto"/>
          <w:sz w:val="24"/>
          <w:szCs w:val="24"/>
          <w:highlight w:val="none"/>
          <w:lang w:val="en-US" w:eastAsia="zh-Hans"/>
        </w:rPr>
        <w:t>环境标志产品：不适用本项目</w:t>
      </w:r>
    </w:p>
    <w:p w14:paraId="7A60AF15">
      <w:pPr>
        <w:ind w:firstLine="960"/>
        <w:jc w:val="left"/>
        <w:rPr>
          <w:rFonts w:hint="eastAsia" w:ascii="Calibri" w:hAnsi="Calibri" w:eastAsia="宋体" w:cs="Times New Roman"/>
          <w:color w:val="auto"/>
          <w:sz w:val="24"/>
          <w:szCs w:val="24"/>
          <w:highlight w:val="none"/>
          <w:lang w:val="en-US" w:eastAsia="zh-Hans"/>
        </w:rPr>
      </w:pPr>
      <w:r>
        <w:rPr>
          <w:rFonts w:hint="eastAsia" w:ascii="Calibri" w:hAnsi="Calibri" w:eastAsia="宋体" w:cs="Times New Roman"/>
          <w:color w:val="auto"/>
          <w:sz w:val="24"/>
          <w:szCs w:val="24"/>
          <w:highlight w:val="none"/>
          <w:lang w:val="en-US" w:eastAsia="zh-Hans"/>
        </w:rPr>
        <w:t>促进中小企业发展的相关政策：</w:t>
      </w:r>
    </w:p>
    <w:p w14:paraId="740ECE47">
      <w:pPr>
        <w:ind w:firstLine="960"/>
        <w:jc w:val="left"/>
        <w:rPr>
          <w:rFonts w:hint="eastAsia" w:ascii="Calibri" w:hAnsi="Calibri" w:eastAsia="宋体" w:cs="Times New Roman"/>
          <w:color w:val="auto"/>
          <w:sz w:val="24"/>
          <w:szCs w:val="24"/>
          <w:highlight w:val="none"/>
          <w:lang w:val="en-US" w:eastAsia="zh-Hans"/>
        </w:rPr>
      </w:pPr>
      <w:r>
        <w:rPr>
          <w:rFonts w:hint="eastAsia" w:ascii="Calibri" w:hAnsi="Calibri" w:eastAsia="宋体" w:cs="Times New Roman"/>
          <w:color w:val="auto"/>
          <w:sz w:val="24"/>
          <w:szCs w:val="24"/>
          <w:highlight w:val="none"/>
          <w:lang w:val="en-US" w:eastAsia="zh-Hans"/>
        </w:rPr>
        <w:t>采购包1：专门采购包预留</w:t>
      </w:r>
    </w:p>
    <w:p w14:paraId="1E1774E3">
      <w:pPr>
        <w:jc w:val="left"/>
        <w:rPr>
          <w:rFonts w:hint="eastAsia" w:ascii="Calibri" w:hAnsi="Calibri" w:eastAsia="宋体" w:cs="Times New Roman"/>
          <w:color w:val="auto"/>
          <w:sz w:val="24"/>
          <w:szCs w:val="24"/>
          <w:highlight w:val="none"/>
          <w:lang w:val="en-US" w:eastAsia="zh-Hans"/>
        </w:rPr>
      </w:pPr>
      <w:r>
        <w:rPr>
          <w:rFonts w:hint="eastAsia" w:ascii="Calibri" w:hAnsi="Calibri" w:eastAsia="宋体" w:cs="Times New Roman"/>
          <w:color w:val="auto"/>
          <w:sz w:val="24"/>
          <w:szCs w:val="24"/>
          <w:highlight w:val="none"/>
          <w:lang w:val="en-US" w:eastAsia="zh-Hans"/>
        </w:rPr>
        <w:t>面向的企业规模：中小企业</w:t>
      </w:r>
    </w:p>
    <w:p w14:paraId="44FE625F">
      <w:pPr>
        <w:jc w:val="left"/>
        <w:rPr>
          <w:rFonts w:hint="eastAsia" w:ascii="Calibri" w:hAnsi="Calibri" w:eastAsia="宋体" w:cs="Times New Roman"/>
          <w:color w:val="auto"/>
          <w:sz w:val="24"/>
          <w:szCs w:val="24"/>
          <w:highlight w:val="none"/>
          <w:lang w:val="en-US" w:eastAsia="zh-Hans"/>
        </w:rPr>
      </w:pPr>
      <w:r>
        <w:rPr>
          <w:rFonts w:hint="eastAsia" w:ascii="Calibri" w:hAnsi="Calibri" w:eastAsia="宋体" w:cs="Times New Roman"/>
          <w:color w:val="auto"/>
          <w:sz w:val="24"/>
          <w:szCs w:val="24"/>
          <w:highlight w:val="none"/>
          <w:lang w:val="en-US" w:eastAsia="zh-Hans"/>
        </w:rPr>
        <w:t>预留形式：专门采购包预留</w:t>
      </w:r>
    </w:p>
    <w:p w14:paraId="3273C203">
      <w:pPr>
        <w:jc w:val="left"/>
        <w:rPr>
          <w:rFonts w:hint="eastAsia" w:ascii="Calibri" w:hAnsi="Calibri" w:eastAsia="宋体" w:cs="Times New Roman"/>
          <w:color w:val="auto"/>
          <w:sz w:val="24"/>
          <w:szCs w:val="24"/>
          <w:highlight w:val="none"/>
          <w:lang w:val="en-US" w:eastAsia="zh-Hans"/>
        </w:rPr>
      </w:pPr>
      <w:r>
        <w:rPr>
          <w:rFonts w:hint="eastAsia" w:ascii="Calibri" w:hAnsi="Calibri" w:eastAsia="宋体" w:cs="Times New Roman"/>
          <w:color w:val="auto"/>
          <w:sz w:val="24"/>
          <w:szCs w:val="24"/>
          <w:highlight w:val="none"/>
          <w:lang w:val="en-US" w:eastAsia="zh-Hans"/>
        </w:rPr>
        <w:t>预留比例：100%</w:t>
      </w:r>
    </w:p>
    <w:p w14:paraId="542432D4">
      <w:pPr>
        <w:pStyle w:val="19"/>
        <w:widowControl/>
        <w:spacing w:before="75" w:beforeAutospacing="0" w:after="75" w:afterAutospacing="0" w:line="300" w:lineRule="exact"/>
        <w:ind w:firstLine="480"/>
        <w:rPr>
          <w:color w:val="auto"/>
          <w:highlight w:val="none"/>
        </w:rPr>
      </w:pPr>
      <w:r>
        <w:rPr>
          <w:rFonts w:hint="eastAsia" w:ascii="宋体" w:hAnsi="宋体" w:cs="宋体"/>
          <w:color w:val="auto"/>
          <w:highlight w:val="none"/>
        </w:rPr>
        <w:t>5、投标人的资格要求</w:t>
      </w:r>
    </w:p>
    <w:p w14:paraId="7E9EB410">
      <w:pPr>
        <w:pStyle w:val="19"/>
        <w:widowControl/>
        <w:spacing w:before="75" w:beforeAutospacing="0" w:after="75" w:afterAutospacing="0" w:line="300" w:lineRule="exact"/>
        <w:ind w:firstLine="480"/>
        <w:rPr>
          <w:color w:val="auto"/>
          <w:highlight w:val="none"/>
        </w:rPr>
      </w:pPr>
      <w:r>
        <w:rPr>
          <w:rFonts w:hint="eastAsia" w:ascii="宋体" w:hAnsi="宋体" w:cs="宋体"/>
          <w:color w:val="auto"/>
          <w:highlight w:val="none"/>
        </w:rPr>
        <w:t>5.1法定条件：符合政府采购法第二十二条规定的条件。</w:t>
      </w:r>
    </w:p>
    <w:p w14:paraId="31C38A78">
      <w:pPr>
        <w:pStyle w:val="19"/>
        <w:widowControl/>
        <w:spacing w:before="75" w:beforeAutospacing="0" w:after="75" w:afterAutospacing="0" w:line="300" w:lineRule="exact"/>
        <w:ind w:firstLine="480"/>
        <w:rPr>
          <w:rFonts w:hint="eastAsia" w:ascii="宋体" w:hAnsi="宋体" w:cs="宋体"/>
          <w:color w:val="auto"/>
          <w:highlight w:val="none"/>
        </w:rPr>
      </w:pPr>
      <w:r>
        <w:rPr>
          <w:rFonts w:hint="eastAsia" w:ascii="宋体" w:hAnsi="宋体" w:cs="宋体"/>
          <w:color w:val="auto"/>
          <w:highlight w:val="none"/>
        </w:rPr>
        <w:t>5.2特定条件：</w:t>
      </w:r>
    </w:p>
    <w:p w14:paraId="7753F8E6">
      <w:pPr>
        <w:pStyle w:val="19"/>
        <w:widowControl/>
        <w:spacing w:before="75" w:beforeAutospacing="0" w:after="75" w:afterAutospacing="0" w:line="300" w:lineRule="exact"/>
        <w:ind w:firstLine="480"/>
        <w:rPr>
          <w:rFonts w:hint="eastAsia" w:ascii="宋体" w:hAnsi="宋体" w:eastAsia="宋体" w:cs="宋体"/>
          <w:color w:val="auto"/>
          <w:highlight w:val="none"/>
          <w:lang w:eastAsia="zh-CN"/>
        </w:rPr>
      </w:pPr>
      <w:r>
        <w:rPr>
          <w:rFonts w:hint="eastAsia" w:ascii="宋体" w:hAnsi="宋体" w:cs="宋体"/>
          <w:color w:val="auto"/>
          <w:highlight w:val="none"/>
          <w:lang w:val="en-US" w:eastAsia="zh-Hans"/>
        </w:rPr>
        <w:t>采购包1</w:t>
      </w:r>
      <w:r>
        <w:rPr>
          <w:rFonts w:hint="eastAsia" w:ascii="宋体" w:hAnsi="宋体" w:cs="宋体"/>
          <w:color w:val="auto"/>
          <w:highlight w:val="none"/>
          <w:lang w:val="en-US" w:eastAsia="zh-CN"/>
        </w:rPr>
        <w:t>：</w:t>
      </w:r>
    </w:p>
    <w:tbl>
      <w:tblPr>
        <w:tblStyle w:val="2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25"/>
        <w:gridCol w:w="6840"/>
      </w:tblGrid>
      <w:tr w14:paraId="253BDC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25" w:type="dxa"/>
          </w:tcPr>
          <w:p w14:paraId="152298D5">
            <w:pPr>
              <w:jc w:val="both"/>
              <w:rPr>
                <w:rFonts w:hint="eastAsia" w:ascii="Calibri" w:hAnsi="Calibri" w:eastAsia="宋体" w:cs="Times New Roman"/>
                <w:color w:val="auto"/>
                <w:sz w:val="24"/>
                <w:szCs w:val="24"/>
                <w:highlight w:val="none"/>
                <w:lang w:val="en-US" w:eastAsia="zh-Hans"/>
              </w:rPr>
            </w:pPr>
            <w:r>
              <w:rPr>
                <w:rFonts w:hint="eastAsia" w:ascii="Calibri" w:hAnsi="Calibri" w:eastAsia="宋体" w:cs="Times New Roman"/>
                <w:color w:val="auto"/>
                <w:sz w:val="24"/>
                <w:szCs w:val="24"/>
                <w:highlight w:val="none"/>
                <w:lang w:val="en-US" w:eastAsia="zh-Hans"/>
              </w:rPr>
              <w:t xml:space="preserve"> 资格审查要求概况</w:t>
            </w:r>
          </w:p>
        </w:tc>
        <w:tc>
          <w:tcPr>
            <w:tcW w:w="6840" w:type="dxa"/>
          </w:tcPr>
          <w:p w14:paraId="65917104">
            <w:pPr>
              <w:jc w:val="both"/>
              <w:rPr>
                <w:rFonts w:hint="eastAsia" w:ascii="Calibri" w:hAnsi="Calibri" w:eastAsia="宋体" w:cs="Times New Roman"/>
                <w:color w:val="auto"/>
                <w:sz w:val="24"/>
                <w:szCs w:val="24"/>
                <w:highlight w:val="none"/>
                <w:lang w:val="en-US" w:eastAsia="zh-Hans"/>
              </w:rPr>
            </w:pPr>
            <w:r>
              <w:rPr>
                <w:rFonts w:hint="eastAsia" w:ascii="Calibri" w:hAnsi="Calibri" w:eastAsia="宋体" w:cs="Times New Roman"/>
                <w:color w:val="auto"/>
                <w:sz w:val="24"/>
                <w:szCs w:val="24"/>
                <w:highlight w:val="none"/>
                <w:lang w:val="en-US" w:eastAsia="zh-Hans"/>
              </w:rPr>
              <w:t xml:space="preserve"> 评审点具体描述</w:t>
            </w:r>
          </w:p>
        </w:tc>
      </w:tr>
      <w:tr w14:paraId="1D43B1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25" w:type="dxa"/>
            <w:vAlign w:val="top"/>
          </w:tcPr>
          <w:p w14:paraId="4CF977F1">
            <w:pPr>
              <w:jc w:val="both"/>
              <w:rPr>
                <w:rFonts w:hint="eastAsia" w:ascii="Calibri" w:hAnsi="Calibri" w:eastAsia="宋体" w:cs="Times New Roman"/>
                <w:color w:val="auto"/>
                <w:sz w:val="24"/>
                <w:szCs w:val="24"/>
                <w:highlight w:val="none"/>
                <w:lang w:val="en-US" w:eastAsia="zh-Hans"/>
              </w:rPr>
            </w:pPr>
            <w:r>
              <w:rPr>
                <w:rFonts w:hint="eastAsia" w:ascii="Calibri" w:hAnsi="Calibri" w:eastAsia="宋体" w:cs="Times New Roman"/>
                <w:color w:val="auto"/>
                <w:sz w:val="24"/>
                <w:szCs w:val="24"/>
                <w:highlight w:val="none"/>
                <w:lang w:val="en-US" w:eastAsia="zh-Hans"/>
              </w:rPr>
              <w:t>资格承诺函</w:t>
            </w:r>
          </w:p>
        </w:tc>
        <w:tc>
          <w:tcPr>
            <w:tcW w:w="6840" w:type="dxa"/>
            <w:vAlign w:val="top"/>
          </w:tcPr>
          <w:p w14:paraId="1F8D6241">
            <w:pPr>
              <w:jc w:val="both"/>
              <w:rPr>
                <w:rFonts w:hint="eastAsia" w:ascii="Calibri" w:hAnsi="Calibri" w:eastAsia="宋体" w:cs="Times New Roman"/>
                <w:color w:val="auto"/>
                <w:sz w:val="24"/>
                <w:szCs w:val="24"/>
                <w:highlight w:val="none"/>
                <w:lang w:val="en-US" w:eastAsia="zh-Hans"/>
              </w:rPr>
            </w:pPr>
            <w:r>
              <w:rPr>
                <w:rFonts w:hint="eastAsia" w:ascii="Calibri" w:hAnsi="Calibri" w:eastAsia="宋体" w:cs="Times New Roman"/>
                <w:color w:val="auto"/>
                <w:sz w:val="24"/>
                <w:szCs w:val="24"/>
                <w:highlight w:val="none"/>
                <w:lang w:val="en-US" w:eastAsia="zh-Hans"/>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3C4517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25" w:type="dxa"/>
            <w:vAlign w:val="top"/>
          </w:tcPr>
          <w:p w14:paraId="27B9AEFB">
            <w:pPr>
              <w:jc w:val="both"/>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投标人经营（生产）许可证明</w:t>
            </w:r>
          </w:p>
        </w:tc>
        <w:tc>
          <w:tcPr>
            <w:tcW w:w="6840" w:type="dxa"/>
            <w:vAlign w:val="top"/>
          </w:tcPr>
          <w:p w14:paraId="42743D10">
            <w:pPr>
              <w:jc w:val="both"/>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(1)投标人须具备有效的《食品经营许可证》或《食品药品经营许可证》或《食品药品生产经营许可证》，须提供相关证件复印件。在投标截止时间前，如因国家政策调整，国家有关行政部门有颁发新的食品方面许可证书的，应从其规定，投标人须在投标文件中做出书面说明。</w:t>
            </w:r>
          </w:p>
        </w:tc>
      </w:tr>
      <w:tr w14:paraId="56B388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25" w:type="dxa"/>
            <w:vAlign w:val="top"/>
          </w:tcPr>
          <w:p w14:paraId="67F60D4E">
            <w:pPr>
              <w:jc w:val="both"/>
              <w:rPr>
                <w:rFonts w:hint="eastAsia" w:ascii="Calibri" w:hAnsi="Calibri" w:eastAsia="宋体" w:cs="Times New Roman"/>
                <w:color w:val="auto"/>
                <w:sz w:val="24"/>
                <w:szCs w:val="24"/>
                <w:highlight w:val="none"/>
                <w:lang w:val="en-US" w:eastAsia="zh-Hans"/>
              </w:rPr>
            </w:pPr>
            <w:r>
              <w:rPr>
                <w:rFonts w:hint="eastAsia" w:ascii="Calibri" w:hAnsi="Calibri" w:eastAsia="宋体" w:cs="Times New Roman"/>
                <w:color w:val="auto"/>
                <w:sz w:val="24"/>
                <w:szCs w:val="24"/>
                <w:highlight w:val="none"/>
                <w:lang w:val="en-US" w:eastAsia="zh-Hans"/>
              </w:rPr>
              <w:t>本采购包属于专门面向中小企业采购。</w:t>
            </w:r>
          </w:p>
        </w:tc>
        <w:tc>
          <w:tcPr>
            <w:tcW w:w="6840" w:type="dxa"/>
            <w:vAlign w:val="top"/>
          </w:tcPr>
          <w:p w14:paraId="25905D9D">
            <w:pPr>
              <w:jc w:val="both"/>
              <w:rPr>
                <w:rFonts w:hint="eastAsia" w:ascii="Calibri" w:hAnsi="Calibri" w:eastAsia="宋体" w:cs="Times New Roman"/>
                <w:color w:val="auto"/>
                <w:sz w:val="24"/>
                <w:szCs w:val="24"/>
                <w:highlight w:val="none"/>
                <w:lang w:val="en-US" w:eastAsia="zh-Hans"/>
              </w:rPr>
            </w:pPr>
            <w:r>
              <w:rPr>
                <w:rFonts w:hint="eastAsia" w:ascii="Calibri" w:hAnsi="Calibri" w:eastAsia="宋体" w:cs="Times New Roman"/>
                <w:color w:val="auto"/>
                <w:sz w:val="24"/>
                <w:szCs w:val="24"/>
                <w:highlight w:val="none"/>
                <w:lang w:val="en-US" w:eastAsia="zh-Hans"/>
              </w:rPr>
              <w:t>本采购包为专门面向中小企业采购，投标人须提供中小企业声明函。监狱企业、残疾人福利性单位视同小型、微型企业。</w:t>
            </w:r>
          </w:p>
        </w:tc>
      </w:tr>
    </w:tbl>
    <w:p w14:paraId="6611F4BE">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400" w:lineRule="exact"/>
        <w:ind w:firstLine="480"/>
        <w:textAlignment w:val="auto"/>
        <w:rPr>
          <w:rFonts w:hint="eastAsia" w:ascii="宋体" w:hAnsi="宋体" w:cs="宋体"/>
          <w:color w:val="auto"/>
          <w:highlight w:val="none"/>
        </w:rPr>
      </w:pPr>
      <w:r>
        <w:rPr>
          <w:rFonts w:hint="eastAsia" w:ascii="宋体" w:hAnsi="宋体" w:cs="宋体"/>
          <w:color w:val="auto"/>
          <w:highlight w:val="none"/>
        </w:rPr>
        <w:t>5.3是否接受联合体投标：</w:t>
      </w:r>
    </w:p>
    <w:p w14:paraId="18CF1E37">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Calibri" w:hAnsi="Calibri" w:eastAsia="宋体" w:cs="Times New Roman"/>
          <w:color w:val="auto"/>
          <w:sz w:val="24"/>
          <w:szCs w:val="24"/>
          <w:highlight w:val="none"/>
          <w:lang w:val="en-US" w:eastAsia="zh-Hans"/>
        </w:rPr>
      </w:pPr>
      <w:r>
        <w:rPr>
          <w:rFonts w:hint="eastAsia" w:ascii="Calibri" w:hAnsi="Calibri" w:eastAsia="宋体" w:cs="Times New Roman"/>
          <w:color w:val="auto"/>
          <w:sz w:val="24"/>
          <w:szCs w:val="24"/>
          <w:highlight w:val="none"/>
          <w:lang w:val="en-US" w:eastAsia="zh-Hans"/>
        </w:rPr>
        <w:t>采购包1：不接受</w:t>
      </w:r>
    </w:p>
    <w:p w14:paraId="0C77539D">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400" w:lineRule="exact"/>
        <w:ind w:firstLine="480"/>
        <w:textAlignment w:val="auto"/>
        <w:rPr>
          <w:color w:val="auto"/>
          <w:highlight w:val="none"/>
        </w:rPr>
      </w:pPr>
      <w:r>
        <w:rPr>
          <w:rStyle w:val="26"/>
          <w:rFonts w:hint="eastAsia" w:ascii="宋体" w:hAnsi="宋体" w:cs="宋体"/>
          <w:color w:val="auto"/>
          <w:highlight w:val="none"/>
        </w:rPr>
        <w:t>※根据上述资格要求，投标文件中应提交的“投标人的资格及资信证明文件”详见招标文件第四章。</w:t>
      </w:r>
    </w:p>
    <w:p w14:paraId="7384411B">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400" w:lineRule="exact"/>
        <w:ind w:firstLine="480"/>
        <w:textAlignment w:val="auto"/>
        <w:rPr>
          <w:color w:val="auto"/>
          <w:highlight w:val="none"/>
        </w:rPr>
      </w:pPr>
      <w:r>
        <w:rPr>
          <w:rFonts w:hint="eastAsia" w:ascii="宋体" w:hAnsi="宋体" w:cs="宋体"/>
          <w:color w:val="auto"/>
          <w:highlight w:val="none"/>
        </w:rPr>
        <w:t>6、招标文件的获取</w:t>
      </w:r>
    </w:p>
    <w:p w14:paraId="42B90042">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400" w:lineRule="exact"/>
        <w:ind w:firstLine="480"/>
        <w:textAlignment w:val="auto"/>
        <w:rPr>
          <w:color w:val="auto"/>
          <w:highlight w:val="none"/>
        </w:rPr>
      </w:pPr>
      <w:r>
        <w:rPr>
          <w:rFonts w:hint="eastAsia" w:ascii="宋体" w:hAnsi="宋体" w:cs="宋体"/>
          <w:color w:val="auto"/>
          <w:highlight w:val="none"/>
        </w:rPr>
        <w:t>6.1、招标文件获取期限：详见招标公告或更正公告，若不一致，以更正公告为准。</w:t>
      </w:r>
    </w:p>
    <w:p w14:paraId="04893EDD">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400" w:lineRule="exact"/>
        <w:ind w:firstLine="480"/>
        <w:textAlignment w:val="auto"/>
        <w:rPr>
          <w:color w:val="auto"/>
          <w:highlight w:val="none"/>
        </w:rPr>
      </w:pPr>
      <w:r>
        <w:rPr>
          <w:rFonts w:hint="eastAsia" w:ascii="宋体" w:hAnsi="宋体" w:cs="宋体"/>
          <w:color w:val="auto"/>
          <w:highlight w:val="none"/>
        </w:rPr>
        <w:t>6.2、获取地点及方式：详见招标公告或更正公告，若不一致，以更正公告为准。</w:t>
      </w:r>
    </w:p>
    <w:p w14:paraId="3C71795A">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400" w:lineRule="exact"/>
        <w:ind w:firstLine="480"/>
        <w:textAlignment w:val="auto"/>
        <w:rPr>
          <w:color w:val="auto"/>
          <w:highlight w:val="none"/>
        </w:rPr>
      </w:pPr>
      <w:r>
        <w:rPr>
          <w:rFonts w:hint="eastAsia" w:ascii="宋体" w:hAnsi="宋体" w:cs="宋体"/>
          <w:color w:val="auto"/>
          <w:highlight w:val="none"/>
        </w:rPr>
        <w:t>6.3、招标文件售价：100元。</w:t>
      </w:r>
    </w:p>
    <w:p w14:paraId="7AA911EB">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400" w:lineRule="exact"/>
        <w:ind w:firstLine="480"/>
        <w:textAlignment w:val="auto"/>
        <w:rPr>
          <w:color w:val="auto"/>
          <w:highlight w:val="none"/>
        </w:rPr>
      </w:pPr>
      <w:r>
        <w:rPr>
          <w:rFonts w:hint="eastAsia" w:ascii="宋体" w:hAnsi="宋体" w:cs="宋体"/>
          <w:color w:val="auto"/>
          <w:highlight w:val="none"/>
        </w:rPr>
        <w:t>7、投标截止</w:t>
      </w:r>
    </w:p>
    <w:p w14:paraId="0E3585D3">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400" w:lineRule="exact"/>
        <w:ind w:firstLine="480"/>
        <w:textAlignment w:val="auto"/>
        <w:rPr>
          <w:color w:val="auto"/>
          <w:highlight w:val="none"/>
        </w:rPr>
      </w:pPr>
      <w:r>
        <w:rPr>
          <w:rFonts w:hint="eastAsia" w:ascii="宋体" w:hAnsi="宋体" w:cs="宋体"/>
          <w:color w:val="auto"/>
          <w:highlight w:val="none"/>
        </w:rPr>
        <w:t>7.1、投标截止时间：详见招标公告或更正公告，若不一致，以更正公告为准。</w:t>
      </w:r>
    </w:p>
    <w:p w14:paraId="5C855CA4">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400" w:lineRule="exact"/>
        <w:ind w:firstLine="480"/>
        <w:textAlignment w:val="auto"/>
        <w:rPr>
          <w:color w:val="auto"/>
          <w:highlight w:val="none"/>
        </w:rPr>
      </w:pPr>
      <w:r>
        <w:rPr>
          <w:rFonts w:hint="eastAsia" w:ascii="宋体" w:hAnsi="宋体" w:cs="宋体"/>
          <w:color w:val="auto"/>
          <w:highlight w:val="none"/>
        </w:rPr>
        <w:t>7.2、投标人应在投标截止时间前将密封的投标文件提交至指定地点，否则</w:t>
      </w:r>
      <w:r>
        <w:rPr>
          <w:rStyle w:val="26"/>
          <w:rFonts w:hint="eastAsia" w:ascii="宋体" w:hAnsi="宋体" w:cs="宋体"/>
          <w:color w:val="auto"/>
          <w:highlight w:val="none"/>
        </w:rPr>
        <w:t>投标将被拒绝。</w:t>
      </w:r>
    </w:p>
    <w:p w14:paraId="71D9F363">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400" w:lineRule="exact"/>
        <w:ind w:firstLine="480"/>
        <w:textAlignment w:val="auto"/>
        <w:rPr>
          <w:color w:val="auto"/>
          <w:highlight w:val="none"/>
        </w:rPr>
      </w:pPr>
      <w:r>
        <w:rPr>
          <w:rFonts w:hint="eastAsia" w:ascii="宋体" w:hAnsi="宋体" w:cs="宋体"/>
          <w:color w:val="auto"/>
          <w:highlight w:val="none"/>
        </w:rPr>
        <w:t>8、开标时间及地点：详见招标公告或更正公告，若不一致，以更正公告为准。</w:t>
      </w:r>
      <w:r>
        <w:rPr>
          <w:rStyle w:val="26"/>
          <w:rFonts w:hint="eastAsia" w:ascii="宋体" w:hAnsi="宋体" w:cs="宋体"/>
          <w:color w:val="auto"/>
          <w:highlight w:val="none"/>
        </w:rPr>
        <w:t> </w:t>
      </w:r>
    </w:p>
    <w:p w14:paraId="3D986773">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400" w:lineRule="exact"/>
        <w:ind w:firstLine="480"/>
        <w:textAlignment w:val="auto"/>
        <w:rPr>
          <w:color w:val="auto"/>
          <w:highlight w:val="none"/>
        </w:rPr>
      </w:pPr>
      <w:r>
        <w:rPr>
          <w:rFonts w:hint="eastAsia" w:ascii="宋体" w:hAnsi="宋体" w:cs="宋体"/>
          <w:color w:val="auto"/>
          <w:highlight w:val="none"/>
        </w:rPr>
        <w:t>9、公告期限</w:t>
      </w:r>
    </w:p>
    <w:p w14:paraId="09CCCBA6">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400" w:lineRule="exact"/>
        <w:ind w:firstLine="480"/>
        <w:textAlignment w:val="auto"/>
        <w:rPr>
          <w:color w:val="auto"/>
          <w:highlight w:val="none"/>
        </w:rPr>
      </w:pPr>
      <w:r>
        <w:rPr>
          <w:rFonts w:hint="eastAsia" w:ascii="宋体" w:hAnsi="宋体" w:cs="宋体"/>
          <w:color w:val="auto"/>
          <w:highlight w:val="none"/>
        </w:rPr>
        <w:t>9.1、招标公告的公告期限：以中国政府采购网发布公告之日起</w:t>
      </w:r>
      <w:r>
        <w:rPr>
          <w:color w:val="auto"/>
          <w:highlight w:val="none"/>
        </w:rPr>
        <w:t>5</w:t>
      </w:r>
      <w:r>
        <w:rPr>
          <w:rFonts w:hint="eastAsia" w:ascii="宋体" w:hAnsi="宋体" w:cs="宋体"/>
          <w:color w:val="auto"/>
          <w:highlight w:val="none"/>
        </w:rPr>
        <w:t>个工作日。</w:t>
      </w:r>
    </w:p>
    <w:p w14:paraId="4E4AF242">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400" w:lineRule="exact"/>
        <w:ind w:firstLine="480"/>
        <w:textAlignment w:val="auto"/>
        <w:rPr>
          <w:color w:val="auto"/>
          <w:highlight w:val="none"/>
        </w:rPr>
      </w:pPr>
      <w:r>
        <w:rPr>
          <w:rFonts w:hint="eastAsia" w:ascii="宋体" w:hAnsi="宋体" w:cs="宋体"/>
          <w:color w:val="auto"/>
          <w:highlight w:val="none"/>
        </w:rPr>
        <w:t>9.2、招标文件公告期限：招标文件公告期限与招标公告的公告期限一致。</w:t>
      </w:r>
    </w:p>
    <w:p w14:paraId="420C732D">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400" w:lineRule="exact"/>
        <w:ind w:firstLine="480"/>
        <w:textAlignment w:val="auto"/>
        <w:rPr>
          <w:rFonts w:hint="eastAsia" w:ascii="宋体" w:hAnsi="宋体" w:cs="宋体"/>
          <w:color w:val="auto"/>
          <w:highlight w:val="none"/>
          <w:lang w:eastAsia="zh-CN"/>
        </w:rPr>
      </w:pPr>
      <w:r>
        <w:rPr>
          <w:rFonts w:hint="eastAsia" w:ascii="宋体" w:hAnsi="宋体" w:cs="宋体"/>
          <w:color w:val="auto"/>
          <w:highlight w:val="none"/>
        </w:rPr>
        <w:t>10、采购人：</w:t>
      </w:r>
      <w:r>
        <w:rPr>
          <w:rFonts w:hint="eastAsia" w:ascii="宋体" w:hAnsi="宋体" w:cs="宋体"/>
          <w:color w:val="auto"/>
          <w:highlight w:val="none"/>
          <w:lang w:eastAsia="zh-CN"/>
        </w:rPr>
        <w:t>湄洲湾职业技术学院</w:t>
      </w:r>
    </w:p>
    <w:p w14:paraId="0C453EC3">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400" w:lineRule="exact"/>
        <w:ind w:firstLine="480"/>
        <w:textAlignment w:val="auto"/>
        <w:rPr>
          <w:rFonts w:hint="eastAsia" w:ascii="宋体" w:hAnsi="宋体" w:eastAsia="宋体" w:cs="宋体"/>
          <w:color w:val="auto"/>
          <w:highlight w:val="none"/>
          <w:lang w:eastAsia="zh-CN"/>
        </w:rPr>
      </w:pPr>
      <w:r>
        <w:rPr>
          <w:rFonts w:hint="eastAsia" w:ascii="宋体" w:hAnsi="宋体" w:cs="宋体"/>
          <w:color w:val="auto"/>
          <w:highlight w:val="none"/>
        </w:rPr>
        <w:t>地址：</w:t>
      </w:r>
      <w:r>
        <w:rPr>
          <w:rFonts w:ascii="宋体" w:hAnsi="宋体" w:eastAsia="宋体" w:cs="宋体"/>
          <w:color w:val="auto"/>
          <w:sz w:val="24"/>
          <w:szCs w:val="24"/>
          <w:highlight w:val="none"/>
        </w:rPr>
        <w:t>福建省莆田市涵江区梧塘镇荔涵东大道1001号</w:t>
      </w:r>
      <w:r>
        <w:rPr>
          <w:rFonts w:hint="eastAsia" w:ascii="宋体" w:hAnsi="宋体" w:cs="宋体"/>
          <w:color w:val="auto"/>
          <w:highlight w:val="none"/>
          <w:lang w:val="en-US" w:eastAsia="zh-CN"/>
        </w:rPr>
        <w:t xml:space="preserve"> </w:t>
      </w:r>
    </w:p>
    <w:p w14:paraId="434C93A3">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400" w:lineRule="exact"/>
        <w:ind w:firstLine="480"/>
        <w:textAlignment w:val="auto"/>
        <w:rPr>
          <w:rFonts w:hint="default" w:ascii="宋体" w:hAnsi="宋体" w:cs="宋体"/>
          <w:color w:val="auto"/>
          <w:highlight w:val="none"/>
          <w:lang w:val="en-US" w:eastAsia="zh-CN"/>
        </w:rPr>
      </w:pPr>
      <w:r>
        <w:rPr>
          <w:rFonts w:hint="eastAsia" w:ascii="宋体" w:hAnsi="宋体" w:cs="宋体"/>
          <w:color w:val="auto"/>
          <w:highlight w:val="none"/>
        </w:rPr>
        <w:t>联系方法：</w:t>
      </w:r>
      <w:r>
        <w:rPr>
          <w:rFonts w:hint="eastAsia" w:ascii="宋体" w:hAnsi="宋体" w:cs="宋体"/>
          <w:color w:val="auto"/>
          <w:highlight w:val="none"/>
          <w:lang w:val="en-US" w:eastAsia="zh-CN"/>
        </w:rPr>
        <w:t xml:space="preserve">杨老师/13599456159 </w:t>
      </w:r>
    </w:p>
    <w:p w14:paraId="50D9595D">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400" w:lineRule="exact"/>
        <w:ind w:firstLine="480"/>
        <w:textAlignment w:val="auto"/>
        <w:rPr>
          <w:color w:val="auto"/>
          <w:highlight w:val="none"/>
        </w:rPr>
      </w:pPr>
      <w:r>
        <w:rPr>
          <w:rFonts w:hint="eastAsia" w:ascii="宋体" w:hAnsi="宋体" w:cs="宋体"/>
          <w:color w:val="auto"/>
          <w:highlight w:val="none"/>
        </w:rPr>
        <w:t>11、代理机构：福建亿立项目管理有限公司</w:t>
      </w:r>
    </w:p>
    <w:p w14:paraId="2E138775">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400" w:lineRule="exact"/>
        <w:ind w:firstLine="480"/>
        <w:textAlignment w:val="auto"/>
        <w:rPr>
          <w:color w:val="auto"/>
          <w:highlight w:val="none"/>
        </w:rPr>
      </w:pPr>
      <w:r>
        <w:rPr>
          <w:rFonts w:hint="eastAsia" w:ascii="宋体" w:hAnsi="宋体" w:cs="宋体"/>
          <w:color w:val="auto"/>
          <w:highlight w:val="none"/>
        </w:rPr>
        <w:t>地址：莆田市城厢区霞林街道壶山西路572弄1号9梯214室</w:t>
      </w:r>
    </w:p>
    <w:p w14:paraId="20F66B66">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400" w:lineRule="exact"/>
        <w:ind w:firstLine="480"/>
        <w:textAlignment w:val="auto"/>
        <w:rPr>
          <w:color w:val="auto"/>
          <w:highlight w:val="none"/>
        </w:rPr>
      </w:pPr>
      <w:r>
        <w:rPr>
          <w:rFonts w:hint="eastAsia" w:ascii="宋体" w:hAnsi="宋体" w:cs="宋体"/>
          <w:color w:val="auto"/>
          <w:highlight w:val="none"/>
        </w:rPr>
        <w:t>联系方法：黄女士/0594-2589989</w:t>
      </w:r>
    </w:p>
    <w:p w14:paraId="5E2FD923">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400" w:lineRule="exact"/>
        <w:textAlignment w:val="auto"/>
        <w:rPr>
          <w:color w:val="auto"/>
          <w:highlight w:val="none"/>
        </w:rPr>
      </w:pPr>
      <w:r>
        <w:rPr>
          <w:color w:val="auto"/>
          <w:highlight w:val="none"/>
        </w:rPr>
        <w:t> </w:t>
      </w:r>
    </w:p>
    <w:p w14:paraId="79ACF797">
      <w:pPr>
        <w:pStyle w:val="19"/>
        <w:widowControl/>
        <w:spacing w:before="75" w:beforeAutospacing="0" w:after="75" w:afterAutospacing="0"/>
        <w:rPr>
          <w:color w:val="auto"/>
          <w:highlight w:val="none"/>
        </w:rPr>
      </w:pPr>
    </w:p>
    <w:p w14:paraId="5EB039BF">
      <w:pPr>
        <w:pStyle w:val="19"/>
        <w:widowControl/>
        <w:spacing w:before="75" w:beforeAutospacing="0" w:after="75" w:afterAutospacing="0"/>
        <w:rPr>
          <w:rFonts w:hint="eastAsia" w:ascii="宋体" w:hAnsi="宋体" w:cs="宋体"/>
          <w:color w:val="auto"/>
          <w:highlight w:val="none"/>
        </w:rPr>
      </w:pPr>
    </w:p>
    <w:p w14:paraId="2666DF43">
      <w:pPr>
        <w:pStyle w:val="19"/>
        <w:widowControl/>
        <w:spacing w:before="75" w:beforeAutospacing="0" w:after="75" w:afterAutospacing="0"/>
        <w:rPr>
          <w:color w:val="auto"/>
          <w:highlight w:val="none"/>
        </w:rPr>
      </w:pPr>
      <w:r>
        <w:rPr>
          <w:rFonts w:hint="eastAsia" w:ascii="宋体" w:hAnsi="宋体" w:cs="宋体"/>
          <w:color w:val="auto"/>
          <w:highlight w:val="none"/>
        </w:rPr>
        <w:t>附1：账户信息</w:t>
      </w:r>
    </w:p>
    <w:tbl>
      <w:tblPr>
        <w:tblStyle w:val="23"/>
        <w:tblW w:w="962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620"/>
      </w:tblGrid>
      <w:tr w14:paraId="08CC3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2" w:hRule="atLeast"/>
          <w:tblCellSpacing w:w="15" w:type="dxa"/>
        </w:trPr>
        <w:tc>
          <w:tcPr>
            <w:tcW w:w="9620" w:type="dxa"/>
            <w:shd w:val="clear" w:color="auto" w:fill="auto"/>
            <w:tcMar>
              <w:top w:w="0" w:type="dxa"/>
              <w:left w:w="105" w:type="dxa"/>
              <w:bottom w:w="0" w:type="dxa"/>
              <w:right w:w="105" w:type="dxa"/>
            </w:tcMar>
            <w:vAlign w:val="center"/>
          </w:tcPr>
          <w:p w14:paraId="093FDA07">
            <w:pPr>
              <w:pStyle w:val="19"/>
              <w:widowControl/>
              <w:spacing w:before="0" w:beforeAutospacing="0" w:after="0" w:afterAutospacing="0"/>
              <w:jc w:val="center"/>
              <w:rPr>
                <w:color w:val="auto"/>
                <w:highlight w:val="none"/>
              </w:rPr>
            </w:pPr>
            <w:r>
              <w:rPr>
                <w:rStyle w:val="26"/>
                <w:rFonts w:hint="eastAsia" w:ascii="宋体" w:hAnsi="宋体" w:cs="宋体"/>
                <w:color w:val="auto"/>
                <w:highlight w:val="none"/>
              </w:rPr>
              <w:t>投标保证金账户</w:t>
            </w:r>
          </w:p>
        </w:tc>
      </w:tr>
      <w:tr w14:paraId="30EBE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1" w:hRule="atLeast"/>
          <w:tblCellSpacing w:w="15" w:type="dxa"/>
        </w:trPr>
        <w:tc>
          <w:tcPr>
            <w:tcW w:w="9620" w:type="dxa"/>
            <w:shd w:val="clear" w:color="auto" w:fill="auto"/>
            <w:tcMar>
              <w:top w:w="0" w:type="dxa"/>
              <w:left w:w="105" w:type="dxa"/>
              <w:bottom w:w="0" w:type="dxa"/>
              <w:right w:w="105" w:type="dxa"/>
            </w:tcMar>
            <w:vAlign w:val="center"/>
          </w:tcPr>
          <w:p w14:paraId="29AAAA25">
            <w:pPr>
              <w:pStyle w:val="19"/>
              <w:widowControl/>
              <w:spacing w:before="0" w:beforeAutospacing="0" w:after="0" w:afterAutospacing="0"/>
              <w:jc w:val="both"/>
              <w:rPr>
                <w:color w:val="auto"/>
                <w:highlight w:val="none"/>
              </w:rPr>
            </w:pPr>
            <w:r>
              <w:rPr>
                <w:rFonts w:hint="eastAsia" w:ascii="宋体" w:hAnsi="宋体" w:cs="宋体"/>
                <w:color w:val="auto"/>
                <w:highlight w:val="none"/>
              </w:rPr>
              <w:t>开户名称：</w:t>
            </w:r>
            <w:r>
              <w:rPr>
                <w:rFonts w:hint="eastAsia" w:ascii="宋体" w:hAnsi="宋体" w:cs="宋体"/>
                <w:color w:val="auto"/>
                <w:highlight w:val="none"/>
                <w:u w:val="none"/>
                <w:shd w:val="clear" w:color="auto" w:fill="FFFFFF"/>
              </w:rPr>
              <w:t>福建亿立项目管理有限公司</w:t>
            </w:r>
          </w:p>
        </w:tc>
      </w:tr>
      <w:tr w14:paraId="3A3CF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7" w:hRule="atLeast"/>
          <w:tblCellSpacing w:w="15" w:type="dxa"/>
        </w:trPr>
        <w:tc>
          <w:tcPr>
            <w:tcW w:w="9620" w:type="dxa"/>
            <w:shd w:val="clear" w:color="auto" w:fill="auto"/>
            <w:tcMar>
              <w:top w:w="0" w:type="dxa"/>
              <w:left w:w="105" w:type="dxa"/>
              <w:bottom w:w="0" w:type="dxa"/>
              <w:right w:w="105" w:type="dxa"/>
            </w:tcMar>
            <w:vAlign w:val="center"/>
          </w:tcPr>
          <w:p w14:paraId="4F4B911F">
            <w:pPr>
              <w:pStyle w:val="19"/>
              <w:widowControl/>
              <w:spacing w:before="0" w:beforeAutospacing="0" w:after="0" w:afterAutospacing="0"/>
              <w:jc w:val="both"/>
              <w:rPr>
                <w:color w:val="auto"/>
                <w:highlight w:val="none"/>
              </w:rPr>
            </w:pPr>
            <w:r>
              <w:rPr>
                <w:rFonts w:hint="eastAsia" w:ascii="宋体" w:hAnsi="宋体" w:cs="宋体"/>
                <w:color w:val="auto"/>
                <w:highlight w:val="none"/>
              </w:rPr>
              <w:t>开户银行：工行莆田南门支行。</w:t>
            </w:r>
          </w:p>
        </w:tc>
      </w:tr>
      <w:tr w14:paraId="41388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8" w:hRule="atLeast"/>
          <w:tblCellSpacing w:w="15" w:type="dxa"/>
        </w:trPr>
        <w:tc>
          <w:tcPr>
            <w:tcW w:w="9620" w:type="dxa"/>
            <w:shd w:val="clear" w:color="auto" w:fill="auto"/>
            <w:tcMar>
              <w:top w:w="0" w:type="dxa"/>
              <w:left w:w="105" w:type="dxa"/>
              <w:bottom w:w="0" w:type="dxa"/>
              <w:right w:w="105" w:type="dxa"/>
            </w:tcMar>
            <w:vAlign w:val="center"/>
          </w:tcPr>
          <w:p w14:paraId="7B8A420D">
            <w:pPr>
              <w:pStyle w:val="19"/>
              <w:widowControl/>
              <w:spacing w:before="0" w:beforeAutospacing="0" w:after="0" w:afterAutospacing="0"/>
              <w:jc w:val="both"/>
              <w:rPr>
                <w:color w:val="auto"/>
                <w:highlight w:val="none"/>
              </w:rPr>
            </w:pPr>
            <w:r>
              <w:rPr>
                <w:rFonts w:hint="eastAsia" w:ascii="宋体" w:hAnsi="宋体" w:cs="宋体"/>
                <w:color w:val="auto"/>
                <w:highlight w:val="none"/>
              </w:rPr>
              <w:t>银行账号：1405 5012 1900 0043 621（仅用于缴纳投标保证金）</w:t>
            </w:r>
          </w:p>
        </w:tc>
      </w:tr>
      <w:tr w14:paraId="778FC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1" w:hRule="atLeast"/>
          <w:tblCellSpacing w:w="15" w:type="dxa"/>
        </w:trPr>
        <w:tc>
          <w:tcPr>
            <w:tcW w:w="9620" w:type="dxa"/>
            <w:shd w:val="clear" w:color="auto" w:fill="auto"/>
            <w:tcMar>
              <w:top w:w="0" w:type="dxa"/>
              <w:left w:w="105" w:type="dxa"/>
              <w:bottom w:w="0" w:type="dxa"/>
              <w:right w:w="105" w:type="dxa"/>
            </w:tcMar>
            <w:vAlign w:val="center"/>
          </w:tcPr>
          <w:p w14:paraId="716CED3A">
            <w:pPr>
              <w:pStyle w:val="19"/>
              <w:widowControl/>
              <w:spacing w:before="0" w:beforeAutospacing="0" w:after="0" w:afterAutospacing="0"/>
              <w:jc w:val="center"/>
              <w:rPr>
                <w:color w:val="auto"/>
                <w:highlight w:val="none"/>
              </w:rPr>
            </w:pPr>
            <w:r>
              <w:rPr>
                <w:rStyle w:val="26"/>
                <w:rFonts w:hint="eastAsia" w:ascii="宋体" w:hAnsi="宋体" w:cs="宋体"/>
                <w:color w:val="auto"/>
                <w:highlight w:val="none"/>
              </w:rPr>
              <w:t>特别提示</w:t>
            </w:r>
          </w:p>
        </w:tc>
      </w:tr>
      <w:tr w14:paraId="5D87F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59" w:hRule="atLeast"/>
          <w:tblCellSpacing w:w="15" w:type="dxa"/>
        </w:trPr>
        <w:tc>
          <w:tcPr>
            <w:tcW w:w="9620" w:type="dxa"/>
            <w:shd w:val="clear" w:color="auto" w:fill="auto"/>
            <w:tcMar>
              <w:top w:w="0" w:type="dxa"/>
              <w:left w:w="105" w:type="dxa"/>
              <w:bottom w:w="0" w:type="dxa"/>
              <w:right w:w="105" w:type="dxa"/>
            </w:tcMar>
          </w:tcPr>
          <w:p w14:paraId="02B7A892">
            <w:pPr>
              <w:pStyle w:val="19"/>
              <w:widowControl/>
              <w:spacing w:before="0" w:beforeAutospacing="0" w:after="0" w:afterAutospacing="0"/>
              <w:rPr>
                <w:color w:val="auto"/>
                <w:highlight w:val="none"/>
              </w:rPr>
            </w:pPr>
            <w:r>
              <w:rPr>
                <w:rFonts w:hint="eastAsia" w:ascii="宋体" w:hAnsi="宋体" w:cs="宋体"/>
                <w:color w:val="auto"/>
                <w:highlight w:val="none"/>
              </w:rPr>
              <w:t>1、投标人应认真核对账户信息，将投标保证金汇入以上账户，并自行承担因汇错投标保证金而产生的一切后果。</w:t>
            </w:r>
          </w:p>
          <w:p w14:paraId="23776B28">
            <w:pPr>
              <w:pStyle w:val="19"/>
              <w:widowControl/>
              <w:spacing w:before="0" w:beforeAutospacing="0" w:after="0" w:afterAutospacing="0"/>
              <w:rPr>
                <w:color w:val="auto"/>
                <w:highlight w:val="none"/>
              </w:rPr>
            </w:pPr>
            <w:r>
              <w:rPr>
                <w:rFonts w:hint="eastAsia" w:ascii="宋体" w:hAnsi="宋体" w:cs="宋体"/>
                <w:color w:val="auto"/>
                <w:highlight w:val="none"/>
              </w:rPr>
              <w:t>2、投标人在转账或电汇的凭证上应按照以下格式注明，以便核对：“（项目编号：</w:t>
            </w:r>
            <w:r>
              <w:rPr>
                <w:color w:val="auto"/>
                <w:highlight w:val="none"/>
              </w:rPr>
              <w:t>***</w:t>
            </w:r>
            <w:r>
              <w:rPr>
                <w:rFonts w:hint="eastAsia" w:ascii="宋体" w:hAnsi="宋体" w:cs="宋体"/>
                <w:color w:val="auto"/>
                <w:highlight w:val="none"/>
              </w:rPr>
              <w:t>）的投标保证金”。</w:t>
            </w:r>
          </w:p>
        </w:tc>
      </w:tr>
    </w:tbl>
    <w:p w14:paraId="1B63B671">
      <w:pPr>
        <w:pStyle w:val="19"/>
        <w:widowControl/>
        <w:spacing w:before="75" w:beforeAutospacing="0" w:after="75" w:afterAutospacing="0"/>
        <w:ind w:firstLine="480"/>
        <w:rPr>
          <w:color w:val="auto"/>
          <w:highlight w:val="none"/>
        </w:rPr>
      </w:pPr>
      <w:r>
        <w:rPr>
          <w:color w:val="auto"/>
          <w:highlight w:val="none"/>
        </w:rPr>
        <w:t> </w:t>
      </w:r>
    </w:p>
    <w:p w14:paraId="096E6E28">
      <w:pPr>
        <w:pStyle w:val="19"/>
        <w:widowControl/>
        <w:spacing w:before="75" w:beforeAutospacing="0" w:after="75" w:afterAutospacing="0"/>
        <w:rPr>
          <w:color w:val="auto"/>
          <w:highlight w:val="none"/>
        </w:rPr>
      </w:pPr>
      <w:r>
        <w:rPr>
          <w:color w:val="auto"/>
          <w:highlight w:val="none"/>
        </w:rPr>
        <w:t> </w:t>
      </w:r>
    </w:p>
    <w:p w14:paraId="15654A35">
      <w:pPr>
        <w:jc w:val="both"/>
        <w:outlineLvl w:val="2"/>
        <w:rPr>
          <w:rFonts w:hint="eastAsia" w:ascii="Calibri" w:hAnsi="Calibri" w:eastAsia="宋体" w:cs="Times New Roman"/>
          <w:color w:val="auto"/>
          <w:sz w:val="24"/>
          <w:szCs w:val="24"/>
          <w:highlight w:val="none"/>
          <w:lang w:val="en-US" w:eastAsia="zh-Hans"/>
        </w:rPr>
      </w:pPr>
      <w:r>
        <w:rPr>
          <w:rFonts w:hint="eastAsia" w:ascii="Calibri" w:hAnsi="Calibri" w:eastAsia="宋体" w:cs="Times New Roman"/>
          <w:b/>
          <w:color w:val="auto"/>
          <w:sz w:val="24"/>
          <w:szCs w:val="24"/>
          <w:highlight w:val="none"/>
          <w:lang w:val="en-US" w:eastAsia="zh-Hans"/>
        </w:rPr>
        <w:t>附2：采购标的一览表</w:t>
      </w:r>
    </w:p>
    <w:p w14:paraId="06101AE4">
      <w:pPr>
        <w:jc w:val="left"/>
        <w:rPr>
          <w:rFonts w:hint="eastAsia" w:ascii="Calibri" w:hAnsi="Calibri" w:eastAsia="宋体" w:cs="Times New Roman"/>
          <w:color w:val="auto"/>
          <w:sz w:val="24"/>
          <w:szCs w:val="24"/>
          <w:highlight w:val="none"/>
          <w:lang w:val="en-US" w:eastAsia="zh-Hans"/>
        </w:rPr>
      </w:pPr>
      <w:r>
        <w:rPr>
          <w:rFonts w:hint="eastAsia" w:ascii="Calibri" w:hAnsi="Calibri" w:eastAsia="宋体" w:cs="Times New Roman"/>
          <w:color w:val="auto"/>
          <w:sz w:val="24"/>
          <w:szCs w:val="24"/>
          <w:highlight w:val="none"/>
          <w:lang w:val="en-US" w:eastAsia="zh-Hans"/>
        </w:rPr>
        <w:t>采购包1：</w:t>
      </w:r>
    </w:p>
    <w:p w14:paraId="4C132A84">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Hans"/>
        </w:rPr>
        <w:t>采购包预算金额:</w:t>
      </w:r>
      <w:r>
        <w:rPr>
          <w:rFonts w:hint="eastAsia" w:ascii="宋体" w:hAnsi="宋体" w:eastAsia="宋体" w:cs="宋体"/>
          <w:color w:val="auto"/>
          <w:sz w:val="24"/>
          <w:szCs w:val="24"/>
          <w:highlight w:val="none"/>
          <w:lang w:val="en-US" w:eastAsia="zh-CN"/>
        </w:rPr>
        <w:t>6900000</w:t>
      </w:r>
      <w:r>
        <w:rPr>
          <w:rFonts w:hint="eastAsia" w:ascii="宋体" w:hAnsi="宋体" w:eastAsia="宋体" w:cs="宋体"/>
          <w:color w:val="auto"/>
          <w:sz w:val="24"/>
          <w:szCs w:val="24"/>
          <w:highlight w:val="none"/>
          <w:lang w:val="en-US" w:eastAsia="zh-Hans"/>
        </w:rPr>
        <w:t>元</w:t>
      </w:r>
    </w:p>
    <w:p w14:paraId="69E5B253">
      <w:pPr>
        <w:jc w:val="left"/>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采购包最高限价: 15</w:t>
      </w:r>
      <w:r>
        <w:rPr>
          <w:rFonts w:hint="eastAsia" w:ascii="宋体" w:hAnsi="宋体" w:eastAsia="宋体" w:cs="宋体"/>
          <w:color w:val="auto"/>
          <w:sz w:val="24"/>
          <w:szCs w:val="24"/>
          <w:highlight w:val="none"/>
          <w:lang w:val="en-US" w:eastAsia="zh-CN"/>
        </w:rPr>
        <w:t>0000</w:t>
      </w:r>
      <w:r>
        <w:rPr>
          <w:rFonts w:hint="eastAsia" w:ascii="宋体" w:hAnsi="宋体" w:eastAsia="宋体" w:cs="宋体"/>
          <w:color w:val="auto"/>
          <w:sz w:val="24"/>
          <w:szCs w:val="24"/>
          <w:highlight w:val="none"/>
          <w:lang w:val="en-US" w:eastAsia="zh-Hans"/>
        </w:rPr>
        <w:t>元/月</w:t>
      </w:r>
    </w:p>
    <w:p w14:paraId="562F2AF4">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Hans"/>
        </w:rPr>
        <w:t xml:space="preserve">采购包保证金金额: </w:t>
      </w:r>
      <w:r>
        <w:rPr>
          <w:rFonts w:hint="eastAsia" w:ascii="宋体" w:hAnsi="宋体" w:eastAsia="宋体" w:cs="宋体"/>
          <w:color w:val="auto"/>
          <w:sz w:val="24"/>
          <w:szCs w:val="24"/>
          <w:highlight w:val="none"/>
          <w:lang w:val="en-US" w:eastAsia="zh-CN"/>
        </w:rPr>
        <w:t>69000</w:t>
      </w:r>
      <w:r>
        <w:rPr>
          <w:rFonts w:hint="eastAsia" w:ascii="宋体" w:hAnsi="宋体" w:eastAsia="宋体" w:cs="宋体"/>
          <w:color w:val="auto"/>
          <w:sz w:val="24"/>
          <w:szCs w:val="24"/>
          <w:highlight w:val="none"/>
          <w:lang w:val="en-US" w:eastAsia="zh-Hans"/>
        </w:rPr>
        <w:t>元</w:t>
      </w:r>
    </w:p>
    <w:tbl>
      <w:tblPr>
        <w:tblStyle w:val="23"/>
        <w:tblW w:w="955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15"/>
        <w:gridCol w:w="2221"/>
        <w:gridCol w:w="897"/>
        <w:gridCol w:w="1250"/>
        <w:gridCol w:w="1456"/>
        <w:gridCol w:w="1529"/>
        <w:gridCol w:w="1486"/>
      </w:tblGrid>
      <w:tr w14:paraId="4A192F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5" w:type="dxa"/>
            <w:vAlign w:val="center"/>
          </w:tcPr>
          <w:p w14:paraId="4C968189">
            <w:pPr>
              <w:jc w:val="center"/>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序号</w:t>
            </w:r>
          </w:p>
        </w:tc>
        <w:tc>
          <w:tcPr>
            <w:tcW w:w="2221" w:type="dxa"/>
            <w:vAlign w:val="center"/>
          </w:tcPr>
          <w:p w14:paraId="72BF0E3E">
            <w:pPr>
              <w:jc w:val="center"/>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标的名称</w:t>
            </w:r>
          </w:p>
        </w:tc>
        <w:tc>
          <w:tcPr>
            <w:tcW w:w="897" w:type="dxa"/>
            <w:vAlign w:val="center"/>
          </w:tcPr>
          <w:p w14:paraId="5857439D">
            <w:pPr>
              <w:jc w:val="center"/>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数量</w:t>
            </w:r>
          </w:p>
        </w:tc>
        <w:tc>
          <w:tcPr>
            <w:tcW w:w="1250" w:type="dxa"/>
            <w:vAlign w:val="center"/>
          </w:tcPr>
          <w:p w14:paraId="6036CA00">
            <w:pPr>
              <w:jc w:val="center"/>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sz w:val="24"/>
                <w:szCs w:val="24"/>
                <w:highlight w:val="none"/>
                <w:lang w:val="en-US" w:eastAsia="zh-Hans"/>
              </w:rPr>
              <w:t>计量单位</w:t>
            </w:r>
          </w:p>
        </w:tc>
        <w:tc>
          <w:tcPr>
            <w:tcW w:w="1456" w:type="dxa"/>
            <w:vAlign w:val="center"/>
          </w:tcPr>
          <w:p w14:paraId="3543FFB6">
            <w:pPr>
              <w:jc w:val="center"/>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标的金额（元）</w:t>
            </w:r>
          </w:p>
        </w:tc>
        <w:tc>
          <w:tcPr>
            <w:tcW w:w="1529" w:type="dxa"/>
            <w:vAlign w:val="center"/>
          </w:tcPr>
          <w:p w14:paraId="385A7486">
            <w:pPr>
              <w:jc w:val="center"/>
              <w:rPr>
                <w:rFonts w:hint="eastAsia"/>
                <w:color w:val="auto"/>
                <w:sz w:val="24"/>
                <w:szCs w:val="24"/>
                <w:highlight w:val="none"/>
                <w:lang w:val="en-US" w:eastAsia="zh-Hans"/>
              </w:rPr>
            </w:pPr>
            <w:r>
              <w:rPr>
                <w:rFonts w:hint="eastAsia"/>
                <w:color w:val="auto"/>
                <w:sz w:val="24"/>
                <w:szCs w:val="24"/>
                <w:highlight w:val="none"/>
                <w:lang w:val="en-US" w:eastAsia="zh-Hans"/>
              </w:rPr>
              <w:t>最高限价</w:t>
            </w:r>
          </w:p>
          <w:p w14:paraId="39C9C03D">
            <w:pPr>
              <w:pStyle w:val="22"/>
              <w:ind w:left="0" w:leftChars="0" w:firstLine="0" w:firstLineChars="0"/>
              <w:jc w:val="center"/>
              <w:rPr>
                <w:rFonts w:hint="eastAsia" w:eastAsia="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Hans"/>
              </w:rPr>
              <w:t>元/月</w:t>
            </w:r>
            <w:r>
              <w:rPr>
                <w:rFonts w:hint="eastAsia" w:ascii="宋体" w:hAnsi="宋体" w:eastAsia="宋体" w:cs="宋体"/>
                <w:color w:val="auto"/>
                <w:sz w:val="24"/>
                <w:szCs w:val="24"/>
                <w:highlight w:val="none"/>
                <w:lang w:val="en-US" w:eastAsia="zh-CN"/>
              </w:rPr>
              <w:t>）</w:t>
            </w:r>
          </w:p>
        </w:tc>
        <w:tc>
          <w:tcPr>
            <w:tcW w:w="1486" w:type="dxa"/>
            <w:vAlign w:val="center"/>
          </w:tcPr>
          <w:p w14:paraId="42D81E53">
            <w:pPr>
              <w:jc w:val="center"/>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所属行业</w:t>
            </w:r>
          </w:p>
        </w:tc>
      </w:tr>
      <w:tr w14:paraId="504D6A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03" w:hRule="atLeast"/>
        </w:trPr>
        <w:tc>
          <w:tcPr>
            <w:tcW w:w="715" w:type="dxa"/>
            <w:vAlign w:val="center"/>
          </w:tcPr>
          <w:p w14:paraId="4297990B">
            <w:pPr>
              <w:jc w:val="center"/>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1</w:t>
            </w:r>
          </w:p>
        </w:tc>
        <w:tc>
          <w:tcPr>
            <w:tcW w:w="2221" w:type="dxa"/>
            <w:vAlign w:val="center"/>
          </w:tcPr>
          <w:p w14:paraId="48869777">
            <w:pPr>
              <w:jc w:val="center"/>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自办学生食堂服务团队招标采购</w:t>
            </w:r>
          </w:p>
        </w:tc>
        <w:tc>
          <w:tcPr>
            <w:tcW w:w="897" w:type="dxa"/>
            <w:vAlign w:val="center"/>
          </w:tcPr>
          <w:p w14:paraId="5C2385F4">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250" w:type="dxa"/>
            <w:vAlign w:val="center"/>
          </w:tcPr>
          <w:p w14:paraId="5492F280">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Hans"/>
              </w:rPr>
              <w:t>年</w:t>
            </w:r>
          </w:p>
        </w:tc>
        <w:tc>
          <w:tcPr>
            <w:tcW w:w="1456" w:type="dxa"/>
            <w:vAlign w:val="center"/>
          </w:tcPr>
          <w:p w14:paraId="5C1B6E02">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6900000</w:t>
            </w:r>
          </w:p>
        </w:tc>
        <w:tc>
          <w:tcPr>
            <w:tcW w:w="1529" w:type="dxa"/>
            <w:vAlign w:val="center"/>
          </w:tcPr>
          <w:p w14:paraId="2EFE013D">
            <w:pPr>
              <w:jc w:val="center"/>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15</w:t>
            </w:r>
            <w:r>
              <w:rPr>
                <w:rFonts w:hint="eastAsia" w:ascii="宋体" w:hAnsi="宋体" w:eastAsia="宋体" w:cs="宋体"/>
                <w:color w:val="auto"/>
                <w:sz w:val="24"/>
                <w:szCs w:val="24"/>
                <w:highlight w:val="none"/>
                <w:lang w:val="en-US" w:eastAsia="zh-CN"/>
              </w:rPr>
              <w:t>0000</w:t>
            </w:r>
          </w:p>
        </w:tc>
        <w:tc>
          <w:tcPr>
            <w:tcW w:w="1486" w:type="dxa"/>
            <w:vAlign w:val="center"/>
          </w:tcPr>
          <w:p w14:paraId="6B6D21C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餐饮业</w:t>
            </w:r>
          </w:p>
        </w:tc>
      </w:tr>
    </w:tbl>
    <w:p w14:paraId="139886EC">
      <w:pPr>
        <w:keepNext w:val="0"/>
        <w:keepLines w:val="0"/>
        <w:pageBreakBefore w:val="0"/>
        <w:kinsoku/>
        <w:wordWrap/>
        <w:overflowPunct/>
        <w:topLinePunct w:val="0"/>
        <w:autoSpaceDE/>
        <w:autoSpaceDN/>
        <w:bidi w:val="0"/>
        <w:adjustRightInd/>
        <w:snapToGrid/>
        <w:spacing w:before="0" w:after="0" w:line="40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w:t>
      </w:r>
    </w:p>
    <w:p w14:paraId="6CBE80C2">
      <w:pPr>
        <w:pStyle w:val="19"/>
        <w:widowControl/>
        <w:tabs>
          <w:tab w:val="left" w:pos="4079"/>
        </w:tabs>
        <w:spacing w:before="75" w:beforeAutospacing="0" w:after="75" w:afterAutospacing="0"/>
        <w:ind w:firstLine="482" w:firstLineChars="200"/>
        <w:rPr>
          <w:rFonts w:hint="eastAsia" w:ascii="宋体" w:hAnsi="宋体" w:eastAsia="宋体" w:cs="宋体"/>
          <w:b/>
          <w:bCs/>
          <w:color w:val="auto"/>
          <w:highlight w:val="none"/>
          <w:lang w:eastAsia="zh-CN"/>
        </w:rPr>
      </w:pPr>
      <w:r>
        <w:rPr>
          <w:rFonts w:hint="eastAsia" w:ascii="宋体" w:hAnsi="宋体" w:cs="宋体"/>
          <w:b/>
          <w:bCs/>
          <w:color w:val="auto"/>
          <w:highlight w:val="none"/>
          <w:lang w:eastAsia="zh-CN"/>
        </w:rPr>
        <w:t>（</w:t>
      </w:r>
      <w:r>
        <w:rPr>
          <w:rFonts w:hint="eastAsia" w:ascii="宋体" w:hAnsi="宋体" w:cs="宋体"/>
          <w:b/>
          <w:bCs/>
          <w:color w:val="auto"/>
          <w:highlight w:val="none"/>
          <w:lang w:val="en-US" w:eastAsia="zh-CN"/>
        </w:rPr>
        <w:t>1</w:t>
      </w:r>
      <w:r>
        <w:rPr>
          <w:rFonts w:hint="eastAsia" w:ascii="宋体" w:hAnsi="宋体" w:cs="宋体"/>
          <w:b/>
          <w:bCs/>
          <w:color w:val="auto"/>
          <w:highlight w:val="none"/>
          <w:lang w:eastAsia="zh-CN"/>
        </w:rPr>
        <w:t>）</w:t>
      </w:r>
      <w:r>
        <w:rPr>
          <w:rFonts w:hint="eastAsia" w:ascii="宋体" w:hAnsi="宋体" w:eastAsia="宋体" w:cs="宋体"/>
          <w:b/>
          <w:bCs/>
          <w:color w:val="auto"/>
          <w:highlight w:val="none"/>
          <w:lang w:eastAsia="zh-CN"/>
        </w:rPr>
        <w:t>本项目设单价最高限价15万元/月（</w:t>
      </w:r>
      <w:r>
        <w:rPr>
          <w:rFonts w:hint="eastAsia" w:ascii="宋体" w:hAnsi="宋体" w:eastAsia="宋体" w:cs="宋体"/>
          <w:b/>
          <w:bCs/>
          <w:color w:val="auto"/>
          <w:highlight w:val="none"/>
          <w:lang w:val="en-US" w:eastAsia="zh-CN"/>
        </w:rPr>
        <w:t>报价为每月</w:t>
      </w:r>
      <w:r>
        <w:rPr>
          <w:rFonts w:hint="eastAsia" w:ascii="宋体" w:hAnsi="宋体" w:eastAsia="宋体" w:cs="宋体"/>
          <w:b/>
          <w:bCs/>
          <w:color w:val="auto"/>
          <w:highlight w:val="none"/>
          <w:lang w:eastAsia="zh-CN"/>
        </w:rPr>
        <w:t>基本</w:t>
      </w:r>
      <w:r>
        <w:rPr>
          <w:rFonts w:hint="eastAsia" w:ascii="宋体" w:hAnsi="宋体" w:eastAsia="宋体" w:cs="宋体"/>
          <w:b/>
          <w:bCs/>
          <w:color w:val="auto"/>
          <w:highlight w:val="none"/>
          <w:lang w:val="en-US" w:eastAsia="zh-CN"/>
        </w:rPr>
        <w:t>费用</w:t>
      </w:r>
      <w:r>
        <w:rPr>
          <w:rFonts w:hint="eastAsia" w:ascii="宋体" w:hAnsi="宋体" w:eastAsia="宋体" w:cs="宋体"/>
          <w:b/>
          <w:bCs/>
          <w:color w:val="auto"/>
          <w:highlight w:val="none"/>
          <w:lang w:eastAsia="zh-CN"/>
        </w:rPr>
        <w:t>，不</w:t>
      </w:r>
      <w:r>
        <w:rPr>
          <w:rFonts w:hint="eastAsia" w:ascii="宋体" w:hAnsi="宋体" w:eastAsia="宋体" w:cs="宋体"/>
          <w:b/>
          <w:bCs/>
          <w:color w:val="auto"/>
          <w:highlight w:val="none"/>
          <w:lang w:val="en-US" w:eastAsia="zh-CN"/>
        </w:rPr>
        <w:t>包括</w:t>
      </w:r>
      <w:r>
        <w:rPr>
          <w:rFonts w:hint="eastAsia" w:ascii="宋体" w:hAnsi="宋体" w:eastAsia="宋体" w:cs="宋体"/>
          <w:b/>
          <w:bCs/>
          <w:color w:val="auto"/>
          <w:highlight w:val="none"/>
          <w:lang w:eastAsia="zh-CN"/>
        </w:rPr>
        <w:t>其它奖励性费用），</w:t>
      </w:r>
      <w:r>
        <w:rPr>
          <w:rFonts w:hint="eastAsia" w:ascii="宋体" w:hAnsi="宋体" w:eastAsia="宋体" w:cs="宋体"/>
          <w:b/>
          <w:bCs/>
          <w:color w:val="auto"/>
          <w:highlight w:val="none"/>
          <w:lang w:val="en-US" w:eastAsia="zh-CN"/>
        </w:rPr>
        <w:t>3年</w:t>
      </w:r>
      <w:r>
        <w:rPr>
          <w:rFonts w:hint="eastAsia" w:ascii="宋体" w:hAnsi="宋体" w:eastAsia="宋体" w:cs="宋体"/>
          <w:b/>
          <w:bCs/>
          <w:color w:val="auto"/>
          <w:highlight w:val="none"/>
          <w:lang w:eastAsia="zh-CN"/>
        </w:rPr>
        <w:t>预算总额</w:t>
      </w:r>
      <w:r>
        <w:rPr>
          <w:rFonts w:hint="eastAsia" w:ascii="宋体" w:hAnsi="宋体" w:eastAsia="宋体" w:cs="宋体"/>
          <w:b/>
          <w:bCs/>
          <w:color w:val="auto"/>
          <w:highlight w:val="none"/>
          <w:lang w:val="en-US" w:eastAsia="zh-CN"/>
        </w:rPr>
        <w:t>690</w:t>
      </w:r>
      <w:r>
        <w:rPr>
          <w:rFonts w:hint="eastAsia" w:ascii="宋体" w:hAnsi="宋体" w:eastAsia="宋体" w:cs="宋体"/>
          <w:b/>
          <w:bCs/>
          <w:color w:val="auto"/>
          <w:highlight w:val="none"/>
          <w:lang w:eastAsia="zh-CN"/>
        </w:rPr>
        <w:t>万（包含各种奖励性绩效，服务期内合同结算总价不得超过预算总额，超出部分不再计取支付），根据实际工作核算，按月核发。</w:t>
      </w:r>
      <w:r>
        <w:rPr>
          <w:rFonts w:hint="eastAsia" w:ascii="宋体" w:hAnsi="宋体" w:eastAsia="宋体" w:cs="宋体"/>
          <w:b/>
          <w:bCs/>
          <w:color w:val="auto"/>
          <w:highlight w:val="none"/>
          <w:lang w:val="en-US" w:eastAsia="zh-CN"/>
        </w:rPr>
        <w:t>餐厅</w:t>
      </w:r>
      <w:r>
        <w:rPr>
          <w:rFonts w:hint="eastAsia" w:ascii="宋体" w:hAnsi="宋体" w:eastAsia="宋体" w:cs="宋体"/>
          <w:b/>
          <w:bCs/>
          <w:color w:val="auto"/>
          <w:highlight w:val="none"/>
          <w:lang w:eastAsia="zh-CN"/>
        </w:rPr>
        <w:t>寒、暑假未</w:t>
      </w:r>
      <w:r>
        <w:rPr>
          <w:rFonts w:hint="eastAsia" w:ascii="宋体" w:hAnsi="宋体" w:eastAsia="宋体" w:cs="宋体"/>
          <w:b/>
          <w:bCs/>
          <w:color w:val="auto"/>
          <w:highlight w:val="none"/>
          <w:lang w:val="en-US" w:eastAsia="zh-CN"/>
        </w:rPr>
        <w:t>要求值班</w:t>
      </w:r>
      <w:r>
        <w:rPr>
          <w:rFonts w:hint="eastAsia" w:ascii="宋体" w:hAnsi="宋体" w:eastAsia="宋体" w:cs="宋体"/>
          <w:b/>
          <w:bCs/>
          <w:color w:val="auto"/>
          <w:highlight w:val="none"/>
          <w:lang w:eastAsia="zh-CN"/>
        </w:rPr>
        <w:t>期间不发放费用（</w:t>
      </w:r>
      <w:r>
        <w:rPr>
          <w:rFonts w:hint="eastAsia" w:ascii="宋体" w:hAnsi="宋体" w:eastAsia="宋体" w:cs="宋体"/>
          <w:b/>
          <w:bCs/>
          <w:color w:val="auto"/>
          <w:highlight w:val="none"/>
          <w:lang w:val="en-US" w:eastAsia="zh-CN"/>
        </w:rPr>
        <w:t>寒、暑假期间</w:t>
      </w:r>
      <w:r>
        <w:rPr>
          <w:rFonts w:hint="eastAsia" w:ascii="宋体" w:hAnsi="宋体" w:eastAsia="宋体" w:cs="宋体"/>
          <w:b/>
          <w:bCs/>
          <w:color w:val="auto"/>
          <w:highlight w:val="none"/>
          <w:lang w:eastAsia="zh-CN"/>
        </w:rPr>
        <w:t>食堂员工需要的各类费用由中标人自行负责）。</w:t>
      </w:r>
    </w:p>
    <w:p w14:paraId="6B68A9DA">
      <w:pPr>
        <w:pStyle w:val="19"/>
        <w:widowControl/>
        <w:tabs>
          <w:tab w:val="left" w:pos="4079"/>
        </w:tabs>
        <w:spacing w:before="75" w:beforeAutospacing="0" w:after="75" w:afterAutospacing="0"/>
        <w:ind w:firstLine="482" w:firstLineChars="200"/>
        <w:rPr>
          <w:rFonts w:hint="eastAsia" w:ascii="宋体" w:hAnsi="宋体" w:eastAsia="宋体" w:cs="宋体"/>
          <w:b/>
          <w:bCs/>
          <w:color w:val="auto"/>
          <w:highlight w:val="none"/>
          <w:lang w:eastAsia="zh-CN"/>
        </w:rPr>
      </w:pPr>
      <w:r>
        <w:rPr>
          <w:rFonts w:hint="eastAsia" w:ascii="宋体" w:hAnsi="宋体" w:cs="宋体"/>
          <w:b/>
          <w:bCs/>
          <w:color w:val="auto"/>
          <w:highlight w:val="none"/>
          <w:lang w:eastAsia="zh-CN"/>
        </w:rPr>
        <w:t>（</w:t>
      </w:r>
      <w:r>
        <w:rPr>
          <w:rFonts w:hint="eastAsia" w:ascii="宋体" w:hAnsi="宋体" w:cs="宋体"/>
          <w:b/>
          <w:bCs/>
          <w:color w:val="auto"/>
          <w:highlight w:val="none"/>
          <w:lang w:val="en-US" w:eastAsia="zh-CN"/>
        </w:rPr>
        <w:t>2</w:t>
      </w:r>
      <w:r>
        <w:rPr>
          <w:rFonts w:hint="eastAsia" w:ascii="宋体" w:hAnsi="宋体" w:cs="宋体"/>
          <w:b/>
          <w:bCs/>
          <w:color w:val="auto"/>
          <w:highlight w:val="none"/>
          <w:lang w:eastAsia="zh-CN"/>
        </w:rPr>
        <w:t>）</w:t>
      </w:r>
      <w:r>
        <w:rPr>
          <w:rFonts w:hint="eastAsia" w:ascii="宋体" w:hAnsi="宋体" w:eastAsia="宋体" w:cs="宋体"/>
          <w:b/>
          <w:bCs/>
          <w:color w:val="auto"/>
          <w:highlight w:val="none"/>
          <w:lang w:eastAsia="zh-CN"/>
        </w:rPr>
        <w:t>投标人填报的单价为每月基本</w:t>
      </w:r>
      <w:r>
        <w:rPr>
          <w:rFonts w:hint="eastAsia" w:ascii="宋体" w:hAnsi="宋体" w:eastAsia="宋体" w:cs="宋体"/>
          <w:b/>
          <w:bCs/>
          <w:color w:val="auto"/>
          <w:highlight w:val="none"/>
          <w:lang w:val="en-US" w:eastAsia="zh-CN"/>
        </w:rPr>
        <w:t>费用</w:t>
      </w:r>
      <w:r>
        <w:rPr>
          <w:rFonts w:hint="eastAsia" w:ascii="宋体" w:hAnsi="宋体" w:eastAsia="宋体" w:cs="宋体"/>
          <w:b/>
          <w:bCs/>
          <w:color w:val="auto"/>
          <w:highlight w:val="none"/>
          <w:lang w:eastAsia="zh-CN"/>
        </w:rPr>
        <w:t>，以此投标单价计算投标人的价格分。</w:t>
      </w:r>
      <w:r>
        <w:rPr>
          <w:rFonts w:hint="eastAsia" w:ascii="宋体" w:hAnsi="宋体" w:eastAsia="宋体" w:cs="宋体"/>
          <w:b/>
          <w:bCs/>
          <w:color w:val="auto"/>
          <w:highlight w:val="none"/>
          <w:lang w:val="en-US" w:eastAsia="zh-CN"/>
        </w:rPr>
        <w:t>投标供应商投标报价包含人工费（包括工资、保险、福利等）、服装费、加班费、伙食费、税费、企业利润等全部服务费用。</w:t>
      </w:r>
    </w:p>
    <w:p w14:paraId="0F2E6B5D">
      <w:pPr>
        <w:pStyle w:val="19"/>
        <w:widowControl/>
        <w:tabs>
          <w:tab w:val="left" w:pos="4079"/>
        </w:tabs>
        <w:spacing w:before="75" w:beforeAutospacing="0" w:after="75" w:afterAutospacing="0"/>
        <w:rPr>
          <w:rFonts w:hint="eastAsia" w:ascii="宋体" w:hAnsi="宋体" w:eastAsia="宋体" w:cs="宋体"/>
          <w:b/>
          <w:bCs/>
          <w:color w:val="auto"/>
          <w:highlight w:val="none"/>
          <w:lang w:eastAsia="zh-CN"/>
        </w:rPr>
      </w:pPr>
    </w:p>
    <w:p w14:paraId="0AABB4CF">
      <w:pPr>
        <w:pStyle w:val="19"/>
        <w:widowControl/>
        <w:spacing w:before="75" w:beforeAutospacing="0" w:after="75" w:afterAutospacing="0"/>
        <w:rPr>
          <w:rFonts w:hint="eastAsia" w:ascii="宋体" w:hAnsi="宋体" w:cs="宋体"/>
          <w:color w:val="auto"/>
          <w:highlight w:val="none"/>
        </w:rPr>
      </w:pPr>
    </w:p>
    <w:p w14:paraId="6CAE8061">
      <w:pPr>
        <w:pStyle w:val="19"/>
        <w:widowControl/>
        <w:spacing w:before="75" w:beforeAutospacing="0" w:after="75" w:afterAutospacing="0"/>
        <w:rPr>
          <w:rFonts w:hint="eastAsia" w:ascii="宋体" w:hAnsi="宋体" w:cs="宋体"/>
          <w:color w:val="auto"/>
          <w:highlight w:val="none"/>
        </w:rPr>
      </w:pPr>
    </w:p>
    <w:p w14:paraId="18AC5647">
      <w:pPr>
        <w:pStyle w:val="19"/>
        <w:widowControl/>
        <w:spacing w:before="75" w:beforeAutospacing="0" w:after="75" w:afterAutospacing="0"/>
        <w:jc w:val="center"/>
        <w:rPr>
          <w:rStyle w:val="26"/>
          <w:rFonts w:hint="eastAsia" w:ascii="宋体" w:hAnsi="宋体" w:cs="宋体"/>
          <w:color w:val="auto"/>
          <w:sz w:val="31"/>
          <w:szCs w:val="31"/>
          <w:highlight w:val="none"/>
        </w:rPr>
        <w:sectPr>
          <w:footerReference r:id="rId3" w:type="default"/>
          <w:pgSz w:w="11906" w:h="16838"/>
          <w:pgMar w:top="1383" w:right="1293" w:bottom="1383" w:left="1406" w:header="851" w:footer="992" w:gutter="0"/>
          <w:cols w:space="720" w:num="1"/>
          <w:docGrid w:type="lines" w:linePitch="312" w:charSpace="0"/>
        </w:sectPr>
      </w:pPr>
    </w:p>
    <w:p w14:paraId="07890212">
      <w:pPr>
        <w:pStyle w:val="19"/>
        <w:widowControl/>
        <w:spacing w:before="75" w:beforeAutospacing="0" w:after="75" w:afterAutospacing="0"/>
        <w:jc w:val="center"/>
        <w:rPr>
          <w:color w:val="auto"/>
          <w:highlight w:val="none"/>
        </w:rPr>
      </w:pPr>
      <w:r>
        <w:rPr>
          <w:rStyle w:val="26"/>
          <w:rFonts w:hint="eastAsia" w:ascii="宋体" w:hAnsi="宋体" w:cs="宋体"/>
          <w:color w:val="auto"/>
          <w:sz w:val="31"/>
          <w:szCs w:val="31"/>
          <w:highlight w:val="none"/>
        </w:rPr>
        <w:t>第二章</w:t>
      </w:r>
      <w:r>
        <w:rPr>
          <w:rStyle w:val="26"/>
          <w:color w:val="auto"/>
          <w:sz w:val="31"/>
          <w:szCs w:val="31"/>
          <w:highlight w:val="none"/>
        </w:rPr>
        <w:t>   </w:t>
      </w:r>
      <w:r>
        <w:rPr>
          <w:rStyle w:val="26"/>
          <w:rFonts w:hint="eastAsia" w:ascii="宋体" w:hAnsi="宋体" w:cs="宋体"/>
          <w:color w:val="auto"/>
          <w:sz w:val="31"/>
          <w:szCs w:val="31"/>
          <w:highlight w:val="none"/>
        </w:rPr>
        <w:t>投标人须知前附表（表1）</w:t>
      </w:r>
    </w:p>
    <w:p w14:paraId="0A845B2E">
      <w:pPr>
        <w:pStyle w:val="19"/>
        <w:widowControl/>
        <w:spacing w:before="75" w:beforeAutospacing="0" w:after="75" w:afterAutospacing="0"/>
        <w:rPr>
          <w:color w:val="auto"/>
          <w:highlight w:val="none"/>
        </w:rPr>
      </w:pPr>
      <w:r>
        <w:rPr>
          <w:color w:val="auto"/>
          <w:highlight w:val="none"/>
        </w:rPr>
        <w:t> </w:t>
      </w:r>
    </w:p>
    <w:p w14:paraId="50CAAA36">
      <w:pPr>
        <w:pStyle w:val="19"/>
        <w:widowControl/>
        <w:spacing w:before="75" w:beforeAutospacing="0" w:after="240" w:afterAutospacing="0"/>
        <w:jc w:val="center"/>
        <w:rPr>
          <w:color w:val="auto"/>
          <w:highlight w:val="none"/>
        </w:rPr>
      </w:pPr>
      <w:r>
        <w:rPr>
          <w:rStyle w:val="26"/>
          <w:rFonts w:hint="eastAsia" w:ascii="宋体" w:hAnsi="宋体" w:cs="宋体"/>
          <w:color w:val="auto"/>
          <w:highlight w:val="none"/>
        </w:rPr>
        <w:t>一、投标人须知前附表1</w:t>
      </w:r>
    </w:p>
    <w:tbl>
      <w:tblPr>
        <w:tblStyle w:val="23"/>
        <w:tblW w:w="0" w:type="auto"/>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65"/>
        <w:gridCol w:w="1364"/>
        <w:gridCol w:w="7583"/>
      </w:tblGrid>
      <w:tr w14:paraId="4CFE0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512" w:type="dxa"/>
            <w:gridSpan w:val="3"/>
            <w:shd w:val="clear" w:color="auto" w:fill="auto"/>
            <w:tcMar>
              <w:top w:w="0" w:type="dxa"/>
              <w:left w:w="105" w:type="dxa"/>
              <w:bottom w:w="0" w:type="dxa"/>
              <w:right w:w="105" w:type="dxa"/>
            </w:tcMar>
            <w:vAlign w:val="center"/>
          </w:tcPr>
          <w:p w14:paraId="6C67D39F">
            <w:pPr>
              <w:pStyle w:val="19"/>
              <w:widowControl/>
              <w:spacing w:before="0" w:beforeAutospacing="0" w:after="0" w:afterAutospacing="0"/>
              <w:jc w:val="center"/>
              <w:rPr>
                <w:color w:val="auto"/>
                <w:highlight w:val="none"/>
              </w:rPr>
            </w:pPr>
            <w:r>
              <w:rPr>
                <w:rStyle w:val="26"/>
                <w:rFonts w:hint="eastAsia" w:ascii="宋体" w:hAnsi="宋体" w:cs="宋体"/>
                <w:color w:val="auto"/>
                <w:highlight w:val="none"/>
              </w:rPr>
              <w:t>特别提示：本表与招标文件对应章节的内容若不一致，以本表为准。</w:t>
            </w:r>
          </w:p>
        </w:tc>
      </w:tr>
      <w:tr w14:paraId="53522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65" w:type="dxa"/>
            <w:shd w:val="clear" w:color="auto" w:fill="auto"/>
            <w:tcMar>
              <w:top w:w="0" w:type="dxa"/>
              <w:left w:w="105" w:type="dxa"/>
              <w:bottom w:w="0" w:type="dxa"/>
              <w:right w:w="105" w:type="dxa"/>
            </w:tcMar>
            <w:vAlign w:val="center"/>
          </w:tcPr>
          <w:p w14:paraId="6B577C64">
            <w:pPr>
              <w:pStyle w:val="19"/>
              <w:widowControl/>
              <w:spacing w:before="0" w:beforeAutospacing="0" w:after="0" w:afterAutospacing="0"/>
              <w:jc w:val="center"/>
              <w:rPr>
                <w:color w:val="auto"/>
                <w:highlight w:val="none"/>
              </w:rPr>
            </w:pPr>
            <w:r>
              <w:rPr>
                <w:rFonts w:hint="eastAsia" w:ascii="宋体" w:hAnsi="宋体" w:cs="宋体"/>
                <w:color w:val="auto"/>
                <w:highlight w:val="none"/>
              </w:rPr>
              <w:t>项号</w:t>
            </w:r>
          </w:p>
        </w:tc>
        <w:tc>
          <w:tcPr>
            <w:tcW w:w="1364" w:type="dxa"/>
            <w:shd w:val="clear" w:color="auto" w:fill="auto"/>
            <w:tcMar>
              <w:top w:w="0" w:type="dxa"/>
              <w:left w:w="105" w:type="dxa"/>
              <w:bottom w:w="0" w:type="dxa"/>
              <w:right w:w="105" w:type="dxa"/>
            </w:tcMar>
            <w:vAlign w:val="center"/>
          </w:tcPr>
          <w:p w14:paraId="4944EA7D">
            <w:pPr>
              <w:pStyle w:val="19"/>
              <w:widowControl/>
              <w:spacing w:before="0" w:beforeAutospacing="0" w:after="0" w:afterAutospacing="0"/>
              <w:jc w:val="center"/>
              <w:rPr>
                <w:color w:val="auto"/>
                <w:highlight w:val="none"/>
              </w:rPr>
            </w:pPr>
            <w:r>
              <w:rPr>
                <w:rFonts w:hint="eastAsia" w:ascii="宋体" w:hAnsi="宋体" w:cs="宋体"/>
                <w:color w:val="auto"/>
                <w:highlight w:val="none"/>
              </w:rPr>
              <w:t>招标文件</w:t>
            </w:r>
          </w:p>
          <w:p w14:paraId="18090096">
            <w:pPr>
              <w:pStyle w:val="19"/>
              <w:widowControl/>
              <w:spacing w:before="0" w:beforeAutospacing="0" w:after="0" w:afterAutospacing="0"/>
              <w:jc w:val="center"/>
              <w:rPr>
                <w:color w:val="auto"/>
                <w:highlight w:val="none"/>
              </w:rPr>
            </w:pPr>
            <w:r>
              <w:rPr>
                <w:rFonts w:hint="eastAsia" w:ascii="宋体" w:hAnsi="宋体" w:cs="宋体"/>
                <w:color w:val="auto"/>
                <w:highlight w:val="none"/>
              </w:rPr>
              <w:t>（第三章）</w:t>
            </w:r>
          </w:p>
        </w:tc>
        <w:tc>
          <w:tcPr>
            <w:tcW w:w="7583" w:type="dxa"/>
            <w:shd w:val="clear" w:color="auto" w:fill="auto"/>
            <w:tcMar>
              <w:top w:w="0" w:type="dxa"/>
              <w:left w:w="105" w:type="dxa"/>
              <w:bottom w:w="0" w:type="dxa"/>
              <w:right w:w="105" w:type="dxa"/>
            </w:tcMar>
            <w:vAlign w:val="center"/>
          </w:tcPr>
          <w:p w14:paraId="17A283D3">
            <w:pPr>
              <w:pStyle w:val="19"/>
              <w:widowControl/>
              <w:spacing w:before="0" w:beforeAutospacing="0" w:after="0" w:afterAutospacing="0"/>
              <w:jc w:val="center"/>
              <w:rPr>
                <w:color w:val="auto"/>
                <w:highlight w:val="none"/>
              </w:rPr>
            </w:pPr>
            <w:r>
              <w:rPr>
                <w:rFonts w:hint="eastAsia" w:ascii="宋体" w:hAnsi="宋体" w:cs="宋体"/>
                <w:color w:val="auto"/>
                <w:highlight w:val="none"/>
              </w:rPr>
              <w:t>编列内容</w:t>
            </w:r>
          </w:p>
        </w:tc>
      </w:tr>
      <w:tr w14:paraId="528B9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65" w:type="dxa"/>
            <w:shd w:val="clear" w:color="auto" w:fill="auto"/>
            <w:tcMar>
              <w:top w:w="0" w:type="dxa"/>
              <w:left w:w="105" w:type="dxa"/>
              <w:bottom w:w="0" w:type="dxa"/>
              <w:right w:w="105" w:type="dxa"/>
            </w:tcMar>
            <w:vAlign w:val="center"/>
          </w:tcPr>
          <w:p w14:paraId="5FC94F48">
            <w:pPr>
              <w:pStyle w:val="19"/>
              <w:widowControl/>
              <w:spacing w:before="0" w:beforeAutospacing="0" w:after="0" w:afterAutospacing="0"/>
              <w:jc w:val="center"/>
              <w:rPr>
                <w:color w:val="auto"/>
                <w:highlight w:val="none"/>
              </w:rPr>
            </w:pPr>
            <w:r>
              <w:rPr>
                <w:rFonts w:hint="eastAsia" w:ascii="宋体" w:hAnsi="宋体" w:cs="宋体"/>
                <w:color w:val="auto"/>
                <w:highlight w:val="none"/>
              </w:rPr>
              <w:t>1</w:t>
            </w:r>
          </w:p>
        </w:tc>
        <w:tc>
          <w:tcPr>
            <w:tcW w:w="1364" w:type="dxa"/>
            <w:shd w:val="clear" w:color="auto" w:fill="auto"/>
            <w:tcMar>
              <w:top w:w="0" w:type="dxa"/>
              <w:left w:w="105" w:type="dxa"/>
              <w:bottom w:w="0" w:type="dxa"/>
              <w:right w:w="105" w:type="dxa"/>
            </w:tcMar>
            <w:vAlign w:val="center"/>
          </w:tcPr>
          <w:p w14:paraId="227AEA54">
            <w:pPr>
              <w:pStyle w:val="19"/>
              <w:widowControl/>
              <w:spacing w:before="0" w:beforeAutospacing="0" w:after="0" w:afterAutospacing="0"/>
              <w:jc w:val="center"/>
              <w:rPr>
                <w:color w:val="auto"/>
                <w:highlight w:val="none"/>
              </w:rPr>
            </w:pPr>
            <w:r>
              <w:rPr>
                <w:rFonts w:hint="eastAsia" w:ascii="宋体" w:hAnsi="宋体" w:cs="宋体"/>
                <w:color w:val="auto"/>
                <w:highlight w:val="none"/>
              </w:rPr>
              <w:t>6.1</w:t>
            </w:r>
          </w:p>
        </w:tc>
        <w:tc>
          <w:tcPr>
            <w:tcW w:w="7583" w:type="dxa"/>
            <w:shd w:val="clear" w:color="auto" w:fill="auto"/>
            <w:tcMar>
              <w:top w:w="0" w:type="dxa"/>
              <w:left w:w="105" w:type="dxa"/>
              <w:bottom w:w="0" w:type="dxa"/>
              <w:right w:w="105" w:type="dxa"/>
            </w:tcMar>
            <w:vAlign w:val="center"/>
          </w:tcPr>
          <w:p w14:paraId="21BFF392">
            <w:pPr>
              <w:pStyle w:val="33"/>
              <w:jc w:val="left"/>
              <w:rPr>
                <w:rStyle w:val="26"/>
                <w:rFonts w:hint="eastAsia" w:ascii="宋体" w:hAnsi="宋体" w:cs="宋体"/>
                <w:color w:val="auto"/>
                <w:highlight w:val="none"/>
              </w:rPr>
            </w:pPr>
            <w:r>
              <w:rPr>
                <w:rStyle w:val="26"/>
                <w:rFonts w:hint="eastAsia" w:ascii="宋体" w:hAnsi="宋体" w:cs="宋体"/>
                <w:color w:val="auto"/>
                <w:highlight w:val="none"/>
              </w:rPr>
              <w:t>是否组织现场考察或召开开标前答疑会：</w:t>
            </w:r>
          </w:p>
          <w:p w14:paraId="4A86C845">
            <w:pPr>
              <w:pStyle w:val="33"/>
              <w:jc w:val="left"/>
              <w:rPr>
                <w:color w:val="auto"/>
                <w:highlight w:val="none"/>
              </w:rPr>
            </w:pPr>
            <w:r>
              <w:rPr>
                <w:rFonts w:ascii="Calibri" w:hAnsi="Calibri" w:eastAsia="宋体" w:cs="Times New Roman"/>
                <w:color w:val="auto"/>
                <w:sz w:val="24"/>
                <w:szCs w:val="24"/>
                <w:highlight w:val="none"/>
              </w:rPr>
              <w:t>采购包1：不组织</w:t>
            </w:r>
          </w:p>
        </w:tc>
      </w:tr>
      <w:tr w14:paraId="60BD1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65" w:type="dxa"/>
            <w:shd w:val="clear" w:color="auto" w:fill="auto"/>
            <w:tcMar>
              <w:top w:w="0" w:type="dxa"/>
              <w:left w:w="105" w:type="dxa"/>
              <w:bottom w:w="0" w:type="dxa"/>
              <w:right w:w="105" w:type="dxa"/>
            </w:tcMar>
            <w:vAlign w:val="center"/>
          </w:tcPr>
          <w:p w14:paraId="070E9B75">
            <w:pPr>
              <w:pStyle w:val="19"/>
              <w:widowControl/>
              <w:wordWrap w:val="0"/>
              <w:spacing w:before="0" w:beforeAutospacing="0" w:after="0" w:afterAutospacing="0"/>
              <w:jc w:val="center"/>
              <w:rPr>
                <w:color w:val="auto"/>
                <w:highlight w:val="none"/>
              </w:rPr>
            </w:pPr>
            <w:r>
              <w:rPr>
                <w:rFonts w:hint="eastAsia" w:ascii="宋体" w:hAnsi="宋体" w:cs="宋体"/>
                <w:color w:val="auto"/>
                <w:highlight w:val="none"/>
              </w:rPr>
              <w:t>2</w:t>
            </w:r>
          </w:p>
        </w:tc>
        <w:tc>
          <w:tcPr>
            <w:tcW w:w="1364" w:type="dxa"/>
            <w:shd w:val="clear" w:color="auto" w:fill="auto"/>
            <w:tcMar>
              <w:top w:w="0" w:type="dxa"/>
              <w:left w:w="105" w:type="dxa"/>
              <w:bottom w:w="0" w:type="dxa"/>
              <w:right w:w="105" w:type="dxa"/>
            </w:tcMar>
            <w:vAlign w:val="center"/>
          </w:tcPr>
          <w:p w14:paraId="203CB7BB">
            <w:pPr>
              <w:pStyle w:val="19"/>
              <w:widowControl/>
              <w:spacing w:before="0" w:beforeAutospacing="0" w:after="0" w:afterAutospacing="0"/>
              <w:jc w:val="center"/>
              <w:rPr>
                <w:color w:val="auto"/>
                <w:highlight w:val="none"/>
              </w:rPr>
            </w:pPr>
            <w:r>
              <w:rPr>
                <w:rFonts w:hint="eastAsia" w:ascii="宋体" w:hAnsi="宋体" w:cs="宋体"/>
                <w:color w:val="auto"/>
                <w:highlight w:val="none"/>
              </w:rPr>
              <w:t>10.4</w:t>
            </w:r>
          </w:p>
        </w:tc>
        <w:tc>
          <w:tcPr>
            <w:tcW w:w="7583" w:type="dxa"/>
            <w:shd w:val="clear" w:color="auto" w:fill="auto"/>
            <w:tcMar>
              <w:top w:w="0" w:type="dxa"/>
              <w:left w:w="105" w:type="dxa"/>
              <w:bottom w:w="0" w:type="dxa"/>
              <w:right w:w="105" w:type="dxa"/>
            </w:tcMar>
            <w:vAlign w:val="center"/>
          </w:tcPr>
          <w:p w14:paraId="41BB69FB">
            <w:pPr>
              <w:pStyle w:val="19"/>
              <w:widowControl/>
              <w:wordWrap w:val="0"/>
              <w:spacing w:before="0" w:beforeAutospacing="0" w:after="0" w:afterAutospacing="0"/>
              <w:rPr>
                <w:color w:val="auto"/>
                <w:highlight w:val="none"/>
              </w:rPr>
            </w:pPr>
            <w:r>
              <w:rPr>
                <w:rStyle w:val="26"/>
                <w:rFonts w:hint="eastAsia" w:ascii="宋体" w:hAnsi="宋体" w:cs="宋体"/>
                <w:color w:val="auto"/>
                <w:highlight w:val="none"/>
              </w:rPr>
              <w:t>投标文件的份数：</w:t>
            </w:r>
          </w:p>
          <w:p w14:paraId="1C6828DA">
            <w:pPr>
              <w:autoSpaceDN w:val="0"/>
              <w:spacing w:line="435" w:lineRule="atLeast"/>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投标</w:t>
            </w:r>
            <w:r>
              <w:rPr>
                <w:rFonts w:ascii="宋体" w:hAnsi="宋体"/>
                <w:color w:val="auto"/>
                <w:sz w:val="24"/>
                <w:highlight w:val="none"/>
              </w:rPr>
              <w:t>文件正本</w:t>
            </w:r>
            <w:r>
              <w:rPr>
                <w:rFonts w:hint="eastAsia" w:ascii="宋体" w:hAnsi="宋体"/>
                <w:color w:val="auto"/>
                <w:sz w:val="24"/>
                <w:highlight w:val="none"/>
                <w:u w:val="single"/>
              </w:rPr>
              <w:t xml:space="preserve"> 1 </w:t>
            </w:r>
            <w:r>
              <w:rPr>
                <w:rFonts w:ascii="宋体" w:hAnsi="宋体"/>
                <w:color w:val="auto"/>
                <w:sz w:val="24"/>
                <w:highlight w:val="none"/>
              </w:rPr>
              <w:t>份、副本</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4</w:t>
            </w:r>
            <w:r>
              <w:rPr>
                <w:rFonts w:hint="eastAsia" w:ascii="宋体" w:hAnsi="宋体"/>
                <w:color w:val="auto"/>
                <w:sz w:val="24"/>
                <w:highlight w:val="none"/>
                <w:u w:val="single"/>
              </w:rPr>
              <w:t xml:space="preserve"> </w:t>
            </w:r>
            <w:r>
              <w:rPr>
                <w:rFonts w:ascii="宋体" w:hAnsi="宋体"/>
                <w:color w:val="auto"/>
                <w:sz w:val="24"/>
                <w:highlight w:val="none"/>
              </w:rPr>
              <w:t>份。</w:t>
            </w:r>
          </w:p>
          <w:p w14:paraId="72E3641B">
            <w:pPr>
              <w:autoSpaceDN w:val="0"/>
              <w:spacing w:line="435" w:lineRule="atLeast"/>
              <w:ind w:left="240" w:hanging="240" w:hangingChars="1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可读介质（光盘或U盘）</w:t>
            </w:r>
            <w:r>
              <w:rPr>
                <w:rFonts w:ascii="宋体" w:hAnsi="宋体"/>
                <w:color w:val="auto"/>
                <w:sz w:val="24"/>
                <w:highlight w:val="none"/>
                <w:u w:val="single"/>
              </w:rPr>
              <w:t>1</w:t>
            </w:r>
            <w:r>
              <w:rPr>
                <w:rFonts w:ascii="宋体" w:hAnsi="宋体"/>
                <w:color w:val="auto"/>
                <w:sz w:val="24"/>
                <w:highlight w:val="none"/>
              </w:rPr>
              <w:t>份。</w:t>
            </w:r>
            <w:r>
              <w:rPr>
                <w:rFonts w:hint="eastAsia" w:ascii="宋体" w:hAnsi="宋体"/>
                <w:color w:val="auto"/>
                <w:sz w:val="24"/>
                <w:highlight w:val="none"/>
              </w:rPr>
              <w:t xml:space="preserve">                                </w:t>
            </w:r>
          </w:p>
          <w:p w14:paraId="606B733E">
            <w:pPr>
              <w:pStyle w:val="19"/>
              <w:widowControl/>
              <w:wordWrap w:val="0"/>
              <w:spacing w:before="0" w:beforeAutospacing="0" w:after="0" w:afterAutospacing="0"/>
              <w:rPr>
                <w:color w:val="auto"/>
                <w:highlight w:val="none"/>
              </w:rPr>
            </w:pPr>
            <w:r>
              <w:rPr>
                <w:rFonts w:hint="eastAsia" w:ascii="宋体" w:hAnsi="宋体" w:cs="宋体"/>
                <w:color w:val="auto"/>
                <w:highlight w:val="none"/>
                <w:shd w:val="clear" w:color="auto" w:fill="FFFFFF"/>
              </w:rPr>
              <w:t>全部响应文件包括正本、副本、电子文本均应密封。</w:t>
            </w:r>
            <w:r>
              <w:rPr>
                <w:rFonts w:hint="eastAsia" w:ascii="宋体" w:hAnsi="宋体" w:cs="宋体"/>
                <w:b/>
                <w:color w:val="auto"/>
                <w:highlight w:val="none"/>
                <w:shd w:val="clear" w:color="auto" w:fill="FFFFFF"/>
              </w:rPr>
              <w:t>未密封将导致投标文件被拒收。</w:t>
            </w:r>
          </w:p>
        </w:tc>
      </w:tr>
      <w:tr w14:paraId="045C3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65" w:type="dxa"/>
            <w:shd w:val="clear" w:color="auto" w:fill="auto"/>
            <w:tcMar>
              <w:top w:w="0" w:type="dxa"/>
              <w:left w:w="105" w:type="dxa"/>
              <w:bottom w:w="0" w:type="dxa"/>
              <w:right w:w="105" w:type="dxa"/>
            </w:tcMar>
            <w:vAlign w:val="center"/>
          </w:tcPr>
          <w:p w14:paraId="695F2BDC">
            <w:pPr>
              <w:widowControl/>
              <w:wordWrap w:val="0"/>
              <w:jc w:val="center"/>
              <w:rPr>
                <w:color w:val="auto"/>
                <w:highlight w:val="none"/>
              </w:rPr>
            </w:pPr>
            <w:r>
              <w:rPr>
                <w:rFonts w:hint="eastAsia" w:ascii="宋体" w:hAnsi="宋体" w:cs="宋体"/>
                <w:color w:val="auto"/>
                <w:kern w:val="0"/>
                <w:sz w:val="24"/>
                <w:highlight w:val="none"/>
                <w:lang w:bidi="ar"/>
              </w:rPr>
              <w:t>3</w:t>
            </w:r>
          </w:p>
        </w:tc>
        <w:tc>
          <w:tcPr>
            <w:tcW w:w="1364" w:type="dxa"/>
            <w:shd w:val="clear" w:color="auto" w:fill="auto"/>
            <w:tcMar>
              <w:top w:w="0" w:type="dxa"/>
              <w:left w:w="105" w:type="dxa"/>
              <w:bottom w:w="0" w:type="dxa"/>
              <w:right w:w="105" w:type="dxa"/>
            </w:tcMar>
            <w:vAlign w:val="center"/>
          </w:tcPr>
          <w:p w14:paraId="79F0E485">
            <w:pPr>
              <w:pStyle w:val="19"/>
              <w:widowControl/>
              <w:spacing w:before="0" w:beforeAutospacing="0" w:after="0" w:afterAutospacing="0"/>
              <w:rPr>
                <w:color w:val="auto"/>
                <w:highlight w:val="none"/>
              </w:rPr>
            </w:pPr>
            <w:r>
              <w:rPr>
                <w:rFonts w:hint="eastAsia" w:ascii="宋体" w:hAnsi="宋体" w:cs="宋体"/>
                <w:color w:val="auto"/>
                <w:highlight w:val="none"/>
              </w:rPr>
              <w:t> 10.7-（</w:t>
            </w:r>
            <w:r>
              <w:rPr>
                <w:color w:val="auto"/>
                <w:highlight w:val="none"/>
              </w:rPr>
              <w:t>1</w:t>
            </w:r>
            <w:r>
              <w:rPr>
                <w:rFonts w:hint="eastAsia" w:ascii="宋体" w:hAnsi="宋体" w:cs="宋体"/>
                <w:color w:val="auto"/>
                <w:highlight w:val="none"/>
              </w:rPr>
              <w:t>）</w:t>
            </w:r>
          </w:p>
        </w:tc>
        <w:tc>
          <w:tcPr>
            <w:tcW w:w="7583" w:type="dxa"/>
            <w:shd w:val="clear" w:color="auto" w:fill="auto"/>
            <w:tcMar>
              <w:top w:w="0" w:type="dxa"/>
              <w:left w:w="105" w:type="dxa"/>
              <w:bottom w:w="0" w:type="dxa"/>
              <w:right w:w="105" w:type="dxa"/>
            </w:tcMar>
            <w:vAlign w:val="center"/>
          </w:tcPr>
          <w:p w14:paraId="06607639">
            <w:pPr>
              <w:pStyle w:val="19"/>
              <w:widowControl/>
              <w:spacing w:before="0" w:beforeAutospacing="0" w:after="0" w:afterAutospacing="0"/>
              <w:rPr>
                <w:color w:val="auto"/>
                <w:highlight w:val="none"/>
              </w:rPr>
            </w:pPr>
            <w:r>
              <w:rPr>
                <w:rStyle w:val="26"/>
                <w:rFonts w:hint="eastAsia" w:ascii="宋体" w:hAnsi="宋体" w:cs="宋体"/>
                <w:color w:val="auto"/>
                <w:highlight w:val="none"/>
              </w:rPr>
              <w:t>是否允许中标人将本项目的非主体、非关键性工作进行分包：</w:t>
            </w:r>
          </w:p>
          <w:p w14:paraId="2899FBD5">
            <w:pPr>
              <w:jc w:val="left"/>
              <w:rPr>
                <w:color w:val="auto"/>
                <w:highlight w:val="none"/>
              </w:rPr>
            </w:pPr>
            <w:r>
              <w:rPr>
                <w:rFonts w:hint="eastAsia" w:ascii="Calibri" w:hAnsi="Calibri" w:eastAsia="宋体" w:cs="Times New Roman"/>
                <w:color w:val="auto"/>
                <w:sz w:val="24"/>
                <w:szCs w:val="24"/>
                <w:highlight w:val="none"/>
                <w:lang w:val="en-US" w:eastAsia="zh-Hans"/>
              </w:rPr>
              <w:t>采购包1：不允许合同分包；</w:t>
            </w:r>
          </w:p>
        </w:tc>
      </w:tr>
      <w:tr w14:paraId="5E7F3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65" w:type="dxa"/>
            <w:shd w:val="clear" w:color="auto" w:fill="auto"/>
            <w:tcMar>
              <w:top w:w="0" w:type="dxa"/>
              <w:left w:w="105" w:type="dxa"/>
              <w:bottom w:w="0" w:type="dxa"/>
              <w:right w:w="105" w:type="dxa"/>
            </w:tcMar>
            <w:vAlign w:val="center"/>
          </w:tcPr>
          <w:p w14:paraId="5C07FBE0">
            <w:pPr>
              <w:pStyle w:val="19"/>
              <w:widowControl/>
              <w:wordWrap w:val="0"/>
              <w:spacing w:before="0" w:beforeAutospacing="0" w:after="0" w:afterAutospacing="0"/>
              <w:jc w:val="center"/>
              <w:rPr>
                <w:color w:val="auto"/>
                <w:highlight w:val="none"/>
              </w:rPr>
            </w:pPr>
            <w:r>
              <w:rPr>
                <w:rFonts w:hint="eastAsia" w:ascii="宋体" w:hAnsi="宋体" w:cs="宋体"/>
                <w:color w:val="auto"/>
                <w:highlight w:val="none"/>
              </w:rPr>
              <w:t>4</w:t>
            </w:r>
          </w:p>
        </w:tc>
        <w:tc>
          <w:tcPr>
            <w:tcW w:w="1364" w:type="dxa"/>
            <w:shd w:val="clear" w:color="auto" w:fill="auto"/>
            <w:tcMar>
              <w:top w:w="0" w:type="dxa"/>
              <w:left w:w="105" w:type="dxa"/>
              <w:bottom w:w="0" w:type="dxa"/>
              <w:right w:w="105" w:type="dxa"/>
            </w:tcMar>
            <w:vAlign w:val="center"/>
          </w:tcPr>
          <w:p w14:paraId="2E212DC4">
            <w:pPr>
              <w:pStyle w:val="19"/>
              <w:widowControl/>
              <w:spacing w:before="0" w:beforeAutospacing="0" w:after="0" w:afterAutospacing="0"/>
              <w:jc w:val="center"/>
              <w:rPr>
                <w:color w:val="auto"/>
                <w:highlight w:val="none"/>
              </w:rPr>
            </w:pPr>
            <w:r>
              <w:rPr>
                <w:rFonts w:hint="eastAsia" w:ascii="宋体" w:hAnsi="宋体" w:cs="宋体"/>
                <w:color w:val="auto"/>
                <w:highlight w:val="none"/>
              </w:rPr>
              <w:t>10.8-（</w:t>
            </w:r>
            <w:r>
              <w:rPr>
                <w:rFonts w:ascii="Calibri" w:hAnsi="Calibri" w:cs="Calibri"/>
                <w:color w:val="auto"/>
                <w:highlight w:val="none"/>
              </w:rPr>
              <w:t>1</w:t>
            </w:r>
            <w:r>
              <w:rPr>
                <w:rFonts w:hint="eastAsia" w:ascii="宋体" w:hAnsi="宋体" w:cs="宋体"/>
                <w:color w:val="auto"/>
                <w:highlight w:val="none"/>
              </w:rPr>
              <w:t>）</w:t>
            </w:r>
          </w:p>
        </w:tc>
        <w:tc>
          <w:tcPr>
            <w:tcW w:w="7583" w:type="dxa"/>
            <w:shd w:val="clear" w:color="auto" w:fill="auto"/>
            <w:tcMar>
              <w:top w:w="0" w:type="dxa"/>
              <w:left w:w="105" w:type="dxa"/>
              <w:bottom w:w="0" w:type="dxa"/>
              <w:right w:w="105" w:type="dxa"/>
            </w:tcMar>
            <w:vAlign w:val="center"/>
          </w:tcPr>
          <w:p w14:paraId="5450D01C">
            <w:pPr>
              <w:pStyle w:val="19"/>
              <w:widowControl/>
              <w:spacing w:before="0" w:beforeAutospacing="0" w:after="0" w:afterAutospacing="0"/>
              <w:rPr>
                <w:color w:val="auto"/>
                <w:highlight w:val="none"/>
              </w:rPr>
            </w:pPr>
            <w:r>
              <w:rPr>
                <w:rStyle w:val="26"/>
                <w:rFonts w:hint="eastAsia" w:ascii="宋体" w:hAnsi="宋体" w:cs="宋体"/>
                <w:color w:val="auto"/>
                <w:highlight w:val="none"/>
              </w:rPr>
              <w:t>投标有效期</w:t>
            </w:r>
            <w:r>
              <w:rPr>
                <w:rFonts w:hint="eastAsia" w:ascii="宋体" w:hAnsi="宋体" w:cs="宋体"/>
                <w:color w:val="auto"/>
                <w:highlight w:val="none"/>
              </w:rPr>
              <w:t>：投标截止时间起90个日历日。</w:t>
            </w:r>
          </w:p>
        </w:tc>
      </w:tr>
      <w:tr w14:paraId="41E90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65" w:type="dxa"/>
            <w:shd w:val="clear" w:color="auto" w:fill="auto"/>
            <w:tcMar>
              <w:top w:w="0" w:type="dxa"/>
              <w:left w:w="105" w:type="dxa"/>
              <w:bottom w:w="0" w:type="dxa"/>
              <w:right w:w="105" w:type="dxa"/>
            </w:tcMar>
            <w:vAlign w:val="center"/>
          </w:tcPr>
          <w:p w14:paraId="6CE84B51">
            <w:pPr>
              <w:pStyle w:val="19"/>
              <w:widowControl/>
              <w:wordWrap w:val="0"/>
              <w:spacing w:before="0" w:beforeAutospacing="0" w:after="0" w:afterAutospacing="0"/>
              <w:jc w:val="center"/>
              <w:rPr>
                <w:color w:val="auto"/>
                <w:highlight w:val="none"/>
              </w:rPr>
            </w:pPr>
            <w:r>
              <w:rPr>
                <w:rFonts w:hint="eastAsia" w:ascii="宋体" w:hAnsi="宋体" w:cs="宋体"/>
                <w:color w:val="auto"/>
                <w:highlight w:val="none"/>
              </w:rPr>
              <w:t>5</w:t>
            </w:r>
          </w:p>
        </w:tc>
        <w:tc>
          <w:tcPr>
            <w:tcW w:w="1364" w:type="dxa"/>
            <w:shd w:val="clear" w:color="auto" w:fill="auto"/>
            <w:tcMar>
              <w:top w:w="0" w:type="dxa"/>
              <w:left w:w="105" w:type="dxa"/>
              <w:bottom w:w="0" w:type="dxa"/>
              <w:right w:w="105" w:type="dxa"/>
            </w:tcMar>
            <w:vAlign w:val="center"/>
          </w:tcPr>
          <w:p w14:paraId="0C873909">
            <w:pPr>
              <w:pStyle w:val="19"/>
              <w:widowControl/>
              <w:spacing w:before="0" w:beforeAutospacing="0" w:after="0" w:afterAutospacing="0"/>
              <w:jc w:val="center"/>
              <w:rPr>
                <w:color w:val="auto"/>
                <w:highlight w:val="none"/>
              </w:rPr>
            </w:pPr>
            <w:r>
              <w:rPr>
                <w:rFonts w:hint="eastAsia" w:ascii="宋体" w:hAnsi="宋体" w:cs="宋体"/>
                <w:color w:val="auto"/>
                <w:highlight w:val="none"/>
              </w:rPr>
              <w:t>12.1</w:t>
            </w:r>
          </w:p>
        </w:tc>
        <w:tc>
          <w:tcPr>
            <w:tcW w:w="7583" w:type="dxa"/>
            <w:shd w:val="clear" w:color="auto" w:fill="auto"/>
            <w:tcMar>
              <w:top w:w="0" w:type="dxa"/>
              <w:left w:w="105" w:type="dxa"/>
              <w:bottom w:w="0" w:type="dxa"/>
              <w:right w:w="105" w:type="dxa"/>
            </w:tcMar>
            <w:vAlign w:val="center"/>
          </w:tcPr>
          <w:p w14:paraId="27E73A40">
            <w:pPr>
              <w:jc w:val="left"/>
              <w:rPr>
                <w:rFonts w:hint="eastAsia" w:ascii="Calibri" w:hAnsi="Calibri" w:eastAsia="宋体" w:cs="Times New Roman"/>
                <w:color w:val="auto"/>
                <w:sz w:val="24"/>
                <w:szCs w:val="24"/>
                <w:highlight w:val="none"/>
                <w:lang w:val="en-US" w:eastAsia="zh-Hans"/>
              </w:rPr>
            </w:pPr>
            <w:r>
              <w:rPr>
                <w:rFonts w:hint="eastAsia" w:ascii="Calibri" w:hAnsi="Calibri" w:eastAsia="宋体" w:cs="Times New Roman"/>
                <w:color w:val="auto"/>
                <w:sz w:val="24"/>
                <w:szCs w:val="24"/>
                <w:highlight w:val="none"/>
                <w:lang w:val="en-US" w:eastAsia="zh-Hans"/>
              </w:rPr>
              <w:t>确定中标候选人名单：</w:t>
            </w:r>
          </w:p>
          <w:p w14:paraId="10E9B457">
            <w:pPr>
              <w:jc w:val="left"/>
              <w:rPr>
                <w:color w:val="auto"/>
                <w:highlight w:val="none"/>
              </w:rPr>
            </w:pPr>
            <w:r>
              <w:rPr>
                <w:rFonts w:hint="eastAsia" w:ascii="Calibri" w:hAnsi="Calibri" w:eastAsia="宋体" w:cs="Times New Roman"/>
                <w:color w:val="auto"/>
                <w:sz w:val="24"/>
                <w:szCs w:val="24"/>
                <w:highlight w:val="none"/>
                <w:lang w:val="en-US" w:eastAsia="zh-Hans"/>
              </w:rPr>
              <w:t>采购包1：1名</w:t>
            </w:r>
          </w:p>
        </w:tc>
      </w:tr>
      <w:tr w14:paraId="1F7C3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65" w:type="dxa"/>
            <w:shd w:val="clear" w:color="auto" w:fill="auto"/>
            <w:tcMar>
              <w:top w:w="75" w:type="dxa"/>
              <w:left w:w="150" w:type="dxa"/>
              <w:bottom w:w="75" w:type="dxa"/>
              <w:right w:w="150" w:type="dxa"/>
            </w:tcMar>
            <w:vAlign w:val="center"/>
          </w:tcPr>
          <w:p w14:paraId="4E85E45D">
            <w:pPr>
              <w:pStyle w:val="19"/>
              <w:widowControl/>
              <w:wordWrap w:val="0"/>
              <w:spacing w:before="0" w:beforeAutospacing="0" w:after="0" w:afterAutospacing="0"/>
              <w:rPr>
                <w:color w:val="auto"/>
                <w:highlight w:val="none"/>
              </w:rPr>
            </w:pPr>
            <w:r>
              <w:rPr>
                <w:color w:val="auto"/>
                <w:highlight w:val="none"/>
              </w:rPr>
              <w:t xml:space="preserve">  </w:t>
            </w:r>
            <w:r>
              <w:rPr>
                <w:rFonts w:hint="eastAsia" w:ascii="宋体" w:hAnsi="宋体" w:cs="宋体"/>
                <w:color w:val="auto"/>
                <w:highlight w:val="none"/>
              </w:rPr>
              <w:t>6</w:t>
            </w:r>
          </w:p>
        </w:tc>
        <w:tc>
          <w:tcPr>
            <w:tcW w:w="1364" w:type="dxa"/>
            <w:shd w:val="clear" w:color="auto" w:fill="auto"/>
            <w:tcMar>
              <w:top w:w="75" w:type="dxa"/>
              <w:left w:w="150" w:type="dxa"/>
              <w:bottom w:w="75" w:type="dxa"/>
              <w:right w:w="150" w:type="dxa"/>
            </w:tcMar>
            <w:vAlign w:val="center"/>
          </w:tcPr>
          <w:p w14:paraId="4B06648D">
            <w:pPr>
              <w:pStyle w:val="19"/>
              <w:widowControl/>
              <w:wordWrap w:val="0"/>
              <w:spacing w:before="0" w:beforeAutospacing="0" w:after="0" w:afterAutospacing="0"/>
              <w:jc w:val="center"/>
              <w:rPr>
                <w:color w:val="auto"/>
                <w:highlight w:val="none"/>
              </w:rPr>
            </w:pPr>
            <w:r>
              <w:rPr>
                <w:rFonts w:hint="eastAsia" w:ascii="宋体" w:hAnsi="宋体" w:cs="宋体"/>
                <w:color w:val="auto"/>
                <w:highlight w:val="none"/>
              </w:rPr>
              <w:t>12.2</w:t>
            </w:r>
          </w:p>
        </w:tc>
        <w:tc>
          <w:tcPr>
            <w:tcW w:w="7583" w:type="dxa"/>
            <w:shd w:val="clear" w:color="auto" w:fill="auto"/>
            <w:tcMar>
              <w:top w:w="75" w:type="dxa"/>
              <w:left w:w="150" w:type="dxa"/>
              <w:bottom w:w="75" w:type="dxa"/>
              <w:right w:w="150" w:type="dxa"/>
            </w:tcMar>
            <w:vAlign w:val="center"/>
          </w:tcPr>
          <w:p w14:paraId="66CC15AB">
            <w:pPr>
              <w:pStyle w:val="19"/>
              <w:widowControl/>
              <w:wordWrap w:val="0"/>
              <w:spacing w:before="0" w:beforeAutospacing="0" w:after="0" w:afterAutospacing="0"/>
              <w:rPr>
                <w:color w:val="auto"/>
                <w:highlight w:val="none"/>
              </w:rPr>
            </w:pPr>
            <w:r>
              <w:rPr>
                <w:rStyle w:val="26"/>
                <w:rFonts w:hint="eastAsia" w:ascii="宋体" w:hAnsi="宋体" w:cs="宋体"/>
                <w:color w:val="auto"/>
                <w:highlight w:val="none"/>
              </w:rPr>
              <w:t>本项目中标人的确定（以采购包为单位）：</w:t>
            </w:r>
          </w:p>
          <w:p w14:paraId="2CAFE605">
            <w:pPr>
              <w:pStyle w:val="19"/>
              <w:widowControl/>
              <w:wordWrap w:val="0"/>
              <w:spacing w:before="0" w:beforeAutospacing="0" w:after="0" w:afterAutospacing="0"/>
              <w:rPr>
                <w:color w:val="auto"/>
                <w:highlight w:val="none"/>
              </w:rPr>
            </w:pPr>
            <w:r>
              <w:rPr>
                <w:rFonts w:hint="eastAsia" w:ascii="宋体" w:hAnsi="宋体" w:cs="宋体"/>
                <w:color w:val="auto"/>
                <w:highlight w:val="none"/>
              </w:rPr>
              <w:t>（1）采购人应在政府采购招投标管理办法规定的时限内确定中标人。</w:t>
            </w:r>
          </w:p>
          <w:p w14:paraId="68C773BB">
            <w:pPr>
              <w:pStyle w:val="19"/>
              <w:widowControl/>
              <w:wordWrap w:val="0"/>
              <w:spacing w:before="0" w:beforeAutospacing="0" w:after="0" w:afterAutospacing="0"/>
              <w:rPr>
                <w:color w:val="auto"/>
                <w:highlight w:val="none"/>
              </w:rPr>
            </w:pPr>
            <w:r>
              <w:rPr>
                <w:rFonts w:hint="eastAsia" w:ascii="宋体" w:hAnsi="宋体" w:cs="宋体"/>
                <w:color w:val="auto"/>
                <w:highlight w:val="none"/>
              </w:rPr>
              <w:t>（2）若出现中标候选人并列情形，则按照下列方式确定中标人：</w:t>
            </w:r>
          </w:p>
          <w:p w14:paraId="01D64E4C">
            <w:pPr>
              <w:pStyle w:val="19"/>
              <w:widowControl/>
              <w:wordWrap w:val="0"/>
              <w:spacing w:before="0" w:beforeAutospacing="0" w:after="0" w:afterAutospacing="0"/>
              <w:rPr>
                <w:color w:val="auto"/>
                <w:highlight w:val="none"/>
              </w:rPr>
            </w:pPr>
            <w:r>
              <w:rPr>
                <w:rFonts w:hint="eastAsia" w:ascii="宋体" w:hAnsi="宋体" w:cs="宋体"/>
                <w:color w:val="auto"/>
                <w:highlight w:val="none"/>
              </w:rPr>
              <w:t>①招标文件规定的方式：</w:t>
            </w:r>
            <w:r>
              <w:rPr>
                <w:color w:val="auto"/>
                <w:highlight w:val="none"/>
              </w:rPr>
              <w:t>无</w:t>
            </w:r>
            <w:r>
              <w:rPr>
                <w:rFonts w:hint="eastAsia" w:ascii="宋体" w:hAnsi="宋体" w:cs="宋体"/>
                <w:color w:val="auto"/>
                <w:highlight w:val="none"/>
              </w:rPr>
              <w:t>。</w:t>
            </w:r>
          </w:p>
          <w:p w14:paraId="22B292D6">
            <w:pPr>
              <w:pStyle w:val="19"/>
              <w:widowControl/>
              <w:wordWrap w:val="0"/>
              <w:spacing w:before="0" w:beforeAutospacing="0" w:after="0" w:afterAutospacing="0"/>
              <w:rPr>
                <w:color w:val="auto"/>
                <w:highlight w:val="none"/>
              </w:rPr>
            </w:pPr>
            <w:r>
              <w:rPr>
                <w:rFonts w:hint="eastAsia" w:ascii="宋体" w:hAnsi="宋体" w:cs="宋体"/>
                <w:color w:val="auto"/>
                <w:highlight w:val="none"/>
              </w:rPr>
              <w:t>②若本款第①点规定方式为“无”，则按照下列方式确定：无。</w:t>
            </w:r>
          </w:p>
          <w:p w14:paraId="6F0C5833">
            <w:pPr>
              <w:pStyle w:val="19"/>
              <w:widowControl/>
              <w:wordWrap w:val="0"/>
              <w:spacing w:before="0" w:beforeAutospacing="0" w:after="0" w:afterAutospacing="0"/>
              <w:rPr>
                <w:color w:val="auto"/>
                <w:highlight w:val="none"/>
              </w:rPr>
            </w:pPr>
            <w:r>
              <w:rPr>
                <w:rFonts w:hint="eastAsia" w:ascii="宋体" w:hAnsi="宋体" w:cs="宋体"/>
                <w:color w:val="auto"/>
                <w:highlight w:val="none"/>
              </w:rPr>
              <w:t>③若本款第①、②点规定方式均为“无”，则按照下列方式确定：随机抽取。</w:t>
            </w:r>
          </w:p>
          <w:p w14:paraId="027E8B33">
            <w:pPr>
              <w:pStyle w:val="19"/>
              <w:widowControl/>
              <w:numPr>
                <w:ilvl w:val="0"/>
                <w:numId w:val="1"/>
              </w:numPr>
              <w:wordWrap w:val="0"/>
              <w:spacing w:before="0" w:beforeAutospacing="0" w:after="0" w:afterAutospacing="0"/>
              <w:rPr>
                <w:rFonts w:hint="eastAsia" w:ascii="宋体" w:hAnsi="宋体" w:cs="宋体"/>
                <w:color w:val="auto"/>
                <w:highlight w:val="none"/>
              </w:rPr>
            </w:pPr>
            <w:r>
              <w:rPr>
                <w:rFonts w:hint="eastAsia" w:ascii="宋体" w:hAnsi="宋体" w:cs="宋体"/>
                <w:color w:val="auto"/>
                <w:highlight w:val="none"/>
              </w:rPr>
              <w:t>本项目确定的中标人家数：</w:t>
            </w:r>
          </w:p>
          <w:p w14:paraId="6A29347A">
            <w:pPr>
              <w:jc w:val="left"/>
              <w:rPr>
                <w:rFonts w:hint="eastAsia" w:ascii="宋体" w:hAnsi="宋体" w:cs="宋体"/>
                <w:color w:val="auto"/>
                <w:highlight w:val="none"/>
              </w:rPr>
            </w:pPr>
            <w:r>
              <w:rPr>
                <w:rFonts w:hint="eastAsia" w:ascii="Calibri" w:hAnsi="Calibri" w:eastAsia="宋体" w:cs="Times New Roman"/>
                <w:color w:val="auto"/>
                <w:sz w:val="24"/>
                <w:szCs w:val="24"/>
                <w:highlight w:val="none"/>
                <w:lang w:val="en-US" w:eastAsia="zh-Hans"/>
              </w:rPr>
              <w:t>采购包1：1名</w:t>
            </w:r>
          </w:p>
        </w:tc>
      </w:tr>
      <w:tr w14:paraId="1D90F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65" w:type="dxa"/>
            <w:shd w:val="clear" w:color="auto" w:fill="auto"/>
            <w:vAlign w:val="center"/>
          </w:tcPr>
          <w:p w14:paraId="0036E46A">
            <w:pPr>
              <w:widowControl/>
              <w:wordWrap w:val="0"/>
              <w:jc w:val="center"/>
              <w:rPr>
                <w:color w:val="auto"/>
                <w:highlight w:val="none"/>
              </w:rPr>
            </w:pPr>
            <w:r>
              <w:rPr>
                <w:rFonts w:hint="eastAsia" w:ascii="宋体" w:hAnsi="宋体" w:cs="宋体"/>
                <w:color w:val="auto"/>
                <w:kern w:val="0"/>
                <w:sz w:val="24"/>
                <w:highlight w:val="none"/>
                <w:lang w:bidi="ar"/>
              </w:rPr>
              <w:t>7</w:t>
            </w:r>
          </w:p>
        </w:tc>
        <w:tc>
          <w:tcPr>
            <w:tcW w:w="1364" w:type="dxa"/>
            <w:shd w:val="clear" w:color="auto" w:fill="auto"/>
            <w:vAlign w:val="center"/>
          </w:tcPr>
          <w:p w14:paraId="33258E18">
            <w:pPr>
              <w:widowControl/>
              <w:wordWrap w:val="0"/>
              <w:jc w:val="left"/>
              <w:rPr>
                <w:color w:val="auto"/>
                <w:sz w:val="24"/>
                <w:szCs w:val="24"/>
                <w:highlight w:val="none"/>
              </w:rPr>
            </w:pPr>
            <w:r>
              <w:rPr>
                <w:rFonts w:hint="eastAsia" w:ascii="宋体" w:hAnsi="宋体" w:cs="宋体"/>
                <w:color w:val="auto"/>
                <w:kern w:val="0"/>
                <w:sz w:val="24"/>
                <w:szCs w:val="24"/>
                <w:highlight w:val="none"/>
                <w:lang w:bidi="ar"/>
              </w:rPr>
              <w:t>13.2</w:t>
            </w:r>
          </w:p>
        </w:tc>
        <w:tc>
          <w:tcPr>
            <w:tcW w:w="7583" w:type="dxa"/>
            <w:shd w:val="clear" w:color="auto" w:fill="auto"/>
            <w:vAlign w:val="center"/>
          </w:tcPr>
          <w:p w14:paraId="25BC73DE">
            <w:pPr>
              <w:widowControl/>
              <w:wordWrap w:val="0"/>
              <w:jc w:val="left"/>
              <w:rPr>
                <w:color w:val="auto"/>
                <w:sz w:val="24"/>
                <w:szCs w:val="24"/>
                <w:highlight w:val="none"/>
              </w:rPr>
            </w:pPr>
            <w:r>
              <w:rPr>
                <w:rStyle w:val="26"/>
                <w:rFonts w:hint="eastAsia" w:ascii="宋体" w:hAnsi="宋体" w:cs="宋体"/>
                <w:color w:val="auto"/>
                <w:kern w:val="0"/>
                <w:sz w:val="24"/>
                <w:szCs w:val="24"/>
                <w:highlight w:val="none"/>
                <w:lang w:bidi="ar"/>
              </w:rPr>
              <w:t>合同签订时限：</w:t>
            </w:r>
            <w:r>
              <w:rPr>
                <w:rFonts w:ascii="宋体" w:hAnsi="宋体" w:cs="宋体"/>
                <w:color w:val="auto"/>
                <w:kern w:val="0"/>
                <w:sz w:val="24"/>
                <w:szCs w:val="24"/>
                <w:highlight w:val="none"/>
                <w:lang w:bidi="ar"/>
              </w:rPr>
              <w:t>自中标通知书发出之日起30个日历日内。</w:t>
            </w:r>
          </w:p>
        </w:tc>
      </w:tr>
      <w:tr w14:paraId="52D72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65" w:type="dxa"/>
            <w:shd w:val="clear" w:color="auto" w:fill="auto"/>
            <w:tcMar>
              <w:top w:w="0" w:type="dxa"/>
              <w:left w:w="105" w:type="dxa"/>
              <w:bottom w:w="0" w:type="dxa"/>
              <w:right w:w="105" w:type="dxa"/>
            </w:tcMar>
            <w:vAlign w:val="center"/>
          </w:tcPr>
          <w:p w14:paraId="0C767ED3">
            <w:pPr>
              <w:pStyle w:val="19"/>
              <w:widowControl/>
              <w:wordWrap w:val="0"/>
              <w:spacing w:before="0" w:beforeAutospacing="0" w:after="0" w:afterAutospacing="0"/>
              <w:jc w:val="center"/>
              <w:rPr>
                <w:color w:val="auto"/>
                <w:highlight w:val="none"/>
              </w:rPr>
            </w:pPr>
            <w:r>
              <w:rPr>
                <w:rFonts w:hint="eastAsia" w:ascii="宋体" w:hAnsi="宋体" w:cs="宋体"/>
                <w:color w:val="auto"/>
                <w:highlight w:val="none"/>
              </w:rPr>
              <w:t>8</w:t>
            </w:r>
          </w:p>
        </w:tc>
        <w:tc>
          <w:tcPr>
            <w:tcW w:w="1364" w:type="dxa"/>
            <w:shd w:val="clear" w:color="auto" w:fill="auto"/>
            <w:tcMar>
              <w:top w:w="0" w:type="dxa"/>
              <w:left w:w="105" w:type="dxa"/>
              <w:bottom w:w="0" w:type="dxa"/>
              <w:right w:w="105" w:type="dxa"/>
            </w:tcMar>
            <w:vAlign w:val="center"/>
          </w:tcPr>
          <w:p w14:paraId="193F83A7">
            <w:pPr>
              <w:pStyle w:val="19"/>
              <w:widowControl/>
              <w:spacing w:before="0" w:beforeAutospacing="0" w:after="0" w:afterAutospacing="0"/>
              <w:rPr>
                <w:color w:val="auto"/>
                <w:highlight w:val="none"/>
              </w:rPr>
            </w:pPr>
            <w:r>
              <w:rPr>
                <w:rFonts w:hint="eastAsia" w:ascii="宋体" w:hAnsi="宋体" w:cs="宋体"/>
                <w:color w:val="auto"/>
                <w:highlight w:val="none"/>
              </w:rPr>
              <w:t> 15.1-（</w:t>
            </w:r>
            <w:r>
              <w:rPr>
                <w:color w:val="auto"/>
                <w:highlight w:val="none"/>
              </w:rPr>
              <w:t>2</w:t>
            </w:r>
            <w:r>
              <w:rPr>
                <w:rFonts w:hint="eastAsia" w:ascii="宋体" w:hAnsi="宋体" w:cs="宋体"/>
                <w:color w:val="auto"/>
                <w:highlight w:val="none"/>
              </w:rPr>
              <w:t>）</w:t>
            </w:r>
          </w:p>
        </w:tc>
        <w:tc>
          <w:tcPr>
            <w:tcW w:w="7583" w:type="dxa"/>
            <w:shd w:val="clear" w:color="auto" w:fill="auto"/>
            <w:tcMar>
              <w:top w:w="0" w:type="dxa"/>
              <w:left w:w="105" w:type="dxa"/>
              <w:bottom w:w="0" w:type="dxa"/>
              <w:right w:w="105" w:type="dxa"/>
            </w:tcMar>
            <w:vAlign w:val="center"/>
          </w:tcPr>
          <w:p w14:paraId="37D2ED21">
            <w:pPr>
              <w:pStyle w:val="19"/>
              <w:widowControl/>
              <w:wordWrap w:val="0"/>
              <w:spacing w:before="0" w:beforeAutospacing="0" w:after="0" w:afterAutospacing="0"/>
              <w:rPr>
                <w:color w:val="auto"/>
                <w:highlight w:val="none"/>
              </w:rPr>
            </w:pPr>
            <w:r>
              <w:rPr>
                <w:rStyle w:val="26"/>
                <w:rFonts w:hint="eastAsia" w:ascii="宋体" w:hAnsi="宋体" w:cs="宋体"/>
                <w:color w:val="auto"/>
                <w:highlight w:val="none"/>
              </w:rPr>
              <w:t>质疑函原件应采用下列方式提交：</w:t>
            </w:r>
            <w:r>
              <w:rPr>
                <w:rFonts w:hint="eastAsia" w:ascii="宋体" w:hAnsi="宋体" w:cs="宋体"/>
                <w:color w:val="auto"/>
                <w:highlight w:val="none"/>
              </w:rPr>
              <w:t>书面形式。</w:t>
            </w:r>
          </w:p>
        </w:tc>
      </w:tr>
      <w:tr w14:paraId="1CE93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65" w:type="dxa"/>
            <w:shd w:val="clear" w:color="auto" w:fill="auto"/>
            <w:tcMar>
              <w:top w:w="0" w:type="dxa"/>
              <w:left w:w="105" w:type="dxa"/>
              <w:bottom w:w="0" w:type="dxa"/>
              <w:right w:w="105" w:type="dxa"/>
            </w:tcMar>
            <w:vAlign w:val="center"/>
          </w:tcPr>
          <w:p w14:paraId="75928A0C">
            <w:pPr>
              <w:pStyle w:val="19"/>
              <w:widowControl/>
              <w:wordWrap w:val="0"/>
              <w:spacing w:before="0" w:beforeAutospacing="0" w:after="0" w:afterAutospacing="0"/>
              <w:jc w:val="center"/>
              <w:rPr>
                <w:color w:val="auto"/>
                <w:highlight w:val="none"/>
              </w:rPr>
            </w:pPr>
            <w:r>
              <w:rPr>
                <w:rFonts w:hint="eastAsia" w:ascii="宋体" w:hAnsi="宋体" w:cs="宋体"/>
                <w:color w:val="auto"/>
                <w:highlight w:val="none"/>
              </w:rPr>
              <w:t>9</w:t>
            </w:r>
          </w:p>
        </w:tc>
        <w:tc>
          <w:tcPr>
            <w:tcW w:w="1364" w:type="dxa"/>
            <w:shd w:val="clear" w:color="auto" w:fill="auto"/>
            <w:tcMar>
              <w:top w:w="0" w:type="dxa"/>
              <w:left w:w="105" w:type="dxa"/>
              <w:bottom w:w="0" w:type="dxa"/>
              <w:right w:w="105" w:type="dxa"/>
            </w:tcMar>
            <w:vAlign w:val="center"/>
          </w:tcPr>
          <w:p w14:paraId="004E5374">
            <w:pPr>
              <w:pStyle w:val="19"/>
              <w:widowControl/>
              <w:spacing w:before="0" w:beforeAutospacing="0" w:after="0" w:afterAutospacing="0"/>
              <w:jc w:val="center"/>
              <w:rPr>
                <w:color w:val="auto"/>
                <w:highlight w:val="none"/>
              </w:rPr>
            </w:pPr>
            <w:r>
              <w:rPr>
                <w:rFonts w:hint="eastAsia" w:ascii="宋体" w:hAnsi="宋体" w:cs="宋体"/>
                <w:color w:val="auto"/>
                <w:highlight w:val="none"/>
              </w:rPr>
              <w:t>15.4</w:t>
            </w:r>
          </w:p>
          <w:p w14:paraId="456C49BE">
            <w:pPr>
              <w:pStyle w:val="19"/>
              <w:widowControl/>
              <w:spacing w:before="0" w:beforeAutospacing="0" w:after="0" w:afterAutospacing="0"/>
              <w:rPr>
                <w:color w:val="auto"/>
                <w:highlight w:val="none"/>
              </w:rPr>
            </w:pPr>
            <w:r>
              <w:rPr>
                <w:rFonts w:ascii="Calibri" w:hAnsi="Calibri" w:cs="Calibri"/>
                <w:color w:val="auto"/>
                <w:highlight w:val="none"/>
              </w:rPr>
              <w:t> </w:t>
            </w:r>
          </w:p>
          <w:p w14:paraId="261FAB0E">
            <w:pPr>
              <w:pStyle w:val="19"/>
              <w:widowControl/>
              <w:spacing w:before="0" w:beforeAutospacing="0" w:after="0" w:afterAutospacing="0"/>
              <w:jc w:val="center"/>
              <w:rPr>
                <w:color w:val="auto"/>
                <w:highlight w:val="none"/>
              </w:rPr>
            </w:pPr>
            <w:r>
              <w:rPr>
                <w:rFonts w:ascii="Calibri" w:hAnsi="Calibri" w:cs="Calibri"/>
                <w:color w:val="auto"/>
                <w:highlight w:val="none"/>
              </w:rPr>
              <w:t> </w:t>
            </w:r>
          </w:p>
        </w:tc>
        <w:tc>
          <w:tcPr>
            <w:tcW w:w="7583" w:type="dxa"/>
            <w:shd w:val="clear" w:color="auto" w:fill="auto"/>
            <w:tcMar>
              <w:top w:w="0" w:type="dxa"/>
              <w:left w:w="105" w:type="dxa"/>
              <w:bottom w:w="0" w:type="dxa"/>
              <w:right w:w="105" w:type="dxa"/>
            </w:tcMar>
            <w:vAlign w:val="center"/>
          </w:tcPr>
          <w:p w14:paraId="7110ACC3">
            <w:pPr>
              <w:pStyle w:val="19"/>
              <w:widowControl/>
              <w:wordWrap w:val="0"/>
              <w:spacing w:before="0" w:beforeAutospacing="0" w:after="0" w:afterAutospacing="0"/>
              <w:rPr>
                <w:color w:val="auto"/>
                <w:highlight w:val="none"/>
              </w:rPr>
            </w:pPr>
            <w:r>
              <w:rPr>
                <w:rStyle w:val="26"/>
                <w:rFonts w:hint="eastAsia" w:ascii="宋体" w:hAnsi="宋体" w:cs="宋体"/>
                <w:color w:val="auto"/>
                <w:highlight w:val="none"/>
              </w:rPr>
              <w:t>招标文件的质疑</w:t>
            </w:r>
          </w:p>
          <w:p w14:paraId="50F5AF2A">
            <w:pPr>
              <w:pStyle w:val="19"/>
              <w:widowControl/>
              <w:wordWrap w:val="0"/>
              <w:spacing w:before="0" w:beforeAutospacing="0" w:after="0" w:afterAutospacing="0"/>
              <w:rPr>
                <w:color w:val="auto"/>
                <w:highlight w:val="none"/>
              </w:rPr>
            </w:pPr>
            <w:r>
              <w:rPr>
                <w:rFonts w:hint="eastAsia" w:ascii="宋体" w:hAnsi="宋体" w:cs="宋体"/>
                <w:color w:val="auto"/>
                <w:highlight w:val="none"/>
              </w:rPr>
              <w:t>（1）潜在投标人可在质疑时效期间内对招标文件以书面形式提出质疑。</w:t>
            </w:r>
          </w:p>
          <w:p w14:paraId="38B1115E">
            <w:pPr>
              <w:pStyle w:val="19"/>
              <w:widowControl/>
              <w:wordWrap w:val="0"/>
              <w:spacing w:before="0" w:beforeAutospacing="0" w:after="0" w:afterAutospacing="0"/>
              <w:rPr>
                <w:color w:val="auto"/>
                <w:highlight w:val="none"/>
              </w:rPr>
            </w:pPr>
            <w:r>
              <w:rPr>
                <w:rFonts w:hint="eastAsia" w:ascii="宋体" w:hAnsi="宋体" w:cs="宋体"/>
                <w:color w:val="auto"/>
                <w:highlight w:val="none"/>
              </w:rPr>
              <w:t>（2）质疑时效期间：应在获取招标文件之日起7个工作日内向福建亿立项目管理有限公司提出，获取招标文件的时间以向代理机构报名登记购买招标文件记载时间的为准。在法定质疑期内供应商针对同一采购程序环节的质疑须一次性提出，二（多）次质疑不予受理。</w:t>
            </w:r>
          </w:p>
          <w:p w14:paraId="1678FDCE">
            <w:pPr>
              <w:pStyle w:val="19"/>
              <w:widowControl/>
              <w:wordWrap w:val="0"/>
              <w:spacing w:before="0" w:beforeAutospacing="0" w:after="0" w:afterAutospacing="0"/>
              <w:rPr>
                <w:color w:val="auto"/>
                <w:highlight w:val="none"/>
              </w:rPr>
            </w:pPr>
            <w:r>
              <w:rPr>
                <w:rStyle w:val="26"/>
                <w:rFonts w:hint="eastAsia" w:ascii="宋体" w:hAnsi="宋体" w:cs="宋体"/>
                <w:color w:val="auto"/>
                <w:highlight w:val="none"/>
              </w:rPr>
              <w:t>※除上述规定外，对招标文件提出的质疑还应符合招标文件第三章第</w:t>
            </w:r>
            <w:r>
              <w:rPr>
                <w:rStyle w:val="26"/>
                <w:color w:val="auto"/>
                <w:highlight w:val="none"/>
              </w:rPr>
              <w:t>15.1</w:t>
            </w:r>
            <w:r>
              <w:rPr>
                <w:rStyle w:val="26"/>
                <w:rFonts w:hint="eastAsia" w:ascii="宋体" w:hAnsi="宋体" w:cs="宋体"/>
                <w:color w:val="auto"/>
                <w:highlight w:val="none"/>
              </w:rPr>
              <w:t>条的有关规定。</w:t>
            </w:r>
          </w:p>
        </w:tc>
      </w:tr>
      <w:tr w14:paraId="15317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65" w:type="dxa"/>
            <w:shd w:val="clear" w:color="auto" w:fill="auto"/>
            <w:tcMar>
              <w:top w:w="0" w:type="dxa"/>
              <w:left w:w="105" w:type="dxa"/>
              <w:bottom w:w="0" w:type="dxa"/>
              <w:right w:w="105" w:type="dxa"/>
            </w:tcMar>
            <w:vAlign w:val="center"/>
          </w:tcPr>
          <w:p w14:paraId="0207A226">
            <w:pPr>
              <w:pStyle w:val="19"/>
              <w:widowControl/>
              <w:wordWrap w:val="0"/>
              <w:spacing w:before="0" w:beforeAutospacing="0" w:after="0" w:afterAutospacing="0"/>
              <w:jc w:val="center"/>
              <w:rPr>
                <w:color w:val="auto"/>
                <w:highlight w:val="none"/>
              </w:rPr>
            </w:pPr>
            <w:r>
              <w:rPr>
                <w:rFonts w:hint="eastAsia" w:ascii="宋体" w:hAnsi="宋体" w:cs="宋体"/>
                <w:color w:val="auto"/>
                <w:highlight w:val="none"/>
              </w:rPr>
              <w:t>10</w:t>
            </w:r>
          </w:p>
        </w:tc>
        <w:tc>
          <w:tcPr>
            <w:tcW w:w="1364" w:type="dxa"/>
            <w:shd w:val="clear" w:color="auto" w:fill="auto"/>
            <w:tcMar>
              <w:top w:w="0" w:type="dxa"/>
              <w:left w:w="105" w:type="dxa"/>
              <w:bottom w:w="0" w:type="dxa"/>
              <w:right w:w="105" w:type="dxa"/>
            </w:tcMar>
            <w:vAlign w:val="center"/>
          </w:tcPr>
          <w:p w14:paraId="2253783F">
            <w:pPr>
              <w:pStyle w:val="19"/>
              <w:widowControl/>
              <w:spacing w:before="0" w:beforeAutospacing="0" w:after="0" w:afterAutospacing="0"/>
              <w:jc w:val="center"/>
              <w:rPr>
                <w:color w:val="auto"/>
                <w:highlight w:val="none"/>
              </w:rPr>
            </w:pPr>
            <w:r>
              <w:rPr>
                <w:rFonts w:hint="eastAsia" w:ascii="宋体" w:hAnsi="宋体" w:cs="宋体"/>
                <w:color w:val="auto"/>
                <w:highlight w:val="none"/>
              </w:rPr>
              <w:t>16.1</w:t>
            </w:r>
          </w:p>
        </w:tc>
        <w:tc>
          <w:tcPr>
            <w:tcW w:w="7583" w:type="dxa"/>
            <w:shd w:val="clear" w:color="auto" w:fill="auto"/>
            <w:tcMar>
              <w:top w:w="0" w:type="dxa"/>
              <w:left w:w="105" w:type="dxa"/>
              <w:bottom w:w="0" w:type="dxa"/>
              <w:right w:w="105" w:type="dxa"/>
            </w:tcMar>
            <w:vAlign w:val="center"/>
          </w:tcPr>
          <w:p w14:paraId="74117128">
            <w:pPr>
              <w:pStyle w:val="19"/>
              <w:widowControl/>
              <w:spacing w:before="0" w:beforeAutospacing="0" w:after="0" w:afterAutospacing="0"/>
              <w:rPr>
                <w:color w:val="auto"/>
                <w:highlight w:val="none"/>
              </w:rPr>
            </w:pPr>
            <w:r>
              <w:rPr>
                <w:rStyle w:val="26"/>
                <w:rFonts w:hint="eastAsia" w:ascii="宋体" w:hAnsi="宋体" w:cs="宋体"/>
                <w:color w:val="auto"/>
                <w:highlight w:val="none"/>
              </w:rPr>
              <w:t>监督管理部门：</w:t>
            </w:r>
            <w:r>
              <w:rPr>
                <w:rFonts w:hint="eastAsia" w:ascii="宋体" w:hAnsi="宋体" w:cs="宋体"/>
                <w:color w:val="auto"/>
                <w:highlight w:val="none"/>
                <w:lang w:eastAsia="zh-CN"/>
              </w:rPr>
              <w:t>湄洲湾职业技术学院</w:t>
            </w:r>
            <w:r>
              <w:rPr>
                <w:rFonts w:hint="eastAsia" w:ascii="宋体" w:hAnsi="宋体" w:cs="宋体"/>
                <w:color w:val="auto"/>
                <w:highlight w:val="none"/>
              </w:rPr>
              <w:t>相关监督部门。</w:t>
            </w:r>
          </w:p>
        </w:tc>
      </w:tr>
      <w:tr w14:paraId="75EDD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65" w:type="dxa"/>
            <w:shd w:val="clear" w:color="auto" w:fill="auto"/>
            <w:tcMar>
              <w:top w:w="0" w:type="dxa"/>
              <w:left w:w="105" w:type="dxa"/>
              <w:bottom w:w="0" w:type="dxa"/>
              <w:right w:w="105" w:type="dxa"/>
            </w:tcMar>
            <w:vAlign w:val="center"/>
          </w:tcPr>
          <w:p w14:paraId="23E01C49">
            <w:pPr>
              <w:pStyle w:val="19"/>
              <w:widowControl/>
              <w:wordWrap w:val="0"/>
              <w:spacing w:before="0" w:beforeAutospacing="0" w:after="0" w:afterAutospacing="0"/>
              <w:jc w:val="center"/>
              <w:rPr>
                <w:color w:val="auto"/>
                <w:highlight w:val="none"/>
              </w:rPr>
            </w:pPr>
            <w:r>
              <w:rPr>
                <w:rFonts w:hint="eastAsia" w:ascii="宋体" w:hAnsi="宋体" w:cs="宋体"/>
                <w:color w:val="auto"/>
                <w:highlight w:val="none"/>
              </w:rPr>
              <w:t>11</w:t>
            </w:r>
          </w:p>
        </w:tc>
        <w:tc>
          <w:tcPr>
            <w:tcW w:w="1364" w:type="dxa"/>
            <w:shd w:val="clear" w:color="auto" w:fill="auto"/>
            <w:tcMar>
              <w:top w:w="0" w:type="dxa"/>
              <w:left w:w="105" w:type="dxa"/>
              <w:bottom w:w="0" w:type="dxa"/>
              <w:right w:w="105" w:type="dxa"/>
            </w:tcMar>
            <w:vAlign w:val="center"/>
          </w:tcPr>
          <w:p w14:paraId="55755A04">
            <w:pPr>
              <w:pStyle w:val="19"/>
              <w:widowControl/>
              <w:spacing w:before="0" w:beforeAutospacing="0" w:after="0" w:afterAutospacing="0"/>
              <w:jc w:val="center"/>
              <w:rPr>
                <w:color w:val="auto"/>
                <w:highlight w:val="none"/>
              </w:rPr>
            </w:pPr>
            <w:r>
              <w:rPr>
                <w:rFonts w:hint="eastAsia" w:ascii="宋体" w:hAnsi="宋体" w:cs="宋体"/>
                <w:color w:val="auto"/>
                <w:highlight w:val="none"/>
              </w:rPr>
              <w:t>18.1</w:t>
            </w:r>
          </w:p>
        </w:tc>
        <w:tc>
          <w:tcPr>
            <w:tcW w:w="7583" w:type="dxa"/>
            <w:shd w:val="clear" w:color="auto" w:fill="auto"/>
            <w:tcMar>
              <w:top w:w="0" w:type="dxa"/>
              <w:left w:w="105" w:type="dxa"/>
              <w:bottom w:w="0" w:type="dxa"/>
              <w:right w:w="105" w:type="dxa"/>
            </w:tcMar>
            <w:vAlign w:val="center"/>
          </w:tcPr>
          <w:p w14:paraId="5A336D78">
            <w:pPr>
              <w:pStyle w:val="19"/>
              <w:widowControl/>
              <w:wordWrap w:val="0"/>
              <w:spacing w:before="0" w:beforeAutospacing="0" w:after="0" w:afterAutospacing="0"/>
              <w:rPr>
                <w:rStyle w:val="26"/>
                <w:rFonts w:hint="eastAsia" w:ascii="宋体" w:hAnsi="宋体" w:cs="宋体"/>
                <w:color w:val="auto"/>
                <w:highlight w:val="none"/>
              </w:rPr>
            </w:pPr>
            <w:r>
              <w:rPr>
                <w:rStyle w:val="26"/>
                <w:rFonts w:hint="eastAsia" w:ascii="宋体" w:hAnsi="宋体" w:cs="宋体"/>
                <w:color w:val="auto"/>
                <w:highlight w:val="none"/>
              </w:rPr>
              <w:t>采购信息发布媒体（以下简称：“指定媒体”）：</w:t>
            </w:r>
          </w:p>
          <w:p w14:paraId="47CC9FE2">
            <w:pPr>
              <w:widowControl/>
              <w:autoSpaceDN w:val="0"/>
              <w:spacing w:line="435"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(1)</w:t>
            </w:r>
            <w:r>
              <w:rPr>
                <w:rFonts w:hint="eastAsia" w:ascii="宋体" w:hAnsi="宋体" w:eastAsia="宋体" w:cs="宋体"/>
                <w:color w:val="auto"/>
                <w:kern w:val="0"/>
                <w:sz w:val="24"/>
                <w:szCs w:val="24"/>
                <w:highlight w:val="none"/>
                <w:lang w:eastAsia="zh-CN"/>
              </w:rPr>
              <w:t>工采通电子招投标交易平台（</w:t>
            </w:r>
            <w:r>
              <w:rPr>
                <w:rFonts w:hint="eastAsia" w:ascii="宋体" w:hAnsi="宋体" w:eastAsia="宋体" w:cs="宋体"/>
                <w:color w:val="auto"/>
                <w:kern w:val="0"/>
                <w:sz w:val="24"/>
                <w:szCs w:val="24"/>
                <w:highlight w:val="none"/>
              </w:rPr>
              <w:t>https://easy-prt.com/</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w:t>
            </w:r>
          </w:p>
          <w:p w14:paraId="43F23198">
            <w:pPr>
              <w:widowControl/>
              <w:autoSpaceDN w:val="0"/>
              <w:spacing w:line="435"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(2)</w:t>
            </w:r>
            <w:r>
              <w:rPr>
                <w:rFonts w:hint="eastAsia" w:ascii="宋体" w:hAnsi="宋体" w:eastAsia="宋体" w:cs="宋体"/>
                <w:color w:val="auto"/>
                <w:kern w:val="0"/>
                <w:sz w:val="24"/>
                <w:szCs w:val="24"/>
                <w:highlight w:val="none"/>
                <w:lang w:val="en-US" w:eastAsia="zh-CN"/>
              </w:rPr>
              <w:t>中国招标投标公共服务平台（</w:t>
            </w:r>
            <w:r>
              <w:rPr>
                <w:rFonts w:hint="eastAsia" w:ascii="宋体" w:hAnsi="宋体" w:eastAsia="宋体" w:cs="宋体"/>
                <w:color w:val="auto"/>
                <w:kern w:val="0"/>
                <w:sz w:val="24"/>
                <w:szCs w:val="24"/>
                <w:highlight w:val="none"/>
              </w:rPr>
              <w:t>http://www.cebpubservice.cn/</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p>
          <w:p w14:paraId="1C69DE48">
            <w:pPr>
              <w:widowControl/>
              <w:autoSpaceDN w:val="0"/>
              <w:spacing w:line="435" w:lineRule="atLeast"/>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（3）湄洲湾职业技术学院官网（https://hq.mzwu.edu.cn/1199/list.htm）</w:t>
            </w:r>
          </w:p>
          <w:p w14:paraId="5E69731E">
            <w:pPr>
              <w:pStyle w:val="19"/>
              <w:widowControl/>
              <w:wordWrap w:val="0"/>
              <w:spacing w:before="0" w:beforeAutospacing="0" w:after="0" w:afterAutospacing="0"/>
              <w:rPr>
                <w:color w:val="auto"/>
                <w:highlight w:val="none"/>
              </w:rPr>
            </w:pPr>
            <w:r>
              <w:rPr>
                <w:rStyle w:val="26"/>
                <w:rFonts w:hint="eastAsia" w:ascii="宋体" w:hAnsi="宋体" w:cs="宋体"/>
                <w:color w:val="auto"/>
                <w:highlight w:val="none"/>
              </w:rPr>
              <w:t>※若出现上述指定媒体信息不一致情形，应以</w:t>
            </w:r>
            <w:r>
              <w:rPr>
                <w:rFonts w:hint="eastAsia" w:ascii="宋体" w:hAnsi="宋体" w:eastAsia="宋体" w:cs="宋体"/>
                <w:color w:val="auto"/>
                <w:kern w:val="0"/>
                <w:sz w:val="24"/>
                <w:szCs w:val="24"/>
                <w:highlight w:val="none"/>
                <w:lang w:eastAsia="zh-CN"/>
              </w:rPr>
              <w:t>工采通电子招投标交易平台（</w:t>
            </w:r>
            <w:r>
              <w:rPr>
                <w:rFonts w:hint="eastAsia" w:ascii="宋体" w:hAnsi="宋体" w:eastAsia="宋体" w:cs="宋体"/>
                <w:color w:val="auto"/>
                <w:kern w:val="0"/>
                <w:sz w:val="24"/>
                <w:szCs w:val="24"/>
                <w:highlight w:val="none"/>
              </w:rPr>
              <w:t>https://easy-prt.com/</w:t>
            </w:r>
            <w:r>
              <w:rPr>
                <w:rFonts w:hint="eastAsia" w:ascii="宋体" w:hAnsi="宋体" w:eastAsia="宋体" w:cs="宋体"/>
                <w:color w:val="auto"/>
                <w:kern w:val="0"/>
                <w:sz w:val="24"/>
                <w:szCs w:val="24"/>
                <w:highlight w:val="none"/>
                <w:lang w:eastAsia="zh-CN"/>
              </w:rPr>
              <w:t>）</w:t>
            </w:r>
            <w:r>
              <w:rPr>
                <w:rStyle w:val="26"/>
                <w:rFonts w:hint="eastAsia" w:ascii="宋体" w:hAnsi="宋体" w:cs="宋体"/>
                <w:color w:val="auto"/>
                <w:highlight w:val="none"/>
              </w:rPr>
              <w:t>发布的为准。</w:t>
            </w:r>
          </w:p>
        </w:tc>
      </w:tr>
      <w:tr w14:paraId="2151B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65" w:type="dxa"/>
            <w:shd w:val="clear" w:color="auto" w:fill="auto"/>
            <w:tcMar>
              <w:top w:w="0" w:type="dxa"/>
              <w:left w:w="105" w:type="dxa"/>
              <w:bottom w:w="0" w:type="dxa"/>
              <w:right w:w="105" w:type="dxa"/>
            </w:tcMar>
            <w:vAlign w:val="center"/>
          </w:tcPr>
          <w:p w14:paraId="6C6A2AE9">
            <w:pPr>
              <w:pStyle w:val="19"/>
              <w:widowControl/>
              <w:wordWrap w:val="0"/>
              <w:spacing w:before="0" w:beforeAutospacing="0" w:after="0" w:afterAutospacing="0"/>
              <w:jc w:val="center"/>
              <w:rPr>
                <w:color w:val="auto"/>
                <w:highlight w:val="none"/>
              </w:rPr>
            </w:pPr>
            <w:r>
              <w:rPr>
                <w:rFonts w:hint="eastAsia" w:ascii="宋体" w:hAnsi="宋体" w:cs="宋体"/>
                <w:color w:val="auto"/>
                <w:highlight w:val="none"/>
              </w:rPr>
              <w:t>12</w:t>
            </w:r>
          </w:p>
        </w:tc>
        <w:tc>
          <w:tcPr>
            <w:tcW w:w="1364" w:type="dxa"/>
            <w:shd w:val="clear" w:color="auto" w:fill="auto"/>
            <w:tcMar>
              <w:top w:w="0" w:type="dxa"/>
              <w:left w:w="105" w:type="dxa"/>
              <w:bottom w:w="0" w:type="dxa"/>
              <w:right w:w="105" w:type="dxa"/>
            </w:tcMar>
            <w:vAlign w:val="center"/>
          </w:tcPr>
          <w:p w14:paraId="6E08F5F6">
            <w:pPr>
              <w:pStyle w:val="19"/>
              <w:widowControl/>
              <w:spacing w:before="0" w:beforeAutospacing="0" w:after="0" w:afterAutospacing="0"/>
              <w:jc w:val="center"/>
              <w:rPr>
                <w:color w:val="auto"/>
                <w:highlight w:val="none"/>
              </w:rPr>
            </w:pPr>
            <w:r>
              <w:rPr>
                <w:rFonts w:hint="eastAsia" w:ascii="宋体" w:hAnsi="宋体" w:cs="宋体"/>
                <w:color w:val="auto"/>
                <w:highlight w:val="none"/>
              </w:rPr>
              <w:t>19</w:t>
            </w:r>
          </w:p>
        </w:tc>
        <w:tc>
          <w:tcPr>
            <w:tcW w:w="7583" w:type="dxa"/>
            <w:shd w:val="clear" w:color="auto" w:fill="auto"/>
            <w:tcMar>
              <w:top w:w="0" w:type="dxa"/>
              <w:left w:w="105" w:type="dxa"/>
              <w:bottom w:w="0" w:type="dxa"/>
              <w:right w:w="105" w:type="dxa"/>
            </w:tcMar>
            <w:vAlign w:val="center"/>
          </w:tcPr>
          <w:p w14:paraId="03D23218">
            <w:pPr>
              <w:pStyle w:val="19"/>
              <w:widowControl/>
              <w:wordWrap w:val="0"/>
              <w:spacing w:before="0" w:beforeAutospacing="0" w:after="0" w:afterAutospacing="0"/>
              <w:rPr>
                <w:color w:val="auto"/>
                <w:highlight w:val="none"/>
              </w:rPr>
            </w:pPr>
            <w:r>
              <w:rPr>
                <w:rStyle w:val="26"/>
                <w:rFonts w:hint="eastAsia" w:ascii="宋体" w:hAnsi="宋体" w:cs="宋体"/>
                <w:color w:val="auto"/>
                <w:highlight w:val="none"/>
              </w:rPr>
              <w:t>其他事项：</w:t>
            </w:r>
          </w:p>
          <w:p w14:paraId="48926C30">
            <w:pPr>
              <w:pStyle w:val="19"/>
              <w:keepNext w:val="0"/>
              <w:keepLines w:val="0"/>
              <w:widowControl/>
              <w:numPr>
                <w:ilvl w:val="0"/>
                <w:numId w:val="0"/>
              </w:numPr>
              <w:suppressLineNumbers w:val="0"/>
              <w:wordWrap w:val="0"/>
              <w:spacing w:before="0" w:beforeAutospacing="0" w:after="0" w:afterAutospacing="0"/>
              <w:ind w:right="0" w:rightChars="0"/>
              <w:rPr>
                <w:rFonts w:hint="eastAsia" w:ascii="宋体" w:hAnsi="宋体" w:eastAsia="宋体" w:cs="Times New Roman"/>
                <w:color w:val="auto"/>
                <w:sz w:val="24"/>
                <w:highlight w:val="none"/>
              </w:rPr>
            </w:pPr>
            <w:r>
              <w:rPr>
                <w:rFonts w:hint="eastAsia" w:ascii="宋体" w:hAnsi="宋体" w:cs="Times New Roman"/>
                <w:color w:val="auto"/>
                <w:sz w:val="24"/>
                <w:highlight w:val="none"/>
                <w:lang w:eastAsia="zh-CN"/>
              </w:rPr>
              <w:t>（</w:t>
            </w:r>
            <w:r>
              <w:rPr>
                <w:rFonts w:hint="eastAsia" w:ascii="宋体" w:hAnsi="宋体" w:cs="Times New Roman"/>
                <w:color w:val="auto"/>
                <w:sz w:val="24"/>
                <w:highlight w:val="none"/>
                <w:lang w:val="en-US" w:eastAsia="zh-CN"/>
              </w:rPr>
              <w:t>1）</w:t>
            </w:r>
            <w:r>
              <w:rPr>
                <w:rFonts w:hint="eastAsia" w:ascii="宋体" w:hAnsi="宋体" w:eastAsia="宋体" w:cs="Times New Roman"/>
                <w:color w:val="auto"/>
                <w:sz w:val="24"/>
                <w:highlight w:val="none"/>
              </w:rPr>
              <w:t>本项目代理服务费由中标人支付。</w:t>
            </w:r>
          </w:p>
          <w:p w14:paraId="21FCD8DB">
            <w:pPr>
              <w:jc w:val="left"/>
              <w:rPr>
                <w:rFonts w:hint="default" w:ascii="宋体" w:hAnsi="宋体" w:eastAsia="宋体" w:cs="Times New Roman"/>
                <w:color w:val="auto"/>
                <w:sz w:val="24"/>
                <w:highlight w:val="none"/>
                <w:lang w:val="en-US"/>
              </w:rPr>
            </w:pPr>
            <w:r>
              <w:rPr>
                <w:rFonts w:hint="eastAsia" w:ascii="宋体" w:hAnsi="宋体" w:cs="宋体"/>
                <w:color w:val="auto"/>
                <w:highlight w:val="none"/>
              </w:rPr>
              <w:t>①</w:t>
            </w:r>
            <w:r>
              <w:rPr>
                <w:rFonts w:hint="eastAsia" w:ascii="宋体" w:hAnsi="宋体" w:eastAsia="宋体" w:cs="Times New Roman"/>
                <w:color w:val="auto"/>
                <w:sz w:val="24"/>
                <w:highlight w:val="none"/>
                <w:lang w:eastAsia="zh-CN"/>
              </w:rPr>
              <w:t>中标</w:t>
            </w:r>
            <w:r>
              <w:rPr>
                <w:rFonts w:hint="eastAsia" w:ascii="宋体" w:hAnsi="宋体" w:eastAsia="宋体" w:cs="Times New Roman"/>
                <w:color w:val="auto"/>
                <w:sz w:val="24"/>
                <w:highlight w:val="none"/>
              </w:rPr>
              <w:t>人应在领取</w:t>
            </w:r>
            <w:r>
              <w:rPr>
                <w:rFonts w:hint="eastAsia" w:ascii="宋体" w:hAnsi="宋体" w:eastAsia="宋体" w:cs="Times New Roman"/>
                <w:color w:val="auto"/>
                <w:sz w:val="24"/>
                <w:highlight w:val="none"/>
                <w:lang w:eastAsia="zh-CN"/>
              </w:rPr>
              <w:t>中标</w:t>
            </w:r>
            <w:r>
              <w:rPr>
                <w:rFonts w:hint="eastAsia" w:ascii="宋体" w:hAnsi="宋体" w:eastAsia="宋体" w:cs="Times New Roman"/>
                <w:color w:val="auto"/>
                <w:sz w:val="24"/>
                <w:highlight w:val="none"/>
              </w:rPr>
              <w:t>通知书的同时向招标代理人缴纳</w:t>
            </w:r>
            <w:r>
              <w:rPr>
                <w:rFonts w:hint="eastAsia" w:ascii="宋体" w:hAnsi="宋体" w:eastAsia="宋体" w:cs="Times New Roman"/>
                <w:color w:val="auto"/>
                <w:sz w:val="24"/>
                <w:highlight w:val="none"/>
                <w:lang w:eastAsia="zh-CN"/>
              </w:rPr>
              <w:t>代理</w:t>
            </w:r>
            <w:r>
              <w:rPr>
                <w:rFonts w:hint="eastAsia" w:ascii="宋体" w:hAnsi="宋体" w:eastAsia="宋体" w:cs="Times New Roman"/>
                <w:color w:val="auto"/>
                <w:sz w:val="24"/>
                <w:highlight w:val="none"/>
              </w:rPr>
              <w:t>服务费(其中包含该项目采购有跟标或增加补充而产生的采购金额。但若采购人的实际采购金额低于</w:t>
            </w:r>
            <w:r>
              <w:rPr>
                <w:rFonts w:hint="eastAsia" w:ascii="宋体" w:hAnsi="宋体" w:eastAsia="宋体" w:cs="Times New Roman"/>
                <w:color w:val="auto"/>
                <w:sz w:val="24"/>
                <w:highlight w:val="none"/>
                <w:lang w:eastAsia="zh-CN"/>
              </w:rPr>
              <w:t>中标</w:t>
            </w:r>
            <w:r>
              <w:rPr>
                <w:rFonts w:hint="eastAsia" w:ascii="宋体" w:hAnsi="宋体" w:eastAsia="宋体" w:cs="Times New Roman"/>
                <w:color w:val="auto"/>
                <w:sz w:val="24"/>
                <w:highlight w:val="none"/>
              </w:rPr>
              <w:t>总金额的，招标代理人将不予退还原缴纳的费用)。本项目</w:t>
            </w:r>
            <w:r>
              <w:rPr>
                <w:rFonts w:hint="eastAsia" w:ascii="宋体" w:hAnsi="宋体" w:cs="Times New Roman"/>
                <w:color w:val="auto"/>
                <w:sz w:val="24"/>
                <w:highlight w:val="none"/>
                <w:lang w:eastAsia="zh-CN"/>
              </w:rPr>
              <w:t>各包</w:t>
            </w:r>
            <w:r>
              <w:rPr>
                <w:rFonts w:hint="eastAsia" w:ascii="宋体" w:hAnsi="宋体" w:eastAsia="宋体" w:cs="Times New Roman"/>
                <w:color w:val="auto"/>
                <w:sz w:val="24"/>
                <w:highlight w:val="none"/>
                <w:lang w:val="en-US" w:eastAsia="zh-CN"/>
              </w:rPr>
              <w:t>招标</w:t>
            </w:r>
            <w:r>
              <w:rPr>
                <w:rFonts w:hint="eastAsia" w:ascii="宋体" w:hAnsi="宋体" w:eastAsia="宋体" w:cs="Times New Roman"/>
                <w:color w:val="auto"/>
                <w:sz w:val="24"/>
                <w:highlight w:val="none"/>
              </w:rPr>
              <w:t>代理服务费</w:t>
            </w:r>
            <w:r>
              <w:rPr>
                <w:rFonts w:hint="eastAsia" w:ascii="宋体" w:hAnsi="宋体" w:eastAsia="宋体" w:cs="Times New Roman"/>
                <w:color w:val="auto"/>
                <w:sz w:val="24"/>
                <w:highlight w:val="none"/>
                <w:lang w:val="en-US" w:eastAsia="zh-CN"/>
              </w:rPr>
              <w:t>收费</w:t>
            </w:r>
            <w:r>
              <w:rPr>
                <w:rFonts w:hint="eastAsia" w:ascii="宋体" w:hAnsi="宋体" w:cs="Times New Roman"/>
                <w:color w:val="auto"/>
                <w:sz w:val="24"/>
                <w:highlight w:val="none"/>
                <w:lang w:val="en-US" w:eastAsia="zh-CN"/>
              </w:rPr>
              <w:t>标准：</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val="en-US" w:eastAsia="zh-Hans"/>
              </w:rPr>
              <w:t>代理服务收费</w:t>
            </w:r>
            <w:r>
              <w:rPr>
                <w:rFonts w:hint="eastAsia" w:ascii="宋体" w:hAnsi="宋体" w:eastAsia="宋体" w:cs="宋体"/>
                <w:color w:val="auto"/>
                <w:sz w:val="24"/>
                <w:szCs w:val="24"/>
                <w:highlight w:val="none"/>
                <w:lang w:val="en-US" w:eastAsia="zh-CN"/>
              </w:rPr>
              <w:t>采用</w:t>
            </w:r>
            <w:r>
              <w:rPr>
                <w:rFonts w:hint="eastAsia" w:ascii="宋体" w:hAnsi="宋体" w:eastAsia="宋体" w:cs="宋体"/>
                <w:color w:val="auto"/>
                <w:sz w:val="24"/>
                <w:szCs w:val="24"/>
                <w:highlight w:val="none"/>
                <w:lang w:val="en-US" w:eastAsia="zh-Hans"/>
              </w:rPr>
              <w:t>差额定率累进法计算</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Hans"/>
              </w:rPr>
              <w:t>按</w:t>
            </w:r>
            <w:r>
              <w:rPr>
                <w:rFonts w:hint="eastAsia" w:ascii="宋体" w:hAnsi="宋体" w:eastAsia="宋体" w:cs="宋体"/>
                <w:color w:val="auto"/>
                <w:sz w:val="24"/>
                <w:szCs w:val="24"/>
                <w:highlight w:val="none"/>
                <w:lang w:val="en-US" w:eastAsia="zh-CN"/>
              </w:rPr>
              <w:t>以下标准的40%计算收取：</w:t>
            </w:r>
            <w:r>
              <w:rPr>
                <w:rFonts w:hint="eastAsia" w:ascii="宋体" w:hAnsi="宋体" w:eastAsia="宋体" w:cs="宋体"/>
                <w:color w:val="auto"/>
                <w:kern w:val="0"/>
                <w:sz w:val="24"/>
                <w:szCs w:val="24"/>
                <w:highlight w:val="none"/>
                <w:lang w:val="en-US" w:eastAsia="zh-CN" w:bidi="ar-SA"/>
              </w:rPr>
              <w:t>中标总金额在100万元以下的部分按1.5%缴纳；中标总金额在100万—500万元的部分按08%缴纳；中标总金额在500万—1000万元的部分按0.45%缴纳</w:t>
            </w:r>
            <w:r>
              <w:rPr>
                <w:rFonts w:hint="eastAsia" w:ascii="宋体" w:hAnsi="宋体" w:cs="Times New Roman"/>
                <w:color w:val="auto"/>
                <w:sz w:val="24"/>
                <w:highlight w:val="none"/>
                <w:lang w:val="en-US" w:eastAsia="zh-CN"/>
              </w:rPr>
              <w:t>。</w:t>
            </w:r>
          </w:p>
          <w:p w14:paraId="62F4C661">
            <w:pPr>
              <w:pStyle w:val="19"/>
              <w:widowControl/>
              <w:wordWrap w:val="0"/>
              <w:spacing w:before="0" w:beforeAutospacing="0" w:after="0" w:afterAutospacing="0"/>
              <w:rPr>
                <w:color w:val="auto"/>
                <w:highlight w:val="none"/>
              </w:rPr>
            </w:pPr>
            <w:r>
              <w:rPr>
                <w:rStyle w:val="26"/>
                <w:rFonts w:hint="eastAsia" w:ascii="宋体" w:hAnsi="宋体" w:cs="宋体"/>
                <w:b w:val="0"/>
                <w:bCs/>
                <w:color w:val="auto"/>
                <w:highlight w:val="none"/>
              </w:rPr>
              <w:t>(2)其他</w:t>
            </w:r>
            <w:r>
              <w:rPr>
                <w:rStyle w:val="26"/>
                <w:rFonts w:hint="eastAsia" w:ascii="宋体" w:hAnsi="宋体" w:cs="宋体"/>
                <w:color w:val="auto"/>
                <w:highlight w:val="none"/>
              </w:rPr>
              <w:t>：</w:t>
            </w:r>
            <w:r>
              <w:rPr>
                <w:rFonts w:hint="eastAsia" w:ascii="宋体" w:hAnsi="宋体" w:cs="宋体"/>
                <w:color w:val="auto"/>
                <w:highlight w:val="none"/>
              </w:rPr>
              <w:t>①：投标人资格证明文件若提供资信证明的，提供的资信证明应为投标本单位的基本存款帐户银行开具，且应提供原件有效的扫描件（复印件），内容应完整、清晰、整洁。投标人只提供存款余额状况或开户证明的，不视为资信证明材料，认定其资信证明不完整，为无效投标。</w:t>
            </w:r>
          </w:p>
        </w:tc>
      </w:tr>
    </w:tbl>
    <w:p w14:paraId="71D140DE">
      <w:pPr>
        <w:pStyle w:val="19"/>
        <w:widowControl/>
        <w:spacing w:before="75" w:beforeAutospacing="0" w:after="75" w:afterAutospacing="0"/>
        <w:rPr>
          <w:color w:val="auto"/>
          <w:highlight w:val="none"/>
        </w:rPr>
      </w:pPr>
      <w:r>
        <w:rPr>
          <w:color w:val="auto"/>
          <w:highlight w:val="none"/>
        </w:rPr>
        <w:t> </w:t>
      </w:r>
    </w:p>
    <w:p w14:paraId="0EEA703E">
      <w:pPr>
        <w:pStyle w:val="19"/>
        <w:widowControl/>
        <w:spacing w:before="75" w:beforeAutospacing="0" w:after="75" w:afterAutospacing="0"/>
        <w:rPr>
          <w:color w:val="auto"/>
          <w:highlight w:val="none"/>
        </w:rPr>
      </w:pPr>
    </w:p>
    <w:p w14:paraId="1216FA77">
      <w:pPr>
        <w:pStyle w:val="19"/>
        <w:widowControl/>
        <w:spacing w:before="75" w:beforeAutospacing="0" w:after="75" w:afterAutospacing="0"/>
        <w:rPr>
          <w:color w:val="auto"/>
          <w:highlight w:val="none"/>
        </w:rPr>
      </w:pPr>
    </w:p>
    <w:p w14:paraId="7114DE17">
      <w:pPr>
        <w:pStyle w:val="19"/>
        <w:widowControl/>
        <w:spacing w:before="75" w:beforeAutospacing="0" w:after="75" w:afterAutospacing="0"/>
        <w:rPr>
          <w:color w:val="auto"/>
          <w:highlight w:val="none"/>
        </w:rPr>
      </w:pPr>
    </w:p>
    <w:p w14:paraId="224395A7">
      <w:pPr>
        <w:pStyle w:val="19"/>
        <w:widowControl/>
        <w:spacing w:before="75" w:beforeAutospacing="0" w:after="75" w:afterAutospacing="0"/>
        <w:rPr>
          <w:color w:val="auto"/>
          <w:highlight w:val="none"/>
        </w:rPr>
      </w:pPr>
    </w:p>
    <w:p w14:paraId="442266EF">
      <w:pPr>
        <w:pStyle w:val="19"/>
        <w:widowControl/>
        <w:spacing w:before="75" w:beforeAutospacing="0" w:after="75" w:afterAutospacing="0"/>
        <w:rPr>
          <w:color w:val="auto"/>
          <w:highlight w:val="none"/>
        </w:rPr>
      </w:pPr>
    </w:p>
    <w:p w14:paraId="24E5EB80">
      <w:pPr>
        <w:pStyle w:val="19"/>
        <w:widowControl/>
        <w:spacing w:before="75" w:beforeAutospacing="0" w:after="75" w:afterAutospacing="0"/>
        <w:rPr>
          <w:color w:val="auto"/>
          <w:highlight w:val="none"/>
        </w:rPr>
      </w:pPr>
    </w:p>
    <w:p w14:paraId="781C41CB">
      <w:pPr>
        <w:pStyle w:val="19"/>
        <w:widowControl/>
        <w:spacing w:before="75" w:beforeAutospacing="0" w:after="75" w:afterAutospacing="0"/>
        <w:rPr>
          <w:color w:val="auto"/>
          <w:highlight w:val="none"/>
        </w:rPr>
      </w:pPr>
    </w:p>
    <w:p w14:paraId="6804B082">
      <w:pPr>
        <w:pStyle w:val="19"/>
        <w:widowControl/>
        <w:spacing w:before="75" w:beforeAutospacing="0" w:after="75" w:afterAutospacing="0"/>
        <w:rPr>
          <w:color w:val="auto"/>
          <w:highlight w:val="none"/>
        </w:rPr>
      </w:pPr>
      <w:r>
        <w:rPr>
          <w:color w:val="auto"/>
          <w:highlight w:val="none"/>
        </w:rPr>
        <w:t> </w:t>
      </w:r>
    </w:p>
    <w:p w14:paraId="1513B2B7">
      <w:pPr>
        <w:pStyle w:val="19"/>
        <w:widowControl/>
        <w:spacing w:before="75" w:beforeAutospacing="0" w:after="75" w:afterAutospacing="0"/>
        <w:rPr>
          <w:color w:val="auto"/>
          <w:highlight w:val="none"/>
        </w:rPr>
      </w:pPr>
    </w:p>
    <w:p w14:paraId="4DAFA63E">
      <w:pPr>
        <w:pStyle w:val="19"/>
        <w:widowControl/>
        <w:spacing w:before="75" w:beforeAutospacing="0" w:after="75" w:afterAutospacing="0"/>
        <w:rPr>
          <w:color w:val="auto"/>
          <w:highlight w:val="none"/>
        </w:rPr>
      </w:pPr>
    </w:p>
    <w:p w14:paraId="1E64BC0A">
      <w:pPr>
        <w:pStyle w:val="19"/>
        <w:widowControl/>
        <w:spacing w:before="75" w:beforeAutospacing="0" w:after="75" w:afterAutospacing="0"/>
        <w:rPr>
          <w:color w:val="auto"/>
          <w:highlight w:val="none"/>
        </w:rPr>
      </w:pPr>
    </w:p>
    <w:p w14:paraId="0FF6FD3F">
      <w:pPr>
        <w:pStyle w:val="19"/>
        <w:widowControl/>
        <w:spacing w:before="75" w:beforeAutospacing="0" w:after="75" w:afterAutospacing="0"/>
        <w:rPr>
          <w:color w:val="auto"/>
          <w:highlight w:val="none"/>
        </w:rPr>
      </w:pPr>
    </w:p>
    <w:p w14:paraId="2400D27D">
      <w:pPr>
        <w:pStyle w:val="19"/>
        <w:widowControl/>
        <w:spacing w:before="75" w:beforeAutospacing="0" w:after="75" w:afterAutospacing="0"/>
        <w:rPr>
          <w:color w:val="auto"/>
          <w:highlight w:val="none"/>
        </w:rPr>
      </w:pPr>
    </w:p>
    <w:p w14:paraId="72FDDC59">
      <w:pPr>
        <w:pStyle w:val="19"/>
        <w:widowControl/>
        <w:spacing w:before="75" w:beforeAutospacing="0" w:after="75" w:afterAutospacing="0"/>
        <w:jc w:val="center"/>
        <w:rPr>
          <w:rStyle w:val="26"/>
          <w:rFonts w:hint="eastAsia" w:ascii="宋体" w:hAnsi="宋体" w:cs="宋体"/>
          <w:color w:val="auto"/>
          <w:sz w:val="31"/>
          <w:szCs w:val="31"/>
          <w:highlight w:val="none"/>
        </w:rPr>
      </w:pPr>
    </w:p>
    <w:p w14:paraId="2C0507DC">
      <w:pPr>
        <w:pStyle w:val="19"/>
        <w:widowControl/>
        <w:spacing w:before="75" w:beforeAutospacing="0" w:after="75" w:afterAutospacing="0"/>
        <w:jc w:val="center"/>
        <w:rPr>
          <w:color w:val="auto"/>
          <w:highlight w:val="none"/>
        </w:rPr>
      </w:pPr>
      <w:r>
        <w:rPr>
          <w:rStyle w:val="26"/>
          <w:rFonts w:hint="eastAsia" w:ascii="宋体" w:hAnsi="宋体" w:cs="宋体"/>
          <w:color w:val="auto"/>
          <w:sz w:val="31"/>
          <w:szCs w:val="31"/>
          <w:highlight w:val="none"/>
        </w:rPr>
        <w:t>第三章   投标人须知</w:t>
      </w:r>
    </w:p>
    <w:p w14:paraId="4DB2CCA1">
      <w:pPr>
        <w:pStyle w:val="19"/>
        <w:widowControl/>
        <w:spacing w:before="75" w:beforeAutospacing="0" w:after="75" w:afterAutospacing="0"/>
        <w:rPr>
          <w:color w:val="auto"/>
          <w:highlight w:val="none"/>
        </w:rPr>
      </w:pPr>
      <w:r>
        <w:rPr>
          <w:rFonts w:hint="eastAsia" w:ascii="宋体" w:hAnsi="宋体" w:cs="宋体"/>
          <w:color w:val="auto"/>
          <w:highlight w:val="none"/>
        </w:rPr>
        <w:t> </w:t>
      </w:r>
    </w:p>
    <w:p w14:paraId="380B932A">
      <w:pPr>
        <w:pStyle w:val="19"/>
        <w:widowControl/>
        <w:spacing w:before="75" w:beforeAutospacing="0" w:after="75" w:afterAutospacing="0"/>
        <w:jc w:val="center"/>
        <w:rPr>
          <w:color w:val="auto"/>
          <w:highlight w:val="none"/>
        </w:rPr>
      </w:pPr>
      <w:r>
        <w:rPr>
          <w:rStyle w:val="26"/>
          <w:rFonts w:hint="eastAsia" w:ascii="宋体" w:hAnsi="宋体" w:cs="宋体"/>
          <w:color w:val="auto"/>
          <w:highlight w:val="none"/>
        </w:rPr>
        <w:t>一、总则</w:t>
      </w:r>
    </w:p>
    <w:p w14:paraId="542739DC">
      <w:pPr>
        <w:pStyle w:val="19"/>
        <w:widowControl/>
        <w:spacing w:before="75" w:beforeAutospacing="0" w:after="75" w:afterAutospacing="0"/>
        <w:rPr>
          <w:color w:val="auto"/>
          <w:highlight w:val="none"/>
        </w:rPr>
      </w:pPr>
      <w:r>
        <w:rPr>
          <w:rFonts w:hint="eastAsia" w:ascii="宋体" w:hAnsi="宋体" w:cs="宋体"/>
          <w:color w:val="auto"/>
          <w:highlight w:val="none"/>
        </w:rPr>
        <w:t>1、适用范围</w:t>
      </w:r>
    </w:p>
    <w:p w14:paraId="03D26C18">
      <w:pPr>
        <w:pStyle w:val="19"/>
        <w:widowControl/>
        <w:spacing w:before="75" w:beforeAutospacing="0" w:after="75" w:afterAutospacing="0"/>
        <w:rPr>
          <w:color w:val="auto"/>
          <w:highlight w:val="none"/>
        </w:rPr>
      </w:pPr>
      <w:r>
        <w:rPr>
          <w:rFonts w:hint="eastAsia" w:ascii="宋体" w:hAnsi="宋体" w:cs="宋体"/>
          <w:color w:val="auto"/>
          <w:highlight w:val="none"/>
        </w:rPr>
        <w:t>1.1适用于招标文件载明项目的政府采购活动（以下简称：“本次采购活动”）。</w:t>
      </w:r>
    </w:p>
    <w:p w14:paraId="000580BB">
      <w:pPr>
        <w:pStyle w:val="19"/>
        <w:widowControl/>
        <w:spacing w:before="75" w:beforeAutospacing="0" w:after="75" w:afterAutospacing="0"/>
        <w:rPr>
          <w:color w:val="auto"/>
          <w:highlight w:val="none"/>
        </w:rPr>
      </w:pPr>
      <w:r>
        <w:rPr>
          <w:rFonts w:hint="eastAsia" w:ascii="宋体" w:hAnsi="宋体" w:cs="宋体"/>
          <w:color w:val="auto"/>
          <w:highlight w:val="none"/>
        </w:rPr>
        <w:t>2、定义</w:t>
      </w:r>
    </w:p>
    <w:p w14:paraId="2DB4515A">
      <w:pPr>
        <w:pStyle w:val="19"/>
        <w:widowControl/>
        <w:spacing w:before="75" w:beforeAutospacing="0" w:after="75" w:afterAutospacing="0"/>
        <w:rPr>
          <w:color w:val="auto"/>
          <w:highlight w:val="none"/>
        </w:rPr>
      </w:pPr>
      <w:r>
        <w:rPr>
          <w:rFonts w:hint="eastAsia" w:ascii="宋体" w:hAnsi="宋体" w:cs="宋体"/>
          <w:color w:val="auto"/>
          <w:highlight w:val="none"/>
        </w:rPr>
        <w:t>2.1“采购标的”指招标文件载明的需要采购的货物或服务。</w:t>
      </w:r>
    </w:p>
    <w:p w14:paraId="19511C31">
      <w:pPr>
        <w:pStyle w:val="19"/>
        <w:widowControl/>
        <w:spacing w:before="75" w:beforeAutospacing="0" w:after="75" w:afterAutospacing="0"/>
        <w:rPr>
          <w:color w:val="auto"/>
          <w:highlight w:val="none"/>
        </w:rPr>
      </w:pPr>
      <w:r>
        <w:rPr>
          <w:rFonts w:hint="eastAsia" w:ascii="宋体" w:hAnsi="宋体" w:cs="宋体"/>
          <w:color w:val="auto"/>
          <w:highlight w:val="none"/>
        </w:rPr>
        <w:t>2.2“潜在投标人”指按照招标文件第一章第</w:t>
      </w:r>
      <w:r>
        <w:rPr>
          <w:rFonts w:ascii="Calibri" w:hAnsi="Calibri" w:cs="Calibri"/>
          <w:color w:val="auto"/>
          <w:highlight w:val="none"/>
        </w:rPr>
        <w:t>7</w:t>
      </w:r>
      <w:r>
        <w:rPr>
          <w:rFonts w:hint="eastAsia" w:ascii="宋体" w:hAnsi="宋体" w:cs="宋体"/>
          <w:color w:val="auto"/>
          <w:highlight w:val="none"/>
        </w:rPr>
        <w:t>条规定获取招标文件且有意向参加本项目投标的供应商。</w:t>
      </w:r>
    </w:p>
    <w:p w14:paraId="33F922F3">
      <w:pPr>
        <w:pStyle w:val="19"/>
        <w:widowControl/>
        <w:spacing w:before="75" w:beforeAutospacing="0" w:after="75" w:afterAutospacing="0"/>
        <w:rPr>
          <w:color w:val="auto"/>
          <w:highlight w:val="none"/>
        </w:rPr>
      </w:pPr>
      <w:r>
        <w:rPr>
          <w:rFonts w:hint="eastAsia" w:ascii="宋体" w:hAnsi="宋体" w:cs="宋体"/>
          <w:color w:val="auto"/>
          <w:highlight w:val="none"/>
        </w:rPr>
        <w:t>2.3“投标人”指按照招标文件第一章第</w:t>
      </w:r>
      <w:r>
        <w:rPr>
          <w:rFonts w:ascii="Calibri" w:hAnsi="Calibri" w:cs="Calibri"/>
          <w:color w:val="auto"/>
          <w:highlight w:val="none"/>
        </w:rPr>
        <w:t>7</w:t>
      </w:r>
      <w:r>
        <w:rPr>
          <w:rFonts w:hint="eastAsia" w:ascii="宋体" w:hAnsi="宋体" w:cs="宋体"/>
          <w:color w:val="auto"/>
          <w:highlight w:val="none"/>
        </w:rPr>
        <w:t>条规定获取招标文件并参加本项目投标的供应商。</w:t>
      </w:r>
    </w:p>
    <w:p w14:paraId="23867D6D">
      <w:pPr>
        <w:pStyle w:val="19"/>
        <w:widowControl/>
        <w:spacing w:before="75" w:beforeAutospacing="0" w:after="75" w:afterAutospacing="0"/>
        <w:rPr>
          <w:color w:val="auto"/>
          <w:highlight w:val="none"/>
        </w:rPr>
      </w:pPr>
      <w:r>
        <w:rPr>
          <w:rFonts w:hint="eastAsia" w:ascii="宋体" w:hAnsi="宋体" w:cs="宋体"/>
          <w:color w:val="auto"/>
          <w:highlight w:val="none"/>
        </w:rPr>
        <w:t>2.4“单位负责人”指单位法定代表人或法律、法规规定代表单位行使职权的主要负责人。</w:t>
      </w:r>
    </w:p>
    <w:p w14:paraId="37495CD4">
      <w:pPr>
        <w:pStyle w:val="19"/>
        <w:widowControl/>
        <w:spacing w:before="75" w:beforeAutospacing="0" w:after="75" w:afterAutospacing="0"/>
        <w:rPr>
          <w:color w:val="auto"/>
          <w:highlight w:val="none"/>
        </w:rPr>
      </w:pPr>
      <w:r>
        <w:rPr>
          <w:rFonts w:hint="eastAsia" w:ascii="宋体" w:hAnsi="宋体" w:cs="宋体"/>
          <w:color w:val="auto"/>
          <w:highlight w:val="none"/>
        </w:rPr>
        <w:t>2.5“投标人代表”指投标人的单位负责人或“单位负责人授权书”中载明的接受授权方。</w:t>
      </w:r>
    </w:p>
    <w:p w14:paraId="4B5BEE55">
      <w:pPr>
        <w:pStyle w:val="19"/>
        <w:widowControl/>
        <w:spacing w:before="75" w:beforeAutospacing="0" w:after="75" w:afterAutospacing="0"/>
        <w:rPr>
          <w:color w:val="auto"/>
          <w:highlight w:val="none"/>
        </w:rPr>
      </w:pPr>
      <w:r>
        <w:rPr>
          <w:rFonts w:hint="eastAsia" w:ascii="宋体" w:hAnsi="宋体" w:cs="宋体"/>
          <w:color w:val="auto"/>
          <w:highlight w:val="none"/>
        </w:rPr>
        <w:t> </w:t>
      </w:r>
    </w:p>
    <w:p w14:paraId="3AFA8D57">
      <w:pPr>
        <w:pStyle w:val="19"/>
        <w:widowControl/>
        <w:spacing w:before="75" w:beforeAutospacing="0" w:after="75" w:afterAutospacing="0"/>
        <w:jc w:val="center"/>
        <w:rPr>
          <w:color w:val="auto"/>
          <w:highlight w:val="none"/>
        </w:rPr>
      </w:pPr>
      <w:r>
        <w:rPr>
          <w:rStyle w:val="26"/>
          <w:rFonts w:hint="eastAsia" w:ascii="宋体" w:hAnsi="宋体" w:cs="宋体"/>
          <w:color w:val="auto"/>
          <w:highlight w:val="none"/>
        </w:rPr>
        <w:t>二、投标人</w:t>
      </w:r>
    </w:p>
    <w:p w14:paraId="09FD0CF2">
      <w:pPr>
        <w:pStyle w:val="19"/>
        <w:widowControl/>
        <w:spacing w:before="75" w:beforeAutospacing="0" w:after="75" w:afterAutospacing="0"/>
        <w:rPr>
          <w:color w:val="auto"/>
          <w:highlight w:val="none"/>
        </w:rPr>
      </w:pPr>
      <w:r>
        <w:rPr>
          <w:rFonts w:hint="eastAsia" w:ascii="宋体" w:hAnsi="宋体" w:cs="宋体"/>
          <w:color w:val="auto"/>
          <w:highlight w:val="none"/>
        </w:rPr>
        <w:t>3、合格投标人</w:t>
      </w:r>
    </w:p>
    <w:p w14:paraId="3DF8D2FC">
      <w:pPr>
        <w:pStyle w:val="19"/>
        <w:widowControl/>
        <w:spacing w:before="75" w:beforeAutospacing="0" w:after="75" w:afterAutospacing="0"/>
        <w:rPr>
          <w:color w:val="auto"/>
          <w:highlight w:val="none"/>
        </w:rPr>
      </w:pPr>
      <w:r>
        <w:rPr>
          <w:rFonts w:hint="eastAsia" w:ascii="宋体" w:hAnsi="宋体" w:cs="宋体"/>
          <w:color w:val="auto"/>
          <w:highlight w:val="none"/>
        </w:rPr>
        <w:t>3.1一般规定</w:t>
      </w:r>
    </w:p>
    <w:p w14:paraId="49094A43">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（1）投标人应遵守政府采购法及实施条例、政府采购招投标管理办法、政府采购质疑和投诉办法及财政部、福建省财政厅有关政府采购文件的规定，同时还应遵守有关法律、法规和规章的强制性规定。</w:t>
      </w:r>
    </w:p>
    <w:p w14:paraId="6993666A">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（2）投标人的资格要求：详见招标文件第一章。</w:t>
      </w:r>
    </w:p>
    <w:p w14:paraId="165E1B0E">
      <w:pPr>
        <w:pStyle w:val="19"/>
        <w:widowControl/>
        <w:spacing w:before="75" w:beforeAutospacing="0" w:after="75" w:afterAutospacing="0"/>
        <w:rPr>
          <w:color w:val="auto"/>
          <w:highlight w:val="none"/>
        </w:rPr>
      </w:pPr>
      <w:r>
        <w:rPr>
          <w:rFonts w:hint="eastAsia" w:ascii="宋体" w:hAnsi="宋体" w:cs="宋体"/>
          <w:color w:val="auto"/>
          <w:highlight w:val="none"/>
        </w:rPr>
        <w:t>3.2若本项目接受联合体投标且投标人为联合体，则联合体各方应遵守本章第3.1条规定，同时还应遵守下列规定：</w:t>
      </w:r>
    </w:p>
    <w:p w14:paraId="3E1BAECC">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（1）联合体各方应提交联合体协议，联合体协议应符合招标文件规定。</w:t>
      </w:r>
    </w:p>
    <w:p w14:paraId="42ECB3BD">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（2）联合体各方不得再单独参加或与其他供应商另外组成联合体参加同一合同项下的投标。</w:t>
      </w:r>
    </w:p>
    <w:p w14:paraId="2CF409DC">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（3）联合体各方应共同与采购人签订政府采购合同，就政府采购合同约定的事项对采购人承担连带责任。  </w:t>
      </w:r>
    </w:p>
    <w:p w14:paraId="334C6B5A">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5857ED9F">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（5）联合体一方放弃中标的，视为联合体整体放弃中标，联合体各方承担连带责任。</w:t>
      </w:r>
    </w:p>
    <w:p w14:paraId="35570027">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（6）如本项目不接受联合体投标而投标人为联合体的，或者本项目接受联合体投标但投标人组成的联合体不符合本章第3.2条规定的，投标无效。</w:t>
      </w:r>
    </w:p>
    <w:p w14:paraId="5EF1A31B">
      <w:pPr>
        <w:pStyle w:val="19"/>
        <w:widowControl/>
        <w:spacing w:before="75" w:beforeAutospacing="0" w:after="75" w:afterAutospacing="0"/>
        <w:rPr>
          <w:color w:val="auto"/>
          <w:highlight w:val="none"/>
        </w:rPr>
      </w:pPr>
      <w:r>
        <w:rPr>
          <w:rFonts w:hint="eastAsia" w:ascii="宋体" w:hAnsi="宋体" w:cs="宋体"/>
          <w:color w:val="auto"/>
          <w:highlight w:val="none"/>
        </w:rPr>
        <w:t>4、投标费用</w:t>
      </w:r>
    </w:p>
    <w:p w14:paraId="39B186B1">
      <w:pPr>
        <w:pStyle w:val="19"/>
        <w:widowControl/>
        <w:spacing w:before="75" w:beforeAutospacing="0" w:after="75" w:afterAutospacing="0"/>
        <w:rPr>
          <w:color w:val="auto"/>
          <w:highlight w:val="none"/>
        </w:rPr>
      </w:pPr>
      <w:r>
        <w:rPr>
          <w:rFonts w:hint="eastAsia" w:ascii="宋体" w:hAnsi="宋体" w:cs="宋体"/>
          <w:color w:val="auto"/>
          <w:highlight w:val="none"/>
        </w:rPr>
        <w:t>4.1除招标文件另有规定外，投标人应自行承担其参加本项目投标所涉及的一切费用。</w:t>
      </w:r>
    </w:p>
    <w:p w14:paraId="09C883E0">
      <w:pPr>
        <w:pStyle w:val="19"/>
        <w:widowControl/>
        <w:spacing w:before="75" w:beforeAutospacing="0" w:after="75" w:afterAutospacing="0"/>
        <w:rPr>
          <w:color w:val="auto"/>
          <w:highlight w:val="none"/>
        </w:rPr>
      </w:pPr>
      <w:r>
        <w:rPr>
          <w:rFonts w:hint="eastAsia" w:ascii="宋体" w:hAnsi="宋体" w:cs="宋体"/>
          <w:color w:val="auto"/>
          <w:highlight w:val="none"/>
        </w:rPr>
        <w:t> </w:t>
      </w:r>
    </w:p>
    <w:p w14:paraId="592AB9F1">
      <w:pPr>
        <w:pStyle w:val="19"/>
        <w:widowControl/>
        <w:spacing w:before="75" w:beforeAutospacing="0" w:after="75" w:afterAutospacing="0"/>
        <w:jc w:val="center"/>
        <w:rPr>
          <w:color w:val="auto"/>
          <w:highlight w:val="none"/>
        </w:rPr>
      </w:pPr>
      <w:r>
        <w:rPr>
          <w:rStyle w:val="26"/>
          <w:rFonts w:hint="eastAsia" w:ascii="宋体" w:hAnsi="宋体" w:cs="宋体"/>
          <w:color w:val="auto"/>
          <w:highlight w:val="none"/>
        </w:rPr>
        <w:t>三、招标</w:t>
      </w:r>
    </w:p>
    <w:p w14:paraId="794FD982">
      <w:pPr>
        <w:pStyle w:val="19"/>
        <w:widowControl/>
        <w:spacing w:before="75" w:beforeAutospacing="0" w:after="75" w:afterAutospacing="0"/>
        <w:rPr>
          <w:color w:val="auto"/>
          <w:highlight w:val="none"/>
        </w:rPr>
      </w:pPr>
      <w:r>
        <w:rPr>
          <w:rFonts w:hint="eastAsia" w:ascii="宋体" w:hAnsi="宋体" w:cs="宋体"/>
          <w:color w:val="auto"/>
          <w:highlight w:val="none"/>
        </w:rPr>
        <w:t>5、招标文件</w:t>
      </w:r>
    </w:p>
    <w:p w14:paraId="3EA6E71C">
      <w:pPr>
        <w:pStyle w:val="19"/>
        <w:widowControl/>
        <w:spacing w:before="75" w:beforeAutospacing="0" w:after="75" w:afterAutospacing="0"/>
        <w:rPr>
          <w:color w:val="auto"/>
          <w:highlight w:val="none"/>
        </w:rPr>
      </w:pPr>
      <w:r>
        <w:rPr>
          <w:rFonts w:hint="eastAsia" w:ascii="宋体" w:hAnsi="宋体" w:cs="宋体"/>
          <w:color w:val="auto"/>
          <w:highlight w:val="none"/>
        </w:rPr>
        <w:t>5.1招标文件由下述部分组成：</w:t>
      </w:r>
    </w:p>
    <w:p w14:paraId="17B3A3E4">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（1）投标邀请</w:t>
      </w:r>
    </w:p>
    <w:p w14:paraId="14C75E9E">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（2）投标人须知前附表（表</w:t>
      </w:r>
      <w:r>
        <w:rPr>
          <w:rFonts w:ascii="Calibri" w:hAnsi="Calibri" w:cs="Calibri"/>
          <w:color w:val="auto"/>
          <w:highlight w:val="none"/>
        </w:rPr>
        <w:t>1</w:t>
      </w:r>
      <w:r>
        <w:rPr>
          <w:rFonts w:hint="eastAsia" w:ascii="宋体" w:hAnsi="宋体" w:cs="宋体"/>
          <w:color w:val="auto"/>
          <w:highlight w:val="none"/>
        </w:rPr>
        <w:t>、</w:t>
      </w:r>
      <w:r>
        <w:rPr>
          <w:rFonts w:ascii="Calibri" w:hAnsi="Calibri" w:cs="Calibri"/>
          <w:color w:val="auto"/>
          <w:highlight w:val="none"/>
        </w:rPr>
        <w:t>2</w:t>
      </w:r>
      <w:r>
        <w:rPr>
          <w:rFonts w:hint="eastAsia" w:ascii="宋体" w:hAnsi="宋体" w:cs="宋体"/>
          <w:color w:val="auto"/>
          <w:highlight w:val="none"/>
        </w:rPr>
        <w:t>）</w:t>
      </w:r>
    </w:p>
    <w:p w14:paraId="1F125426">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（3）投标人须知</w:t>
      </w:r>
    </w:p>
    <w:p w14:paraId="04C1CB2C">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（4）资格审查与评标</w:t>
      </w:r>
    </w:p>
    <w:p w14:paraId="7AC5F3C8">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（5）招标内容及要求</w:t>
      </w:r>
    </w:p>
    <w:p w14:paraId="123174AF">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（6）政府采购合同（参考文本）</w:t>
      </w:r>
    </w:p>
    <w:p w14:paraId="14D99DCB">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（7）投标文件格式</w:t>
      </w:r>
    </w:p>
    <w:p w14:paraId="20B05A60">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（8）按照招标文件规定作为招标文件组成部分的其他内容（若有）</w:t>
      </w:r>
    </w:p>
    <w:p w14:paraId="2F48AA99">
      <w:pPr>
        <w:pStyle w:val="19"/>
        <w:widowControl/>
        <w:spacing w:before="75" w:beforeAutospacing="0" w:after="75" w:afterAutospacing="0"/>
        <w:rPr>
          <w:color w:val="auto"/>
          <w:highlight w:val="none"/>
        </w:rPr>
      </w:pPr>
      <w:r>
        <w:rPr>
          <w:rFonts w:hint="eastAsia" w:ascii="宋体" w:hAnsi="宋体" w:cs="宋体"/>
          <w:color w:val="auto"/>
          <w:highlight w:val="none"/>
        </w:rPr>
        <w:t>5.2招标文件的澄清或修改</w:t>
      </w:r>
    </w:p>
    <w:p w14:paraId="008AFCED">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（1）</w:t>
      </w:r>
      <w:r>
        <w:rPr>
          <w:color w:val="auto"/>
          <w:highlight w:val="none"/>
          <w:u w:val="single"/>
        </w:rPr>
        <w:t>福建亿立项目管理有限公司</w:t>
      </w:r>
      <w:r>
        <w:rPr>
          <w:rFonts w:hint="eastAsia" w:ascii="宋体" w:hAnsi="宋体" w:cs="宋体"/>
          <w:color w:val="auto"/>
          <w:highlight w:val="none"/>
        </w:rPr>
        <w:t>可对已发出的招标文件进行必要的澄清或修改，但不得对招标文件载明的采购标的和投标人的资格要求进行改变。</w:t>
      </w:r>
    </w:p>
    <w:p w14:paraId="62224CF5">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（2）除本章第</w:t>
      </w:r>
      <w:r>
        <w:rPr>
          <w:rFonts w:ascii="Calibri" w:hAnsi="Calibri" w:cs="Calibri"/>
          <w:color w:val="auto"/>
          <w:highlight w:val="none"/>
        </w:rPr>
        <w:t>5.2</w:t>
      </w:r>
      <w:r>
        <w:rPr>
          <w:rFonts w:hint="eastAsia" w:ascii="宋体" w:hAnsi="宋体" w:cs="宋体"/>
          <w:color w:val="auto"/>
          <w:highlight w:val="none"/>
        </w:rPr>
        <w:t>条第（</w:t>
      </w:r>
      <w:r>
        <w:rPr>
          <w:rFonts w:ascii="Calibri" w:hAnsi="Calibri" w:cs="Calibri"/>
          <w:color w:val="auto"/>
          <w:highlight w:val="none"/>
        </w:rPr>
        <w:t>3</w:t>
      </w:r>
      <w:r>
        <w:rPr>
          <w:rFonts w:hint="eastAsia" w:ascii="宋体" w:hAnsi="宋体" w:cs="宋体"/>
          <w:color w:val="auto"/>
          <w:highlight w:val="none"/>
        </w:rPr>
        <w:t>）款规定情形外，澄清或修改的内容可能影响投标文件编制的，</w:t>
      </w:r>
      <w:r>
        <w:rPr>
          <w:rFonts w:hint="eastAsia" w:ascii="宋体" w:hAnsi="宋体" w:cs="宋体"/>
          <w:color w:val="auto"/>
          <w:highlight w:val="none"/>
          <w:u w:val="single"/>
        </w:rPr>
        <w:t>福建亿立项目管理有限公司</w:t>
      </w:r>
      <w:r>
        <w:rPr>
          <w:rFonts w:hint="eastAsia" w:ascii="宋体" w:hAnsi="宋体" w:cs="宋体"/>
          <w:color w:val="auto"/>
          <w:highlight w:val="none"/>
        </w:rPr>
        <w:t>将在投标截止时间至少15个日历日前，在招标文件载明的指定媒体以更正公告的形式发布澄清或修改的内容。不足</w:t>
      </w:r>
      <w:r>
        <w:rPr>
          <w:rFonts w:ascii="Calibri" w:hAnsi="Calibri" w:cs="Calibri"/>
          <w:color w:val="auto"/>
          <w:highlight w:val="none"/>
        </w:rPr>
        <w:t>15</w:t>
      </w:r>
      <w:r>
        <w:rPr>
          <w:rFonts w:hint="eastAsia" w:ascii="宋体" w:hAnsi="宋体" w:cs="宋体"/>
          <w:color w:val="auto"/>
          <w:highlight w:val="none"/>
        </w:rPr>
        <w:t>个日历日的，</w:t>
      </w:r>
      <w:r>
        <w:rPr>
          <w:rFonts w:hint="eastAsia" w:ascii="宋体" w:hAnsi="宋体" w:cs="宋体"/>
          <w:color w:val="auto"/>
          <w:highlight w:val="none"/>
          <w:u w:val="single"/>
        </w:rPr>
        <w:t>福建亿立项目管理有限公司</w:t>
      </w:r>
      <w:r>
        <w:rPr>
          <w:rFonts w:hint="eastAsia" w:ascii="宋体" w:hAnsi="宋体" w:cs="宋体"/>
          <w:color w:val="auto"/>
          <w:highlight w:val="none"/>
        </w:rPr>
        <w:t>将顺延投标截止时间及开标时间，</w:t>
      </w:r>
      <w:r>
        <w:rPr>
          <w:rFonts w:hint="eastAsia" w:ascii="宋体" w:hAnsi="宋体" w:cs="宋体"/>
          <w:color w:val="auto"/>
          <w:highlight w:val="none"/>
          <w:u w:val="single"/>
        </w:rPr>
        <w:t>福建亿立项目管理有限公司</w:t>
      </w:r>
      <w:r>
        <w:rPr>
          <w:rFonts w:hint="eastAsia" w:ascii="宋体" w:hAnsi="宋体" w:cs="宋体"/>
          <w:color w:val="auto"/>
          <w:highlight w:val="none"/>
        </w:rPr>
        <w:t>和投标人受原投标截止时间及开标时间制约的所有权利和义务均延长至新的投标截止时间及开标时间。</w:t>
      </w:r>
    </w:p>
    <w:p w14:paraId="753E3E16">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（3）澄清或修改的内容可能改变招标文件载明的采购标的和投标人的资格要求的，本次采购活动结束，</w:t>
      </w:r>
      <w:r>
        <w:rPr>
          <w:rFonts w:hint="eastAsia" w:ascii="宋体" w:hAnsi="宋体" w:cs="宋体"/>
          <w:color w:val="auto"/>
          <w:highlight w:val="none"/>
          <w:u w:val="single"/>
        </w:rPr>
        <w:t>福建亿立项目管理有限公司</w:t>
      </w:r>
      <w:r>
        <w:rPr>
          <w:rFonts w:hint="eastAsia" w:ascii="宋体" w:hAnsi="宋体" w:cs="宋体"/>
          <w:color w:val="auto"/>
          <w:highlight w:val="none"/>
        </w:rPr>
        <w:t>将依法组织后续采购活动（包括但不限于：重新招标、采用其他方式采购等）。</w:t>
      </w:r>
    </w:p>
    <w:p w14:paraId="6F90E47E">
      <w:pPr>
        <w:pStyle w:val="19"/>
        <w:widowControl/>
        <w:spacing w:before="75" w:beforeAutospacing="0" w:after="75" w:afterAutospacing="0"/>
        <w:rPr>
          <w:color w:val="auto"/>
          <w:highlight w:val="none"/>
        </w:rPr>
      </w:pPr>
      <w:r>
        <w:rPr>
          <w:rFonts w:hint="eastAsia" w:ascii="宋体" w:hAnsi="宋体" w:cs="宋体"/>
          <w:color w:val="auto"/>
          <w:highlight w:val="none"/>
        </w:rPr>
        <w:t>6、现场考察或开标前答疑会</w:t>
      </w:r>
    </w:p>
    <w:p w14:paraId="028B982C">
      <w:pPr>
        <w:pStyle w:val="19"/>
        <w:widowControl/>
        <w:spacing w:before="75" w:beforeAutospacing="0" w:after="75" w:afterAutospacing="0"/>
        <w:rPr>
          <w:color w:val="auto"/>
          <w:highlight w:val="none"/>
        </w:rPr>
      </w:pPr>
      <w:r>
        <w:rPr>
          <w:rFonts w:hint="eastAsia" w:ascii="宋体" w:hAnsi="宋体" w:cs="宋体"/>
          <w:color w:val="auto"/>
          <w:highlight w:val="none"/>
        </w:rPr>
        <w:t>6.1是否组织现场考察或召开开标前答疑会：详见招标文件第二章。</w:t>
      </w:r>
    </w:p>
    <w:p w14:paraId="29C92FA7">
      <w:pPr>
        <w:pStyle w:val="19"/>
        <w:widowControl/>
        <w:spacing w:before="75" w:beforeAutospacing="0" w:after="75" w:afterAutospacing="0"/>
        <w:rPr>
          <w:color w:val="auto"/>
          <w:highlight w:val="none"/>
        </w:rPr>
      </w:pPr>
      <w:r>
        <w:rPr>
          <w:rFonts w:hint="eastAsia" w:ascii="宋体" w:hAnsi="宋体" w:cs="宋体"/>
          <w:color w:val="auto"/>
          <w:highlight w:val="none"/>
        </w:rPr>
        <w:t>7、更正公告</w:t>
      </w:r>
    </w:p>
    <w:p w14:paraId="7264CF47">
      <w:pPr>
        <w:pStyle w:val="19"/>
        <w:widowControl/>
        <w:spacing w:before="75" w:beforeAutospacing="0" w:after="75" w:afterAutospacing="0"/>
        <w:rPr>
          <w:color w:val="auto"/>
          <w:highlight w:val="none"/>
        </w:rPr>
      </w:pPr>
      <w:r>
        <w:rPr>
          <w:rFonts w:hint="eastAsia" w:ascii="宋体" w:hAnsi="宋体" w:cs="宋体"/>
          <w:color w:val="auto"/>
          <w:highlight w:val="none"/>
        </w:rPr>
        <w:t>7.1若</w:t>
      </w:r>
      <w:r>
        <w:rPr>
          <w:rFonts w:hint="eastAsia" w:ascii="宋体" w:hAnsi="宋体" w:cs="宋体"/>
          <w:color w:val="auto"/>
          <w:highlight w:val="none"/>
          <w:u w:val="single"/>
        </w:rPr>
        <w:t>福建亿立项目管理有限公司</w:t>
      </w:r>
      <w:r>
        <w:rPr>
          <w:rFonts w:hint="eastAsia" w:ascii="宋体" w:hAnsi="宋体" w:cs="宋体"/>
          <w:color w:val="auto"/>
          <w:highlight w:val="none"/>
        </w:rPr>
        <w:t>发布更正公告，则更正公告及其所发布的内容或信息（包括但不限于：招标文件的澄清或修改、现场考察或答疑会的有关事宜等）</w:t>
      </w:r>
      <w:r>
        <w:rPr>
          <w:rStyle w:val="26"/>
          <w:rFonts w:hint="eastAsia" w:ascii="宋体" w:hAnsi="宋体" w:cs="宋体"/>
          <w:color w:val="auto"/>
          <w:highlight w:val="none"/>
        </w:rPr>
        <w:t>作为招标文件组成部分</w:t>
      </w:r>
      <w:r>
        <w:rPr>
          <w:rFonts w:hint="eastAsia" w:ascii="宋体" w:hAnsi="宋体" w:cs="宋体"/>
          <w:color w:val="auto"/>
          <w:highlight w:val="none"/>
        </w:rPr>
        <w:t>，对投标人具有约束力。</w:t>
      </w:r>
    </w:p>
    <w:p w14:paraId="6E0FB95B">
      <w:pPr>
        <w:pStyle w:val="19"/>
        <w:widowControl/>
        <w:spacing w:before="75" w:beforeAutospacing="0" w:after="75" w:afterAutospacing="0"/>
        <w:rPr>
          <w:color w:val="auto"/>
          <w:highlight w:val="none"/>
        </w:rPr>
      </w:pPr>
      <w:r>
        <w:rPr>
          <w:rFonts w:hint="eastAsia" w:ascii="宋体" w:hAnsi="宋体" w:cs="宋体"/>
          <w:color w:val="auto"/>
          <w:highlight w:val="none"/>
        </w:rPr>
        <w:t>7.2更正公告作为</w:t>
      </w:r>
      <w:r>
        <w:rPr>
          <w:rFonts w:hint="eastAsia" w:ascii="宋体" w:hAnsi="宋体" w:cs="宋体"/>
          <w:color w:val="auto"/>
          <w:highlight w:val="none"/>
          <w:u w:val="single"/>
        </w:rPr>
        <w:t>福建亿立项目管理有限公司</w:t>
      </w:r>
      <w:r>
        <w:rPr>
          <w:rFonts w:hint="eastAsia" w:ascii="宋体" w:hAnsi="宋体" w:cs="宋体"/>
          <w:color w:val="auto"/>
          <w:highlight w:val="none"/>
        </w:rPr>
        <w:t>通知所有潜在投标人的书面形式。</w:t>
      </w:r>
    </w:p>
    <w:p w14:paraId="583CF523">
      <w:pPr>
        <w:pStyle w:val="19"/>
        <w:widowControl/>
        <w:spacing w:before="75" w:beforeAutospacing="0" w:after="75" w:afterAutospacing="0"/>
        <w:rPr>
          <w:color w:val="auto"/>
          <w:highlight w:val="none"/>
        </w:rPr>
      </w:pPr>
      <w:r>
        <w:rPr>
          <w:rFonts w:hint="eastAsia" w:ascii="宋体" w:hAnsi="宋体" w:cs="宋体"/>
          <w:color w:val="auto"/>
          <w:highlight w:val="none"/>
        </w:rPr>
        <w:t>8、终止公告</w:t>
      </w:r>
    </w:p>
    <w:p w14:paraId="32A7C3FD">
      <w:pPr>
        <w:pStyle w:val="19"/>
        <w:widowControl/>
        <w:spacing w:before="75" w:beforeAutospacing="0" w:after="75" w:afterAutospacing="0"/>
        <w:rPr>
          <w:color w:val="auto"/>
          <w:highlight w:val="none"/>
        </w:rPr>
      </w:pPr>
      <w:r>
        <w:rPr>
          <w:rFonts w:hint="eastAsia" w:ascii="宋体" w:hAnsi="宋体" w:cs="宋体"/>
          <w:color w:val="auto"/>
          <w:highlight w:val="none"/>
        </w:rPr>
        <w:t>8.1若出现因重大变故导致采购任务取消情形，福建亿立项目管理有限公司可终止招标并发布终止公告。</w:t>
      </w:r>
    </w:p>
    <w:p w14:paraId="047862D5">
      <w:pPr>
        <w:pStyle w:val="19"/>
        <w:widowControl/>
        <w:spacing w:before="75" w:beforeAutospacing="0" w:after="75" w:afterAutospacing="0"/>
        <w:rPr>
          <w:color w:val="auto"/>
          <w:highlight w:val="none"/>
        </w:rPr>
      </w:pPr>
      <w:r>
        <w:rPr>
          <w:rFonts w:hint="eastAsia" w:ascii="宋体" w:hAnsi="宋体" w:cs="宋体"/>
          <w:color w:val="auto"/>
          <w:highlight w:val="none"/>
        </w:rPr>
        <w:t>8.2终止公告作为福建亿立项目管理有限公司通知所有潜在投标人的书面形式。</w:t>
      </w:r>
    </w:p>
    <w:p w14:paraId="0DFAA1DA">
      <w:pPr>
        <w:pStyle w:val="19"/>
        <w:widowControl/>
        <w:spacing w:before="75" w:beforeAutospacing="0" w:after="75" w:afterAutospacing="0"/>
        <w:rPr>
          <w:color w:val="auto"/>
          <w:highlight w:val="none"/>
        </w:rPr>
      </w:pPr>
      <w:r>
        <w:rPr>
          <w:rFonts w:hint="eastAsia" w:ascii="宋体" w:hAnsi="宋体" w:cs="宋体"/>
          <w:color w:val="auto"/>
          <w:highlight w:val="none"/>
        </w:rPr>
        <w:t> </w:t>
      </w:r>
    </w:p>
    <w:p w14:paraId="77C4B021">
      <w:pPr>
        <w:pStyle w:val="19"/>
        <w:widowControl/>
        <w:spacing w:before="75" w:beforeAutospacing="0" w:after="75" w:afterAutospacing="0"/>
        <w:jc w:val="center"/>
        <w:rPr>
          <w:rStyle w:val="26"/>
          <w:rFonts w:hint="eastAsia" w:ascii="宋体" w:hAnsi="宋体" w:cs="宋体"/>
          <w:color w:val="auto"/>
          <w:highlight w:val="none"/>
        </w:rPr>
      </w:pPr>
    </w:p>
    <w:p w14:paraId="01C55B93">
      <w:pPr>
        <w:pStyle w:val="19"/>
        <w:widowControl/>
        <w:spacing w:before="75" w:beforeAutospacing="0" w:after="75" w:afterAutospacing="0"/>
        <w:jc w:val="center"/>
        <w:rPr>
          <w:rStyle w:val="26"/>
          <w:rFonts w:hint="eastAsia" w:ascii="宋体" w:hAnsi="宋体" w:cs="宋体"/>
          <w:color w:val="auto"/>
          <w:highlight w:val="none"/>
        </w:rPr>
      </w:pPr>
    </w:p>
    <w:p w14:paraId="5DD89647">
      <w:pPr>
        <w:pStyle w:val="19"/>
        <w:widowControl/>
        <w:spacing w:before="75" w:beforeAutospacing="0" w:after="75" w:afterAutospacing="0"/>
        <w:jc w:val="center"/>
        <w:rPr>
          <w:rStyle w:val="26"/>
          <w:rFonts w:hint="eastAsia" w:ascii="宋体" w:hAnsi="宋体" w:cs="宋体"/>
          <w:color w:val="auto"/>
          <w:highlight w:val="none"/>
        </w:rPr>
      </w:pPr>
    </w:p>
    <w:p w14:paraId="165F6763">
      <w:pPr>
        <w:pStyle w:val="19"/>
        <w:widowControl/>
        <w:spacing w:before="75" w:beforeAutospacing="0" w:after="75" w:afterAutospacing="0"/>
        <w:jc w:val="center"/>
        <w:rPr>
          <w:color w:val="auto"/>
          <w:highlight w:val="none"/>
        </w:rPr>
      </w:pPr>
      <w:r>
        <w:rPr>
          <w:rStyle w:val="26"/>
          <w:rFonts w:hint="eastAsia" w:ascii="宋体" w:hAnsi="宋体" w:cs="宋体"/>
          <w:color w:val="auto"/>
          <w:highlight w:val="none"/>
        </w:rPr>
        <w:t>四、投标</w:t>
      </w:r>
    </w:p>
    <w:p w14:paraId="31CA54B7">
      <w:pPr>
        <w:pStyle w:val="19"/>
        <w:widowControl/>
        <w:spacing w:before="75" w:beforeAutospacing="0" w:after="75" w:afterAutospacing="0"/>
        <w:rPr>
          <w:color w:val="auto"/>
          <w:highlight w:val="none"/>
        </w:rPr>
      </w:pPr>
      <w:r>
        <w:rPr>
          <w:rFonts w:hint="eastAsia" w:ascii="宋体" w:hAnsi="宋体" w:cs="宋体"/>
          <w:color w:val="auto"/>
          <w:highlight w:val="none"/>
        </w:rPr>
        <w:t>9、投标</w:t>
      </w:r>
    </w:p>
    <w:p w14:paraId="409116F8">
      <w:pPr>
        <w:pStyle w:val="19"/>
        <w:widowControl/>
        <w:spacing w:before="75" w:beforeAutospacing="0" w:after="75" w:afterAutospacing="0"/>
        <w:rPr>
          <w:color w:val="auto"/>
          <w:highlight w:val="none"/>
        </w:rPr>
      </w:pPr>
      <w:r>
        <w:rPr>
          <w:rFonts w:hint="eastAsia" w:ascii="宋体" w:hAnsi="宋体" w:cs="宋体"/>
          <w:color w:val="auto"/>
          <w:highlight w:val="none"/>
        </w:rPr>
        <w:t>9.1投标人可对招标文件载明的全部或部分采购包进行投标。</w:t>
      </w:r>
    </w:p>
    <w:p w14:paraId="26A47B42">
      <w:pPr>
        <w:pStyle w:val="19"/>
        <w:widowControl/>
        <w:spacing w:before="75" w:beforeAutospacing="0" w:after="75" w:afterAutospacing="0"/>
        <w:rPr>
          <w:color w:val="auto"/>
          <w:highlight w:val="none"/>
        </w:rPr>
      </w:pPr>
      <w:r>
        <w:rPr>
          <w:rFonts w:hint="eastAsia" w:ascii="宋体" w:hAnsi="宋体" w:cs="宋体"/>
          <w:color w:val="auto"/>
          <w:highlight w:val="none"/>
        </w:rPr>
        <w:t>9.2投标人应对同一个采购包内的所有内容进行完整投标，否则</w:t>
      </w:r>
      <w:r>
        <w:rPr>
          <w:rStyle w:val="26"/>
          <w:rFonts w:hint="eastAsia" w:ascii="宋体" w:hAnsi="宋体" w:cs="宋体"/>
          <w:color w:val="auto"/>
          <w:highlight w:val="none"/>
        </w:rPr>
        <w:t>投标无效</w:t>
      </w:r>
      <w:r>
        <w:rPr>
          <w:rFonts w:hint="eastAsia" w:ascii="宋体" w:hAnsi="宋体" w:cs="宋体"/>
          <w:color w:val="auto"/>
          <w:highlight w:val="none"/>
        </w:rPr>
        <w:t>。</w:t>
      </w:r>
    </w:p>
    <w:p w14:paraId="5F400457">
      <w:pPr>
        <w:pStyle w:val="19"/>
        <w:widowControl/>
        <w:spacing w:before="75" w:beforeAutospacing="0" w:after="75" w:afterAutospacing="0"/>
        <w:rPr>
          <w:color w:val="auto"/>
          <w:highlight w:val="none"/>
        </w:rPr>
      </w:pPr>
      <w:r>
        <w:rPr>
          <w:rFonts w:hint="eastAsia" w:ascii="宋体" w:hAnsi="宋体" w:cs="宋体"/>
          <w:color w:val="auto"/>
          <w:highlight w:val="none"/>
        </w:rPr>
        <w:t>9.3投标人代表只能接受一个投标人的授权参加投标，否则</w:t>
      </w:r>
      <w:r>
        <w:rPr>
          <w:rStyle w:val="26"/>
          <w:rFonts w:hint="eastAsia" w:ascii="宋体" w:hAnsi="宋体" w:cs="宋体"/>
          <w:color w:val="auto"/>
          <w:highlight w:val="none"/>
        </w:rPr>
        <w:t>投标无效</w:t>
      </w:r>
      <w:r>
        <w:rPr>
          <w:rFonts w:hint="eastAsia" w:ascii="宋体" w:hAnsi="宋体" w:cs="宋体"/>
          <w:color w:val="auto"/>
          <w:highlight w:val="none"/>
        </w:rPr>
        <w:t>。</w:t>
      </w:r>
    </w:p>
    <w:p w14:paraId="41AA2528">
      <w:pPr>
        <w:pStyle w:val="19"/>
        <w:widowControl/>
        <w:spacing w:before="75" w:beforeAutospacing="0" w:after="75" w:afterAutospacing="0"/>
        <w:rPr>
          <w:color w:val="auto"/>
          <w:highlight w:val="none"/>
        </w:rPr>
      </w:pPr>
      <w:r>
        <w:rPr>
          <w:rFonts w:hint="eastAsia" w:ascii="宋体" w:hAnsi="宋体" w:cs="宋体"/>
          <w:color w:val="auto"/>
          <w:highlight w:val="none"/>
        </w:rPr>
        <w:t>9.4单位负责人为同一人或存在直接控股、管理关系的不同供应商，不得同时参加同一合同项下的投标，否则</w:t>
      </w:r>
      <w:r>
        <w:rPr>
          <w:rStyle w:val="26"/>
          <w:rFonts w:hint="eastAsia" w:ascii="宋体" w:hAnsi="宋体" w:cs="宋体"/>
          <w:color w:val="auto"/>
          <w:highlight w:val="none"/>
        </w:rPr>
        <w:t>投标无效</w:t>
      </w:r>
      <w:r>
        <w:rPr>
          <w:rFonts w:hint="eastAsia" w:ascii="宋体" w:hAnsi="宋体" w:cs="宋体"/>
          <w:color w:val="auto"/>
          <w:highlight w:val="none"/>
        </w:rPr>
        <w:t>。</w:t>
      </w:r>
    </w:p>
    <w:p w14:paraId="2F5C168C">
      <w:pPr>
        <w:pStyle w:val="19"/>
        <w:widowControl/>
        <w:spacing w:before="75" w:beforeAutospacing="0" w:after="75" w:afterAutospacing="0"/>
        <w:rPr>
          <w:color w:val="auto"/>
          <w:highlight w:val="none"/>
        </w:rPr>
      </w:pPr>
      <w:r>
        <w:rPr>
          <w:rFonts w:hint="eastAsia" w:ascii="宋体" w:hAnsi="宋体" w:cs="宋体"/>
          <w:color w:val="auto"/>
          <w:highlight w:val="none"/>
        </w:rPr>
        <w:t>9.5为本项目提供整体设计、规范编制或项目管理、监理、检测等服务的供应商，不得参加本项目除整体设计、规范编制和项目管理、监理、检测等服务外的采购活动，否则</w:t>
      </w:r>
      <w:r>
        <w:rPr>
          <w:rStyle w:val="26"/>
          <w:rFonts w:hint="eastAsia" w:ascii="宋体" w:hAnsi="宋体" w:cs="宋体"/>
          <w:color w:val="auto"/>
          <w:highlight w:val="none"/>
        </w:rPr>
        <w:t>投标无效</w:t>
      </w:r>
      <w:r>
        <w:rPr>
          <w:rFonts w:hint="eastAsia" w:ascii="宋体" w:hAnsi="宋体" w:cs="宋体"/>
          <w:color w:val="auto"/>
          <w:highlight w:val="none"/>
        </w:rPr>
        <w:t>。</w:t>
      </w:r>
    </w:p>
    <w:p w14:paraId="24E07708">
      <w:pPr>
        <w:pStyle w:val="19"/>
        <w:widowControl/>
        <w:spacing w:before="75" w:beforeAutospacing="0" w:after="75" w:afterAutospacing="0"/>
        <w:rPr>
          <w:color w:val="auto"/>
          <w:highlight w:val="none"/>
        </w:rPr>
      </w:pPr>
      <w:r>
        <w:rPr>
          <w:rFonts w:hint="eastAsia" w:ascii="宋体" w:hAnsi="宋体" w:cs="宋体"/>
          <w:color w:val="auto"/>
          <w:highlight w:val="none"/>
        </w:rPr>
        <w:t>9.6列入失信被执行人、重大税收违法案件当事人名单、政府采购严重违法失信行为记录名单及其他不符合政府采购法第二十二条规定条件的供应商，不得参加投标，否则</w:t>
      </w:r>
      <w:r>
        <w:rPr>
          <w:rStyle w:val="26"/>
          <w:rFonts w:hint="eastAsia" w:ascii="宋体" w:hAnsi="宋体" w:cs="宋体"/>
          <w:color w:val="auto"/>
          <w:highlight w:val="none"/>
        </w:rPr>
        <w:t>投标无效</w:t>
      </w:r>
      <w:r>
        <w:rPr>
          <w:rFonts w:hint="eastAsia" w:ascii="宋体" w:hAnsi="宋体" w:cs="宋体"/>
          <w:color w:val="auto"/>
          <w:highlight w:val="none"/>
        </w:rPr>
        <w:t>。</w:t>
      </w:r>
    </w:p>
    <w:p w14:paraId="2079C238">
      <w:pPr>
        <w:pStyle w:val="19"/>
        <w:widowControl/>
        <w:spacing w:before="75" w:beforeAutospacing="0" w:after="75" w:afterAutospacing="0"/>
        <w:rPr>
          <w:color w:val="auto"/>
          <w:highlight w:val="none"/>
        </w:rPr>
      </w:pPr>
      <w:r>
        <w:rPr>
          <w:rFonts w:hint="eastAsia" w:ascii="宋体" w:hAnsi="宋体" w:cs="宋体"/>
          <w:color w:val="auto"/>
          <w:highlight w:val="none"/>
        </w:rPr>
        <w:t>9.7有下列情形之一的，视为投标人串通投标，</w:t>
      </w:r>
      <w:r>
        <w:rPr>
          <w:rStyle w:val="26"/>
          <w:rFonts w:hint="eastAsia" w:ascii="宋体" w:hAnsi="宋体" w:cs="宋体"/>
          <w:color w:val="auto"/>
          <w:highlight w:val="none"/>
        </w:rPr>
        <w:t>其投标无效：</w:t>
      </w:r>
    </w:p>
    <w:p w14:paraId="23F484EE">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（1）不同投标人的投标文件由同一单位或个人编制；</w:t>
      </w:r>
    </w:p>
    <w:p w14:paraId="23C54C3C">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（2）不同投标人委托同一单位或个人办理投标事宜；</w:t>
      </w:r>
    </w:p>
    <w:p w14:paraId="19C33C05">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（3）不同投标人的投标文件载明的项目管理成员或联系人员为同一人；</w:t>
      </w:r>
    </w:p>
    <w:p w14:paraId="7FEF44F8">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（4）不同投标人的投标文件异常一致或投标报价呈规律性差异；</w:t>
      </w:r>
    </w:p>
    <w:p w14:paraId="3847C14B">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（5）不同投标人的投标文件相互混装；</w:t>
      </w:r>
    </w:p>
    <w:p w14:paraId="4A29EB5C">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（6）不同投标人的投标保证金从同一单位或个人的账户转出；</w:t>
      </w:r>
    </w:p>
    <w:p w14:paraId="2F983D0E">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（7）有关法律、法规和规章及招标文件规定的其他串通投标情形。</w:t>
      </w:r>
    </w:p>
    <w:p w14:paraId="20D61407">
      <w:pPr>
        <w:pStyle w:val="19"/>
        <w:widowControl/>
        <w:spacing w:before="75" w:beforeAutospacing="0" w:after="75" w:afterAutospacing="0"/>
        <w:rPr>
          <w:color w:val="auto"/>
          <w:highlight w:val="none"/>
        </w:rPr>
      </w:pPr>
      <w:r>
        <w:rPr>
          <w:rFonts w:hint="eastAsia" w:ascii="宋体" w:hAnsi="宋体" w:cs="宋体"/>
          <w:color w:val="auto"/>
          <w:highlight w:val="none"/>
        </w:rPr>
        <w:t>10、投标文件</w:t>
      </w:r>
    </w:p>
    <w:p w14:paraId="4EE4A131">
      <w:pPr>
        <w:pStyle w:val="19"/>
        <w:widowControl/>
        <w:spacing w:before="75" w:beforeAutospacing="0" w:after="75" w:afterAutospacing="0"/>
        <w:rPr>
          <w:color w:val="auto"/>
          <w:highlight w:val="none"/>
        </w:rPr>
      </w:pPr>
      <w:r>
        <w:rPr>
          <w:rFonts w:hint="eastAsia" w:ascii="宋体" w:hAnsi="宋体" w:cs="宋体"/>
          <w:color w:val="auto"/>
          <w:highlight w:val="none"/>
        </w:rPr>
        <w:t>10.1投标文件的编制</w:t>
      </w:r>
    </w:p>
    <w:p w14:paraId="5DEA7113">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（1）投标人应先仔细阅读招标文件的全部内容后，再进行投标文件的编制。</w:t>
      </w:r>
    </w:p>
    <w:p w14:paraId="0B1B7E92">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（2）投标文件应按照本章第</w:t>
      </w:r>
      <w:r>
        <w:rPr>
          <w:rFonts w:ascii="Calibri" w:hAnsi="Calibri" w:cs="Calibri"/>
          <w:color w:val="auto"/>
          <w:highlight w:val="none"/>
        </w:rPr>
        <w:t>10.2</w:t>
      </w:r>
      <w:r>
        <w:rPr>
          <w:rFonts w:hint="eastAsia" w:ascii="宋体" w:hAnsi="宋体" w:cs="宋体"/>
          <w:color w:val="auto"/>
          <w:highlight w:val="none"/>
        </w:rPr>
        <w:t>条规定编制其组成部分。</w:t>
      </w:r>
    </w:p>
    <w:p w14:paraId="44F3FEEC">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（3）投标文件应满足招标文件提出的实质性要求和条件，并保证其所提交的全部资料是不可割离且真实、有效、准确、完整和不具有任何误导性的，否则造成不利后果由投标人承担责任。</w:t>
      </w:r>
    </w:p>
    <w:p w14:paraId="08C56313">
      <w:pPr>
        <w:pStyle w:val="19"/>
        <w:widowControl/>
        <w:spacing w:before="75" w:beforeAutospacing="0" w:after="75" w:afterAutospacing="0"/>
        <w:rPr>
          <w:color w:val="auto"/>
          <w:highlight w:val="none"/>
        </w:rPr>
      </w:pPr>
      <w:r>
        <w:rPr>
          <w:rFonts w:hint="eastAsia" w:ascii="宋体" w:hAnsi="宋体" w:cs="宋体"/>
          <w:color w:val="auto"/>
          <w:highlight w:val="none"/>
        </w:rPr>
        <w:t>10.2投标文件由下述部分组成：</w:t>
      </w:r>
    </w:p>
    <w:p w14:paraId="621D1A30">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（1）资格及资信证明部分</w:t>
      </w:r>
    </w:p>
    <w:p w14:paraId="21AD7F58">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①投标函</w:t>
      </w:r>
    </w:p>
    <w:p w14:paraId="1A035C1D">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②投标人的资格及资信证明文件</w:t>
      </w:r>
    </w:p>
    <w:p w14:paraId="790752BD">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③投标保证金</w:t>
      </w:r>
    </w:p>
    <w:p w14:paraId="66DEAA95">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（2）报价部分</w:t>
      </w:r>
    </w:p>
    <w:p w14:paraId="67AFDB18">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①开标一览表</w:t>
      </w:r>
    </w:p>
    <w:p w14:paraId="6BD9D13C">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②投标分项报价表</w:t>
      </w:r>
    </w:p>
    <w:p w14:paraId="1B9AE2C4">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③招标文件规定的价格扣除证明材料（若有）</w:t>
      </w:r>
    </w:p>
    <w:p w14:paraId="6889C936">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④招标文件规定的加分证明材料（若有）</w:t>
      </w:r>
    </w:p>
    <w:p w14:paraId="26063529">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（3）技术商务部分</w:t>
      </w:r>
    </w:p>
    <w:p w14:paraId="74D30BBE">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①标的说明一览表</w:t>
      </w:r>
    </w:p>
    <w:p w14:paraId="46D683C1">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②技术和服务要求响应表</w:t>
      </w:r>
    </w:p>
    <w:p w14:paraId="769EA8C4">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③商务条件响应表</w:t>
      </w:r>
    </w:p>
    <w:p w14:paraId="25404DE4">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④投标人提交的其他资料（若有）</w:t>
      </w:r>
    </w:p>
    <w:p w14:paraId="13D07AA8">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⑤招标文件规定作为投标文件组成部分的其他内容（若有）</w:t>
      </w:r>
    </w:p>
    <w:p w14:paraId="25A62E99">
      <w:pPr>
        <w:pStyle w:val="19"/>
        <w:widowControl/>
        <w:spacing w:before="75" w:beforeAutospacing="0" w:after="75" w:afterAutospacing="0"/>
        <w:rPr>
          <w:color w:val="auto"/>
          <w:highlight w:val="none"/>
        </w:rPr>
      </w:pPr>
      <w:r>
        <w:rPr>
          <w:rFonts w:hint="eastAsia" w:ascii="宋体" w:hAnsi="宋体" w:cs="宋体"/>
          <w:color w:val="auto"/>
          <w:highlight w:val="none"/>
        </w:rPr>
        <w:t>10.3投标文件的语言</w:t>
      </w:r>
    </w:p>
    <w:p w14:paraId="20452DC6">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（1）除招标文件另有规定外，投标文件应使用中文文本，若有不同文本，以中文文本为准。</w:t>
      </w:r>
    </w:p>
    <w:p w14:paraId="18D25BE9">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0D06AAA4">
      <w:pPr>
        <w:pStyle w:val="19"/>
        <w:widowControl/>
        <w:spacing w:before="75" w:beforeAutospacing="0" w:after="75" w:afterAutospacing="0"/>
        <w:rPr>
          <w:color w:val="auto"/>
          <w:highlight w:val="none"/>
        </w:rPr>
      </w:pPr>
      <w:r>
        <w:rPr>
          <w:rFonts w:hint="eastAsia" w:ascii="宋体" w:hAnsi="宋体" w:cs="宋体"/>
          <w:color w:val="auto"/>
          <w:highlight w:val="none"/>
        </w:rPr>
        <w:t>10.4投标文件的份数：详见招标文件第二章。</w:t>
      </w:r>
    </w:p>
    <w:p w14:paraId="50982459">
      <w:pPr>
        <w:pStyle w:val="19"/>
        <w:widowControl/>
        <w:spacing w:before="75" w:beforeAutospacing="0" w:after="75" w:afterAutospacing="0"/>
        <w:rPr>
          <w:color w:val="auto"/>
          <w:highlight w:val="none"/>
        </w:rPr>
      </w:pPr>
      <w:r>
        <w:rPr>
          <w:rFonts w:hint="eastAsia" w:ascii="宋体" w:hAnsi="宋体" w:cs="宋体"/>
          <w:color w:val="auto"/>
          <w:highlight w:val="none"/>
        </w:rPr>
        <w:t>10.5投标文件的格式</w:t>
      </w:r>
    </w:p>
    <w:p w14:paraId="324BA7D8">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（1）除招标文件另有规定外，投标文件应使用招标文件第七章规定的格式。</w:t>
      </w:r>
    </w:p>
    <w:p w14:paraId="7004788C">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（2）除招标文件另有规定外，投标文件应使用不能擦去的墨料或墨水打印、书写或复印。</w:t>
      </w:r>
    </w:p>
    <w:p w14:paraId="642DF5E0">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（3）除招标文件另有规定外，投标文件应使用人民币作为计量货币。</w:t>
      </w:r>
    </w:p>
    <w:p w14:paraId="02221C27">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（4）除招标文件另有规定外，签署、盖章应遵守下列规定：</w:t>
      </w:r>
    </w:p>
    <w:p w14:paraId="58FE7A1A">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①投标文件应加盖投标人的单位公章。若投标人代表为单位授权的委托代理人，应提供“单位授权书”。</w:t>
      </w:r>
    </w:p>
    <w:p w14:paraId="2095454F">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②投标文件应没有涂改或行间插字，除非这些改动是根据</w:t>
      </w:r>
      <w:r>
        <w:rPr>
          <w:rFonts w:hint="eastAsia" w:ascii="宋体" w:hAnsi="宋体" w:cs="宋体"/>
          <w:color w:val="auto"/>
          <w:highlight w:val="none"/>
          <w:u w:val="single"/>
        </w:rPr>
        <w:t>福建亿立项目管理有限公司</w:t>
      </w:r>
      <w:r>
        <w:rPr>
          <w:rFonts w:hint="eastAsia" w:ascii="宋体" w:hAnsi="宋体" w:cs="宋体"/>
          <w:color w:val="auto"/>
          <w:highlight w:val="none"/>
        </w:rPr>
        <w:t>的指示进行的，或是为改正投标人造成的应修改的错误而进行的。若有前述改动，应按照下列规定之一对改动处进行处理：</w:t>
      </w:r>
    </w:p>
    <w:p w14:paraId="0C7888A0">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a.投标人代表签字确认；</w:t>
      </w:r>
    </w:p>
    <w:p w14:paraId="06A23701">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b.加盖投标人的单位公章或校正章。</w:t>
      </w:r>
    </w:p>
    <w:p w14:paraId="409EAB75">
      <w:pPr>
        <w:pStyle w:val="19"/>
        <w:widowControl/>
        <w:spacing w:before="75" w:beforeAutospacing="0" w:after="75" w:afterAutospacing="0"/>
        <w:rPr>
          <w:color w:val="auto"/>
          <w:highlight w:val="none"/>
        </w:rPr>
      </w:pPr>
      <w:r>
        <w:rPr>
          <w:rFonts w:hint="eastAsia" w:ascii="宋体" w:hAnsi="宋体" w:cs="宋体"/>
          <w:color w:val="auto"/>
          <w:highlight w:val="none"/>
        </w:rPr>
        <w:t>10.6投标报价</w:t>
      </w:r>
    </w:p>
    <w:p w14:paraId="67203DBE">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（1）投标报价超出最高限价将导致</w:t>
      </w:r>
      <w:r>
        <w:rPr>
          <w:rStyle w:val="26"/>
          <w:rFonts w:hint="eastAsia" w:ascii="宋体" w:hAnsi="宋体" w:cs="宋体"/>
          <w:color w:val="auto"/>
          <w:highlight w:val="none"/>
        </w:rPr>
        <w:t>投标无效。</w:t>
      </w:r>
    </w:p>
    <w:p w14:paraId="5E057F72">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（2）最高限价由采购人根据价格测算情况，在预算金额的额度内合理设定。最高限价不得超出预算金额。</w:t>
      </w:r>
    </w:p>
    <w:p w14:paraId="400FA894">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（3）除招标文件另有规定外，投标文件不能出现任何选择性的投标报价，即每一个采购包和品目号的采购标的都只能有一个投标报价。任何选择性的投标报价将导致</w:t>
      </w:r>
      <w:r>
        <w:rPr>
          <w:rStyle w:val="26"/>
          <w:rFonts w:hint="eastAsia" w:ascii="宋体" w:hAnsi="宋体" w:cs="宋体"/>
          <w:color w:val="auto"/>
          <w:highlight w:val="none"/>
        </w:rPr>
        <w:t>投标无效。</w:t>
      </w:r>
    </w:p>
    <w:p w14:paraId="60AFA69D">
      <w:pPr>
        <w:pStyle w:val="19"/>
        <w:widowControl/>
        <w:spacing w:before="75" w:beforeAutospacing="0" w:after="75" w:afterAutospacing="0"/>
        <w:rPr>
          <w:color w:val="auto"/>
          <w:highlight w:val="none"/>
        </w:rPr>
      </w:pPr>
      <w:r>
        <w:rPr>
          <w:rFonts w:hint="eastAsia" w:ascii="宋体" w:hAnsi="宋体" w:cs="宋体"/>
          <w:color w:val="auto"/>
          <w:highlight w:val="none"/>
        </w:rPr>
        <w:t>10.7分包</w:t>
      </w:r>
    </w:p>
    <w:p w14:paraId="5B14B2C5">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（1）是否允许中标人将本项目的非主体、非关键性工作进行分包：详见招标文件第二章。</w:t>
      </w:r>
    </w:p>
    <w:p w14:paraId="7AA35A3D">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2）若允许中标人将本项目的非主体、非关键性工作进行分包且投标人拟在中标后进行分包，则应在投标文件中提供分包意向协议，同时投标人应在投标文件中载明分包承担主体，分包承担主体应具备相应资质条件（若有）且不得再次分包。</w:t>
      </w:r>
    </w:p>
    <w:p w14:paraId="37A0657C">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（3）招标文件允许中标人将非主体、非关键性工作进行分包的项目，有下列情形之一的，中标人不得分包：</w:t>
      </w:r>
    </w:p>
    <w:p w14:paraId="142D90CA">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①投标文件中未载明分包承担主体；</w:t>
      </w:r>
    </w:p>
    <w:p w14:paraId="36F67544">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②投标文件载明的分包承担主体不具备相应资质条件；</w:t>
      </w:r>
    </w:p>
    <w:p w14:paraId="548C289B">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③投标文件载明的分包承担主体拟再次分包；</w:t>
      </w:r>
    </w:p>
    <w:p w14:paraId="3061736A">
      <w:pPr>
        <w:pStyle w:val="19"/>
        <w:widowControl/>
        <w:rPr>
          <w:color w:val="auto"/>
          <w:highlight w:val="none"/>
        </w:rPr>
      </w:pPr>
      <w:r>
        <w:rPr>
          <w:rFonts w:hint="eastAsia" w:ascii="宋体" w:hAnsi="宋体" w:cs="宋体"/>
          <w:color w:val="auto"/>
          <w:highlight w:val="none"/>
        </w:rPr>
        <w:t>  ④享受中小企业扶持政策获得政府采购合同的，小微企业不得将合同分包给大中型企业，中型企业不得将合同分包给大型企业。</w:t>
      </w:r>
    </w:p>
    <w:p w14:paraId="1C200343">
      <w:pPr>
        <w:pStyle w:val="19"/>
        <w:widowControl/>
        <w:spacing w:before="75" w:beforeAutospacing="0" w:after="75" w:afterAutospacing="0"/>
        <w:rPr>
          <w:color w:val="auto"/>
          <w:highlight w:val="none"/>
        </w:rPr>
      </w:pPr>
      <w:r>
        <w:rPr>
          <w:rFonts w:hint="eastAsia" w:ascii="宋体" w:hAnsi="宋体" w:cs="宋体"/>
          <w:color w:val="auto"/>
          <w:highlight w:val="none"/>
        </w:rPr>
        <w:t>10.8投标有效期</w:t>
      </w:r>
    </w:p>
    <w:p w14:paraId="341D6788">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（1）招标文件载明的投标有效期：详见招标文件第二章。</w:t>
      </w:r>
    </w:p>
    <w:p w14:paraId="372E2189">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（2）投标文件承诺的投标有效期不得少于招标文件载明的投标有效期，否则</w:t>
      </w:r>
      <w:r>
        <w:rPr>
          <w:rStyle w:val="26"/>
          <w:rFonts w:hint="eastAsia" w:ascii="宋体" w:hAnsi="宋体" w:cs="宋体"/>
          <w:color w:val="auto"/>
          <w:highlight w:val="none"/>
        </w:rPr>
        <w:t>投标无效</w:t>
      </w:r>
      <w:r>
        <w:rPr>
          <w:rFonts w:hint="eastAsia" w:ascii="宋体" w:hAnsi="宋体" w:cs="宋体"/>
          <w:color w:val="auto"/>
          <w:highlight w:val="none"/>
        </w:rPr>
        <w:t>。</w:t>
      </w:r>
    </w:p>
    <w:p w14:paraId="420D73DF">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（3）根据本次采购活动的需要，</w:t>
      </w:r>
      <w:r>
        <w:rPr>
          <w:rFonts w:hint="eastAsia" w:ascii="宋体" w:hAnsi="宋体" w:cs="宋体"/>
          <w:color w:val="auto"/>
          <w:highlight w:val="none"/>
          <w:u w:val="single"/>
        </w:rPr>
        <w:t>福建亿立项目管理有限公司</w:t>
      </w:r>
      <w:r>
        <w:rPr>
          <w:rFonts w:hint="eastAsia" w:ascii="宋体" w:hAnsi="宋体" w:cs="宋体"/>
          <w:color w:val="auto"/>
          <w:highlight w:val="none"/>
        </w:rPr>
        <w:t>可于投标有效期届满之前书面要求投标人延长投标有效期，投标人应在</w:t>
      </w:r>
      <w:r>
        <w:rPr>
          <w:rFonts w:hint="eastAsia" w:ascii="宋体" w:hAnsi="宋体" w:cs="宋体"/>
          <w:color w:val="auto"/>
          <w:highlight w:val="none"/>
          <w:u w:val="single"/>
        </w:rPr>
        <w:t>福建亿立项目管理有限公司</w:t>
      </w:r>
      <w:r>
        <w:rPr>
          <w:rFonts w:hint="eastAsia" w:ascii="宋体" w:hAnsi="宋体" w:cs="宋体"/>
          <w:color w:val="auto"/>
          <w:highlight w:val="none"/>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14:paraId="01BE9727">
      <w:pPr>
        <w:pStyle w:val="19"/>
        <w:widowControl/>
        <w:spacing w:before="75" w:beforeAutospacing="0" w:after="75" w:afterAutospacing="0"/>
        <w:rPr>
          <w:color w:val="auto"/>
          <w:highlight w:val="none"/>
        </w:rPr>
      </w:pPr>
      <w:r>
        <w:rPr>
          <w:rFonts w:hint="eastAsia" w:ascii="宋体" w:hAnsi="宋体" w:cs="宋体"/>
          <w:color w:val="auto"/>
          <w:highlight w:val="none"/>
        </w:rPr>
        <w:t>10.9投标保证金</w:t>
      </w:r>
    </w:p>
    <w:p w14:paraId="58AC250F">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（1）投标保证金作为投标人按照招标文件规定履行相应投标责任、义务的约束及担保。</w:t>
      </w:r>
    </w:p>
    <w:p w14:paraId="5CCF492E">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（2）投标保证金的有效期应与投标文件承诺的投标有效期保持一致，否则</w:t>
      </w:r>
      <w:r>
        <w:rPr>
          <w:rStyle w:val="26"/>
          <w:rFonts w:hint="eastAsia" w:ascii="宋体" w:hAnsi="宋体" w:cs="宋体"/>
          <w:color w:val="auto"/>
          <w:highlight w:val="none"/>
        </w:rPr>
        <w:t>投标无效</w:t>
      </w:r>
      <w:r>
        <w:rPr>
          <w:rFonts w:hint="eastAsia" w:ascii="宋体" w:hAnsi="宋体" w:cs="宋体"/>
          <w:color w:val="auto"/>
          <w:highlight w:val="none"/>
        </w:rPr>
        <w:t>。</w:t>
      </w:r>
    </w:p>
    <w:p w14:paraId="01224808">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（3）提交</w:t>
      </w:r>
    </w:p>
    <w:p w14:paraId="2414176F">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①投标人应从其银行账户</w:t>
      </w:r>
      <w:r>
        <w:rPr>
          <w:rStyle w:val="26"/>
          <w:rFonts w:hint="eastAsia" w:ascii="宋体" w:hAnsi="宋体" w:cs="宋体"/>
          <w:color w:val="auto"/>
          <w:highlight w:val="none"/>
        </w:rPr>
        <w:t>（基本存款账户）</w:t>
      </w:r>
      <w:r>
        <w:rPr>
          <w:rFonts w:hint="eastAsia" w:ascii="宋体" w:hAnsi="宋体" w:cs="宋体"/>
          <w:color w:val="auto"/>
          <w:highlight w:val="none"/>
        </w:rPr>
        <w:t>按照下列方式：</w:t>
      </w:r>
      <w:r>
        <w:rPr>
          <w:rStyle w:val="26"/>
          <w:rFonts w:hint="eastAsia" w:ascii="宋体" w:hAnsi="宋体" w:cs="宋体"/>
          <w:color w:val="auto"/>
          <w:highlight w:val="none"/>
        </w:rPr>
        <w:t>公对公转账方式</w:t>
      </w:r>
      <w:r>
        <w:rPr>
          <w:rFonts w:hint="eastAsia" w:ascii="宋体" w:hAnsi="宋体" w:cs="宋体"/>
          <w:color w:val="auto"/>
          <w:highlight w:val="none"/>
        </w:rPr>
        <w:t>向招标文件载明的投标保证金账户提交投标保证金，具体金额详见招标文件第一章。</w:t>
      </w:r>
    </w:p>
    <w:p w14:paraId="53F851BA">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②投标保证金应于投标截止时间前到达招标文件载明的投标保证金账户，否则视为投标保证金未提交；是否到达按照下列方式认定：</w:t>
      </w:r>
      <w:r>
        <w:rPr>
          <w:rStyle w:val="26"/>
          <w:rFonts w:hint="eastAsia" w:ascii="宋体" w:hAnsi="宋体" w:cs="宋体"/>
          <w:color w:val="auto"/>
          <w:highlight w:val="none"/>
        </w:rPr>
        <w:t>以招标文件载明的投标保证金账户的到账时间为准。</w:t>
      </w:r>
    </w:p>
    <w:p w14:paraId="09FF88A0">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③若本项目接受联合体投标且投标人为联合体，则联合体中的牵头方应按照本章第</w:t>
      </w:r>
      <w:r>
        <w:rPr>
          <w:rFonts w:ascii="Calibri" w:hAnsi="Calibri" w:cs="Calibri"/>
          <w:color w:val="auto"/>
          <w:highlight w:val="none"/>
        </w:rPr>
        <w:t>10.9</w:t>
      </w:r>
      <w:r>
        <w:rPr>
          <w:rFonts w:hint="eastAsia" w:ascii="宋体" w:hAnsi="宋体" w:cs="宋体"/>
          <w:color w:val="auto"/>
          <w:highlight w:val="none"/>
        </w:rPr>
        <w:t>条第（</w:t>
      </w:r>
      <w:r>
        <w:rPr>
          <w:rFonts w:ascii="Calibri" w:hAnsi="Calibri" w:cs="Calibri"/>
          <w:color w:val="auto"/>
          <w:highlight w:val="none"/>
        </w:rPr>
        <w:t>3</w:t>
      </w:r>
      <w:r>
        <w:rPr>
          <w:rFonts w:hint="eastAsia" w:ascii="宋体" w:hAnsi="宋体" w:cs="宋体"/>
          <w:color w:val="auto"/>
          <w:highlight w:val="none"/>
        </w:rPr>
        <w:t>）款第①、②点规定提交投标保证金。</w:t>
      </w:r>
    </w:p>
    <w:p w14:paraId="58EA720F">
      <w:pPr>
        <w:pStyle w:val="19"/>
        <w:widowControl/>
        <w:spacing w:before="75" w:beforeAutospacing="0" w:after="75" w:afterAutospacing="0"/>
        <w:ind w:firstLine="480"/>
        <w:rPr>
          <w:color w:val="auto"/>
          <w:highlight w:val="none"/>
        </w:rPr>
      </w:pPr>
      <w:r>
        <w:rPr>
          <w:rStyle w:val="26"/>
          <w:rFonts w:hint="eastAsia" w:ascii="宋体" w:hAnsi="宋体" w:cs="宋体"/>
          <w:color w:val="auto"/>
          <w:highlight w:val="none"/>
        </w:rPr>
        <w:t>※除招标文件另有规定外，未按照上述规定提交投标保证金将导致资格审查不合格。</w:t>
      </w:r>
    </w:p>
    <w:p w14:paraId="5987739F">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（4）退还</w:t>
      </w:r>
    </w:p>
    <w:p w14:paraId="6B76E7C5">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①在投标截止时间前撤回已提交的投标文件的投标人，其投标保证金将在</w:t>
      </w:r>
      <w:r>
        <w:rPr>
          <w:rFonts w:hint="eastAsia" w:ascii="宋体" w:hAnsi="宋体" w:cs="宋体"/>
          <w:color w:val="auto"/>
          <w:highlight w:val="none"/>
          <w:u w:val="single"/>
        </w:rPr>
        <w:t>福建亿立项目管理有限公司</w:t>
      </w:r>
      <w:r>
        <w:rPr>
          <w:rFonts w:hint="eastAsia" w:ascii="宋体" w:hAnsi="宋体" w:cs="宋体"/>
          <w:color w:val="auto"/>
          <w:highlight w:val="none"/>
        </w:rPr>
        <w:t>收到投标人书面撤回通知之日起5个工作日内退回原账户。</w:t>
      </w:r>
    </w:p>
    <w:p w14:paraId="7FC2626F">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②未中标人的投标保证金将在中标通知书发出之日起</w:t>
      </w:r>
      <w:r>
        <w:rPr>
          <w:rFonts w:ascii="Calibri" w:hAnsi="Calibri" w:cs="Calibri"/>
          <w:color w:val="auto"/>
          <w:highlight w:val="none"/>
        </w:rPr>
        <w:t>5</w:t>
      </w:r>
      <w:r>
        <w:rPr>
          <w:rFonts w:hint="eastAsia" w:ascii="宋体" w:hAnsi="宋体" w:cs="宋体"/>
          <w:color w:val="auto"/>
          <w:highlight w:val="none"/>
        </w:rPr>
        <w:t>个工作日内退回原账户。</w:t>
      </w:r>
    </w:p>
    <w:p w14:paraId="31516D46">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③中标人的投标保证金将在政府采购合同签订之日起</w:t>
      </w:r>
      <w:r>
        <w:rPr>
          <w:rFonts w:ascii="Calibri" w:hAnsi="Calibri" w:cs="Calibri"/>
          <w:color w:val="auto"/>
          <w:highlight w:val="none"/>
        </w:rPr>
        <w:t>5</w:t>
      </w:r>
      <w:r>
        <w:rPr>
          <w:rFonts w:hint="eastAsia" w:ascii="宋体" w:hAnsi="宋体" w:cs="宋体"/>
          <w:color w:val="auto"/>
          <w:highlight w:val="none"/>
        </w:rPr>
        <w:t>个工作日内退回原账户</w:t>
      </w:r>
      <w:r>
        <w:rPr>
          <w:rStyle w:val="26"/>
          <w:rFonts w:hint="eastAsia" w:ascii="宋体" w:hAnsi="宋体" w:cs="宋体"/>
          <w:color w:val="auto"/>
          <w:highlight w:val="none"/>
        </w:rPr>
        <w:t>。</w:t>
      </w:r>
    </w:p>
    <w:p w14:paraId="1A47A3F0">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④终止招标的，</w:t>
      </w:r>
      <w:r>
        <w:rPr>
          <w:rFonts w:hint="eastAsia" w:ascii="宋体" w:hAnsi="宋体" w:cs="宋体"/>
          <w:color w:val="auto"/>
          <w:highlight w:val="none"/>
          <w:u w:val="single"/>
        </w:rPr>
        <w:t>福建亿立项目管理有限公司</w:t>
      </w:r>
      <w:r>
        <w:rPr>
          <w:rFonts w:hint="eastAsia" w:ascii="宋体" w:hAnsi="宋体" w:cs="宋体"/>
          <w:color w:val="auto"/>
          <w:highlight w:val="none"/>
        </w:rPr>
        <w:t>将在终止公告发布之日起5个工作日内退回已收取的投标保证金及其在银行产生的孳息。</w:t>
      </w:r>
    </w:p>
    <w:p w14:paraId="56EF83F2">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⑤除招标文件另有规定外，质疑或投诉涉及的投标人，若投标保证金尚未退还，则待质疑或投诉处理完毕后不计利息原额退还。</w:t>
      </w:r>
    </w:p>
    <w:p w14:paraId="47150BC8">
      <w:pPr>
        <w:pStyle w:val="19"/>
        <w:widowControl/>
        <w:spacing w:before="75" w:beforeAutospacing="0" w:after="75" w:afterAutospacing="0"/>
        <w:ind w:firstLine="480"/>
        <w:rPr>
          <w:color w:val="auto"/>
          <w:highlight w:val="none"/>
        </w:rPr>
      </w:pPr>
      <w:r>
        <w:rPr>
          <w:rStyle w:val="26"/>
          <w:rFonts w:hint="eastAsia" w:ascii="宋体" w:hAnsi="宋体" w:cs="宋体"/>
          <w:color w:val="auto"/>
          <w:highlight w:val="none"/>
        </w:rPr>
        <w:t>※本章第</w:t>
      </w:r>
      <w:r>
        <w:rPr>
          <w:rStyle w:val="26"/>
          <w:rFonts w:ascii="Calibri" w:hAnsi="Calibri" w:cs="Calibri"/>
          <w:color w:val="auto"/>
          <w:highlight w:val="none"/>
        </w:rPr>
        <w:t>10.9</w:t>
      </w:r>
      <w:r>
        <w:rPr>
          <w:rStyle w:val="26"/>
          <w:rFonts w:hint="eastAsia" w:ascii="宋体" w:hAnsi="宋体" w:cs="宋体"/>
          <w:color w:val="auto"/>
          <w:highlight w:val="none"/>
        </w:rPr>
        <w:t>条第（</w:t>
      </w:r>
      <w:r>
        <w:rPr>
          <w:rStyle w:val="26"/>
          <w:rFonts w:ascii="Calibri" w:hAnsi="Calibri" w:cs="Calibri"/>
          <w:color w:val="auto"/>
          <w:highlight w:val="none"/>
        </w:rPr>
        <w:t>4</w:t>
      </w:r>
      <w:r>
        <w:rPr>
          <w:rStyle w:val="26"/>
          <w:rFonts w:hint="eastAsia" w:ascii="宋体" w:hAnsi="宋体" w:cs="宋体"/>
          <w:color w:val="auto"/>
          <w:highlight w:val="none"/>
        </w:rPr>
        <w:t>）款第①、②、③点规定的投标保证金退还时限不包括因投标人自身原因导致无法及时退还而增加的时间。</w:t>
      </w:r>
    </w:p>
    <w:p w14:paraId="18ADB70D">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（5）若出现本章第</w:t>
      </w:r>
      <w:r>
        <w:rPr>
          <w:rFonts w:ascii="Calibri" w:hAnsi="Calibri" w:cs="Calibri"/>
          <w:color w:val="auto"/>
          <w:highlight w:val="none"/>
        </w:rPr>
        <w:t>10.8</w:t>
      </w:r>
      <w:r>
        <w:rPr>
          <w:rFonts w:hint="eastAsia" w:ascii="宋体" w:hAnsi="宋体" w:cs="宋体"/>
          <w:color w:val="auto"/>
          <w:highlight w:val="none"/>
        </w:rPr>
        <w:t>条第（</w:t>
      </w:r>
      <w:r>
        <w:rPr>
          <w:rFonts w:ascii="Calibri" w:hAnsi="Calibri" w:cs="Calibri"/>
          <w:color w:val="auto"/>
          <w:highlight w:val="none"/>
        </w:rPr>
        <w:t>3</w:t>
      </w:r>
      <w:r>
        <w:rPr>
          <w:rFonts w:hint="eastAsia" w:ascii="宋体" w:hAnsi="宋体" w:cs="宋体"/>
          <w:color w:val="auto"/>
          <w:highlight w:val="none"/>
        </w:rPr>
        <w:t>）款规定情形，对于拒绝延长投标有效期的投标人，投标保证金仍可退还。对于接受延长投标有效期的投标人，相应延长投标保证金有效期，招标文件关于退还和不予退还投标保证金的规定继续适用。</w:t>
      </w:r>
    </w:p>
    <w:p w14:paraId="458C5F63">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（6）有下列情形之一的，投标保证金将不予退还：</w:t>
      </w:r>
    </w:p>
    <w:p w14:paraId="270B51EB">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①投标人串通投标；</w:t>
      </w:r>
    </w:p>
    <w:p w14:paraId="4F05CD24">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②投标人提供虚假材料；</w:t>
      </w:r>
    </w:p>
    <w:p w14:paraId="1D00F123">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③投标人采取不正当手段诋毁、排挤其他投标人；</w:t>
      </w:r>
    </w:p>
    <w:p w14:paraId="37EA8D08">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④投标截止时间后，投标人在投标有效期内撤销（撤回）投标文件；</w:t>
      </w:r>
    </w:p>
    <w:p w14:paraId="4FB5268E">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⑤招标文件规定的其他不予退还情形；</w:t>
      </w:r>
    </w:p>
    <w:p w14:paraId="7C3218D3">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⑥中标人有下列情形之一的：</w:t>
      </w:r>
    </w:p>
    <w:p w14:paraId="5148CA68">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a.除不可抗力外，因中标人自身原因未在中标通知书要求的期限内与采购人签订政府采购合同；</w:t>
      </w:r>
    </w:p>
    <w:p w14:paraId="62D8F8BB">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b.未按照招标文件、投标文件的约定签订政府采购合同或提交履约保证金。</w:t>
      </w:r>
    </w:p>
    <w:p w14:paraId="47C742C2">
      <w:pPr>
        <w:pStyle w:val="19"/>
        <w:widowControl/>
        <w:spacing w:before="75" w:beforeAutospacing="0" w:after="75" w:afterAutospacing="0"/>
        <w:ind w:firstLine="480"/>
        <w:rPr>
          <w:color w:val="auto"/>
          <w:highlight w:val="none"/>
        </w:rPr>
      </w:pPr>
      <w:r>
        <w:rPr>
          <w:rStyle w:val="26"/>
          <w:rFonts w:hint="eastAsia" w:ascii="宋体" w:hAnsi="宋体" w:cs="宋体"/>
          <w:color w:val="auto"/>
          <w:highlight w:val="none"/>
        </w:rPr>
        <w:t>※若上述投标保证金不予退还情形给采购人（采购代理机构）造成损失，则投标人还要承担相应的赔偿责任。</w:t>
      </w:r>
    </w:p>
    <w:p w14:paraId="07E286E2">
      <w:pPr>
        <w:pStyle w:val="19"/>
        <w:widowControl/>
        <w:spacing w:before="75" w:beforeAutospacing="0" w:after="75" w:afterAutospacing="0"/>
        <w:rPr>
          <w:color w:val="auto"/>
          <w:highlight w:val="none"/>
        </w:rPr>
      </w:pPr>
      <w:r>
        <w:rPr>
          <w:rFonts w:hint="eastAsia" w:ascii="宋体" w:hAnsi="宋体" w:cs="宋体"/>
          <w:color w:val="auto"/>
          <w:highlight w:val="none"/>
        </w:rPr>
        <w:t>10.10投标文件的提交</w:t>
      </w:r>
    </w:p>
    <w:p w14:paraId="4365A549">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（1）一个投标人只能提交一个投标文件，并按照招标文件第一章规定递交投标文件。</w:t>
      </w:r>
    </w:p>
    <w:p w14:paraId="701DD758">
      <w:pPr>
        <w:pStyle w:val="19"/>
        <w:widowControl/>
        <w:spacing w:before="75" w:beforeAutospacing="0" w:after="75" w:afterAutospacing="0"/>
        <w:rPr>
          <w:color w:val="auto"/>
          <w:highlight w:val="none"/>
        </w:rPr>
      </w:pPr>
      <w:r>
        <w:rPr>
          <w:rFonts w:hint="eastAsia" w:ascii="宋体" w:hAnsi="宋体" w:cs="宋体"/>
          <w:color w:val="auto"/>
          <w:highlight w:val="none"/>
        </w:rPr>
        <w:t>10.11投标文件的补充、修改或撤回</w:t>
      </w:r>
    </w:p>
    <w:p w14:paraId="5142A4E9">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（1）投标截止时间前，投标人可对所提交的投标文件进行补充、修改或撤回，并书面通知</w:t>
      </w:r>
      <w:r>
        <w:rPr>
          <w:rFonts w:hint="eastAsia" w:ascii="宋体" w:hAnsi="宋体" w:cs="宋体"/>
          <w:color w:val="auto"/>
          <w:highlight w:val="none"/>
          <w:u w:val="single"/>
        </w:rPr>
        <w:t>福建亿立项目管理有限公司</w:t>
      </w:r>
      <w:r>
        <w:rPr>
          <w:rFonts w:hint="eastAsia" w:ascii="宋体" w:hAnsi="宋体" w:cs="宋体"/>
          <w:color w:val="auto"/>
          <w:highlight w:val="none"/>
        </w:rPr>
        <w:t>。</w:t>
      </w:r>
    </w:p>
    <w:p w14:paraId="401BA3CD">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（2）补充、修改的内容应按照本章第</w:t>
      </w:r>
      <w:r>
        <w:rPr>
          <w:rFonts w:ascii="Calibri" w:hAnsi="Calibri" w:cs="Calibri"/>
          <w:color w:val="auto"/>
          <w:highlight w:val="none"/>
        </w:rPr>
        <w:t>10.5</w:t>
      </w:r>
      <w:r>
        <w:rPr>
          <w:rFonts w:hint="eastAsia" w:ascii="宋体" w:hAnsi="宋体" w:cs="宋体"/>
          <w:color w:val="auto"/>
          <w:highlight w:val="none"/>
        </w:rPr>
        <w:t>条第（</w:t>
      </w:r>
      <w:r>
        <w:rPr>
          <w:rFonts w:ascii="Calibri" w:hAnsi="Calibri" w:cs="Calibri"/>
          <w:color w:val="auto"/>
          <w:highlight w:val="none"/>
        </w:rPr>
        <w:t>4</w:t>
      </w:r>
      <w:r>
        <w:rPr>
          <w:rFonts w:hint="eastAsia" w:ascii="宋体" w:hAnsi="宋体" w:cs="宋体"/>
          <w:color w:val="auto"/>
          <w:highlight w:val="none"/>
        </w:rPr>
        <w:t>）款规定进行签署、盖章，并按照本章第</w:t>
      </w:r>
      <w:r>
        <w:rPr>
          <w:rFonts w:ascii="Calibri" w:hAnsi="Calibri" w:cs="Calibri"/>
          <w:color w:val="auto"/>
          <w:highlight w:val="none"/>
        </w:rPr>
        <w:t>10.10</w:t>
      </w:r>
      <w:r>
        <w:rPr>
          <w:rFonts w:hint="eastAsia" w:ascii="宋体" w:hAnsi="宋体" w:cs="宋体"/>
          <w:color w:val="auto"/>
          <w:highlight w:val="none"/>
        </w:rPr>
        <w:t>条规定提交，</w:t>
      </w:r>
      <w:r>
        <w:rPr>
          <w:rStyle w:val="26"/>
          <w:rFonts w:hint="eastAsia" w:ascii="宋体" w:hAnsi="宋体" w:cs="宋体"/>
          <w:color w:val="auto"/>
          <w:highlight w:val="none"/>
        </w:rPr>
        <w:t>否则将被拒收。</w:t>
      </w:r>
    </w:p>
    <w:p w14:paraId="4025303C">
      <w:pPr>
        <w:pStyle w:val="19"/>
        <w:widowControl/>
        <w:spacing w:before="75" w:beforeAutospacing="0" w:after="75" w:afterAutospacing="0"/>
        <w:ind w:firstLine="480"/>
        <w:rPr>
          <w:color w:val="auto"/>
          <w:highlight w:val="none"/>
        </w:rPr>
      </w:pPr>
      <w:r>
        <w:rPr>
          <w:rStyle w:val="26"/>
          <w:rFonts w:hint="eastAsia" w:ascii="宋体" w:hAnsi="宋体" w:cs="宋体"/>
          <w:color w:val="auto"/>
          <w:highlight w:val="none"/>
        </w:rPr>
        <w:t>※按照上述规定提交的补充、修改内容作为投标文件组成部分。</w:t>
      </w:r>
    </w:p>
    <w:p w14:paraId="4F1DE218">
      <w:pPr>
        <w:pStyle w:val="19"/>
        <w:widowControl/>
        <w:spacing w:before="75" w:beforeAutospacing="0" w:after="75" w:afterAutospacing="0"/>
        <w:rPr>
          <w:color w:val="auto"/>
          <w:highlight w:val="none"/>
        </w:rPr>
      </w:pPr>
      <w:r>
        <w:rPr>
          <w:rFonts w:hint="eastAsia" w:ascii="宋体" w:hAnsi="宋体" w:cs="宋体"/>
          <w:color w:val="auto"/>
          <w:highlight w:val="none"/>
        </w:rPr>
        <w:t>10.12除招标文件另有规定外，有下列情形之一的，</w:t>
      </w:r>
      <w:r>
        <w:rPr>
          <w:rStyle w:val="26"/>
          <w:rFonts w:hint="eastAsia" w:ascii="宋体" w:hAnsi="宋体" w:cs="宋体"/>
          <w:color w:val="auto"/>
          <w:highlight w:val="none"/>
        </w:rPr>
        <w:t>投标无效</w:t>
      </w:r>
      <w:r>
        <w:rPr>
          <w:rFonts w:hint="eastAsia" w:ascii="宋体" w:hAnsi="宋体" w:cs="宋体"/>
          <w:color w:val="auto"/>
          <w:highlight w:val="none"/>
        </w:rPr>
        <w:t>：</w:t>
      </w:r>
    </w:p>
    <w:p w14:paraId="14483529">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（1）投标文件未按照招标文件要求签署、盖章；</w:t>
      </w:r>
    </w:p>
    <w:p w14:paraId="0871CDB3">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（2）不符合招标文件中规定的资格要求；</w:t>
      </w:r>
    </w:p>
    <w:p w14:paraId="3F47BDB6">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（3）投标报价超过招标文件中规定的预算金额或最高限价；</w:t>
      </w:r>
    </w:p>
    <w:p w14:paraId="60928BE4">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（4）投标文件含有采购人不能接受的附加条件；</w:t>
      </w:r>
    </w:p>
    <w:p w14:paraId="7C246455">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（5）有关法律、法规和规章及招标文件规定的其他无效情形。</w:t>
      </w:r>
    </w:p>
    <w:p w14:paraId="60298B9A">
      <w:pPr>
        <w:pStyle w:val="19"/>
        <w:widowControl/>
        <w:spacing w:before="75" w:beforeAutospacing="0" w:after="75" w:afterAutospacing="0"/>
        <w:rPr>
          <w:rFonts w:hint="eastAsia" w:ascii="宋体" w:hAnsi="宋体" w:cs="宋体"/>
          <w:color w:val="auto"/>
          <w:highlight w:val="none"/>
        </w:rPr>
      </w:pPr>
      <w:r>
        <w:rPr>
          <w:rFonts w:hint="eastAsia" w:ascii="宋体" w:hAnsi="宋体" w:cs="宋体"/>
          <w:color w:val="auto"/>
          <w:highlight w:val="none"/>
        </w:rPr>
        <w:t> </w:t>
      </w:r>
    </w:p>
    <w:p w14:paraId="29A9F52A">
      <w:pPr>
        <w:pStyle w:val="19"/>
        <w:widowControl/>
        <w:spacing w:before="75" w:beforeAutospacing="0" w:after="75" w:afterAutospacing="0"/>
        <w:rPr>
          <w:rFonts w:hint="eastAsia" w:ascii="宋体" w:hAnsi="宋体" w:cs="宋体"/>
          <w:color w:val="auto"/>
          <w:highlight w:val="none"/>
        </w:rPr>
      </w:pPr>
    </w:p>
    <w:p w14:paraId="60FAA8EB">
      <w:pPr>
        <w:pStyle w:val="19"/>
        <w:widowControl/>
        <w:spacing w:before="75" w:beforeAutospacing="0" w:after="75" w:afterAutospacing="0"/>
        <w:rPr>
          <w:rFonts w:hint="eastAsia" w:ascii="宋体" w:hAnsi="宋体" w:cs="宋体"/>
          <w:color w:val="auto"/>
          <w:highlight w:val="none"/>
        </w:rPr>
      </w:pPr>
    </w:p>
    <w:p w14:paraId="4857580F">
      <w:pPr>
        <w:pStyle w:val="19"/>
        <w:widowControl/>
        <w:spacing w:before="75" w:beforeAutospacing="0" w:after="75" w:afterAutospacing="0"/>
        <w:jc w:val="center"/>
        <w:rPr>
          <w:color w:val="auto"/>
          <w:highlight w:val="none"/>
        </w:rPr>
      </w:pPr>
      <w:r>
        <w:rPr>
          <w:rStyle w:val="26"/>
          <w:rFonts w:hint="eastAsia" w:ascii="宋体" w:hAnsi="宋体" w:cs="宋体"/>
          <w:color w:val="auto"/>
          <w:highlight w:val="none"/>
        </w:rPr>
        <w:t>五、开标</w:t>
      </w:r>
    </w:p>
    <w:p w14:paraId="6616C42B">
      <w:pPr>
        <w:pStyle w:val="19"/>
        <w:widowControl/>
        <w:spacing w:before="75" w:beforeAutospacing="0" w:after="75" w:afterAutospacing="0"/>
        <w:rPr>
          <w:color w:val="auto"/>
          <w:highlight w:val="none"/>
        </w:rPr>
      </w:pPr>
      <w:r>
        <w:rPr>
          <w:rFonts w:hint="eastAsia" w:ascii="宋体" w:hAnsi="宋体" w:cs="宋体"/>
          <w:color w:val="auto"/>
          <w:highlight w:val="none"/>
        </w:rPr>
        <w:t>11、开标</w:t>
      </w:r>
    </w:p>
    <w:p w14:paraId="75E7AADA">
      <w:pPr>
        <w:pStyle w:val="19"/>
        <w:widowControl/>
        <w:spacing w:before="75" w:beforeAutospacing="0" w:after="75" w:afterAutospacing="0"/>
        <w:rPr>
          <w:color w:val="auto"/>
          <w:highlight w:val="none"/>
        </w:rPr>
      </w:pPr>
      <w:r>
        <w:rPr>
          <w:rFonts w:hint="eastAsia" w:ascii="宋体" w:hAnsi="宋体" w:cs="宋体"/>
          <w:color w:val="auto"/>
          <w:highlight w:val="none"/>
        </w:rPr>
        <w:t>11.1</w:t>
      </w:r>
      <w:r>
        <w:rPr>
          <w:rFonts w:hint="eastAsia" w:ascii="宋体" w:hAnsi="宋体" w:cs="宋体"/>
          <w:color w:val="auto"/>
          <w:highlight w:val="none"/>
          <w:u w:val="single"/>
        </w:rPr>
        <w:t>福建亿立项目管理有限公司</w:t>
      </w:r>
      <w:r>
        <w:rPr>
          <w:rFonts w:hint="eastAsia" w:ascii="宋体" w:hAnsi="宋体" w:cs="宋体"/>
          <w:color w:val="auto"/>
          <w:highlight w:val="none"/>
        </w:rPr>
        <w:t>将在招标文件载明的开标时间及地点主持召开开标会，并邀请投标人参加。</w:t>
      </w:r>
    </w:p>
    <w:p w14:paraId="3F8B3766">
      <w:pPr>
        <w:pStyle w:val="19"/>
        <w:widowControl/>
        <w:spacing w:before="75" w:beforeAutospacing="0" w:after="75" w:afterAutospacing="0"/>
        <w:rPr>
          <w:color w:val="auto"/>
          <w:highlight w:val="none"/>
        </w:rPr>
      </w:pPr>
      <w:r>
        <w:rPr>
          <w:rFonts w:hint="eastAsia" w:ascii="宋体" w:hAnsi="宋体" w:cs="宋体"/>
          <w:color w:val="auto"/>
          <w:highlight w:val="none"/>
        </w:rPr>
        <w:t>11.2开标会的主持人、唱标人、记录人及其他工作人员（若有）均由</w:t>
      </w:r>
      <w:r>
        <w:rPr>
          <w:rFonts w:hint="eastAsia" w:ascii="宋体" w:hAnsi="宋体" w:cs="宋体"/>
          <w:color w:val="auto"/>
          <w:highlight w:val="none"/>
          <w:u w:val="single"/>
        </w:rPr>
        <w:t>福建亿立项目管理有限公司</w:t>
      </w:r>
      <w:r>
        <w:rPr>
          <w:rFonts w:hint="eastAsia" w:ascii="宋体" w:hAnsi="宋体" w:cs="宋体"/>
          <w:color w:val="auto"/>
          <w:highlight w:val="none"/>
        </w:rPr>
        <w:t>派出，现场监督人员（若有）可由有关方面派出。</w:t>
      </w:r>
    </w:p>
    <w:p w14:paraId="1E243270">
      <w:pPr>
        <w:pStyle w:val="19"/>
        <w:widowControl/>
        <w:spacing w:before="75" w:beforeAutospacing="0" w:after="75" w:afterAutospacing="0"/>
        <w:rPr>
          <w:color w:val="auto"/>
          <w:highlight w:val="none"/>
        </w:rPr>
      </w:pPr>
      <w:r>
        <w:rPr>
          <w:rFonts w:hint="eastAsia" w:ascii="宋体" w:hAnsi="宋体" w:cs="宋体"/>
          <w:color w:val="auto"/>
          <w:highlight w:val="none"/>
        </w:rPr>
        <w:t>11.3参加开标会的投标人应签到，非投标人不参加开标会。如因投标人自身原因造成无法正常参与开标过程的，不利后果由投标人自行承担。</w:t>
      </w:r>
    </w:p>
    <w:p w14:paraId="2E1442C8">
      <w:pPr>
        <w:pStyle w:val="19"/>
        <w:widowControl/>
        <w:spacing w:before="75" w:beforeAutospacing="0" w:after="75" w:afterAutospacing="0"/>
        <w:rPr>
          <w:color w:val="auto"/>
          <w:highlight w:val="none"/>
        </w:rPr>
      </w:pPr>
      <w:r>
        <w:rPr>
          <w:rFonts w:hint="eastAsia" w:ascii="宋体" w:hAnsi="宋体" w:cs="宋体"/>
          <w:color w:val="auto"/>
          <w:highlight w:val="none"/>
        </w:rPr>
        <w:t>11.4开标会应遵守下列规定：</w:t>
      </w:r>
    </w:p>
    <w:p w14:paraId="0760E761">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（1）首先由主持人宣布开标会须知，然后由投标人代表对投标文件的密封情况进行检查，经确认无误后，由工作人员对密封的投标文件当众拆封。</w:t>
      </w:r>
    </w:p>
    <w:p w14:paraId="24A00F37">
      <w:pPr>
        <w:pStyle w:val="19"/>
        <w:widowControl/>
        <w:spacing w:before="75" w:beforeAutospacing="0" w:after="75" w:afterAutospacing="0"/>
        <w:ind w:firstLine="480"/>
        <w:rPr>
          <w:rFonts w:ascii="宋体" w:hAnsi="宋体" w:cs="宋体"/>
          <w:color w:val="auto"/>
          <w:highlight w:val="none"/>
        </w:rPr>
      </w:pPr>
      <w:r>
        <w:rPr>
          <w:rFonts w:hint="eastAsia" w:ascii="宋体" w:hAnsi="宋体" w:cs="宋体"/>
          <w:color w:val="auto"/>
          <w:highlight w:val="none"/>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14:paraId="51EA7DBB">
      <w:pPr>
        <w:pStyle w:val="19"/>
        <w:spacing w:before="75" w:after="75"/>
        <w:ind w:firstLine="480"/>
        <w:rPr>
          <w:rFonts w:ascii="宋体" w:hAnsi="宋体" w:cs="宋体"/>
          <w:color w:val="auto"/>
          <w:highlight w:val="none"/>
        </w:rPr>
      </w:pPr>
      <w:r>
        <w:rPr>
          <w:rFonts w:hint="eastAsia" w:ascii="宋体" w:hAnsi="宋体" w:cs="宋体"/>
          <w:color w:val="auto"/>
          <w:highlight w:val="none"/>
        </w:rPr>
        <w:t>（3）记录人对唱标人宣布的内容作开标记录。</w:t>
      </w:r>
    </w:p>
    <w:p w14:paraId="4C1EEAC4">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14:paraId="2DC09D66">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（5）投标人代表对开标过程和开标记录有疑义，以及认为采购人（采购代理机构）相关工作人员有需要回避情形的，应当场提出询问或回避申请。否则，视为投标人对开标过程和开标记录予以认可。</w:t>
      </w:r>
    </w:p>
    <w:p w14:paraId="29704EEA">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（6）若投标人未参加开标会（包括但不限于投标人派出的人员不是投标人代表），视同其对开标过程和开标记录予以认可。</w:t>
      </w:r>
    </w:p>
    <w:p w14:paraId="40B560B2">
      <w:pPr>
        <w:pStyle w:val="19"/>
        <w:widowControl/>
        <w:spacing w:before="75" w:beforeAutospacing="0" w:after="75" w:afterAutospacing="0"/>
        <w:ind w:firstLine="480"/>
        <w:rPr>
          <w:color w:val="auto"/>
          <w:highlight w:val="none"/>
        </w:rPr>
      </w:pPr>
      <w:r>
        <w:rPr>
          <w:rStyle w:val="26"/>
          <w:rFonts w:hint="eastAsia" w:ascii="宋体" w:hAnsi="宋体" w:cs="宋体"/>
          <w:color w:val="auto"/>
          <w:highlight w:val="none"/>
        </w:rPr>
        <w:t>※若出现本章第</w:t>
      </w:r>
      <w:r>
        <w:rPr>
          <w:rStyle w:val="26"/>
          <w:rFonts w:ascii="Calibri" w:hAnsi="Calibri" w:cs="Calibri"/>
          <w:color w:val="auto"/>
          <w:highlight w:val="none"/>
        </w:rPr>
        <w:t>11.4</w:t>
      </w:r>
      <w:r>
        <w:rPr>
          <w:rStyle w:val="26"/>
          <w:rFonts w:hint="eastAsia" w:ascii="宋体" w:hAnsi="宋体" w:cs="宋体"/>
          <w:color w:val="auto"/>
          <w:highlight w:val="none"/>
        </w:rPr>
        <w:t>条第（</w:t>
      </w:r>
      <w:r>
        <w:rPr>
          <w:rStyle w:val="26"/>
          <w:rFonts w:hint="eastAsia" w:ascii="Calibri" w:hAnsi="Calibri" w:cs="Calibri"/>
          <w:color w:val="auto"/>
          <w:highlight w:val="none"/>
        </w:rPr>
        <w:t>4</w:t>
      </w:r>
      <w:r>
        <w:rPr>
          <w:rStyle w:val="26"/>
          <w:rFonts w:hint="eastAsia" w:ascii="宋体" w:hAnsi="宋体" w:cs="宋体"/>
          <w:color w:val="auto"/>
          <w:highlight w:val="none"/>
        </w:rPr>
        <w:t>）、（</w:t>
      </w:r>
      <w:r>
        <w:rPr>
          <w:rStyle w:val="26"/>
          <w:rFonts w:hint="eastAsia" w:ascii="Calibri" w:hAnsi="Calibri" w:cs="Calibri"/>
          <w:color w:val="auto"/>
          <w:highlight w:val="none"/>
        </w:rPr>
        <w:t>5</w:t>
      </w:r>
      <w:r>
        <w:rPr>
          <w:rStyle w:val="26"/>
          <w:rFonts w:hint="eastAsia" w:ascii="宋体" w:hAnsi="宋体" w:cs="宋体"/>
          <w:color w:val="auto"/>
          <w:highlight w:val="none"/>
        </w:rPr>
        <w:t>）、（</w:t>
      </w:r>
      <w:r>
        <w:rPr>
          <w:rStyle w:val="26"/>
          <w:rFonts w:hint="eastAsia" w:ascii="Calibri" w:hAnsi="Calibri" w:cs="Calibri"/>
          <w:color w:val="auto"/>
          <w:highlight w:val="none"/>
        </w:rPr>
        <w:t>6</w:t>
      </w:r>
      <w:r>
        <w:rPr>
          <w:rStyle w:val="26"/>
          <w:rFonts w:hint="eastAsia" w:ascii="宋体" w:hAnsi="宋体" w:cs="宋体"/>
          <w:color w:val="auto"/>
          <w:highlight w:val="none"/>
        </w:rPr>
        <w:t>）款规定情形之一</w:t>
      </w:r>
      <w:r>
        <w:rPr>
          <w:rFonts w:hint="eastAsia" w:ascii="宋体" w:hAnsi="宋体" w:cs="宋体"/>
          <w:color w:val="auto"/>
          <w:highlight w:val="none"/>
        </w:rPr>
        <w:t>，</w:t>
      </w:r>
      <w:r>
        <w:rPr>
          <w:rStyle w:val="26"/>
          <w:rFonts w:hint="eastAsia" w:ascii="宋体" w:hAnsi="宋体" w:cs="宋体"/>
          <w:color w:val="auto"/>
          <w:highlight w:val="none"/>
        </w:rPr>
        <w:t>则投标人不得在开标会后就开标过程和开标记录涉及或可能涉及的有关事由（包括但不限于：“投标报价”、“投标文件的格式”、“投标文件的提交”、“投标文件的补充、修改或撤回”等）向</w:t>
      </w:r>
      <w:r>
        <w:rPr>
          <w:rFonts w:hint="eastAsia" w:ascii="宋体" w:hAnsi="宋体" w:cs="宋体"/>
          <w:color w:val="auto"/>
          <w:highlight w:val="none"/>
          <w:u w:val="single"/>
        </w:rPr>
        <w:t>福建亿立项目管理有限公司</w:t>
      </w:r>
      <w:r>
        <w:rPr>
          <w:rStyle w:val="26"/>
          <w:rFonts w:hint="eastAsia" w:ascii="宋体" w:hAnsi="宋体" w:cs="宋体"/>
          <w:color w:val="auto"/>
          <w:highlight w:val="none"/>
        </w:rPr>
        <w:t>提出任何疑义或要求（包括质疑）。</w:t>
      </w:r>
    </w:p>
    <w:p w14:paraId="570A40D5">
      <w:pPr>
        <w:pStyle w:val="19"/>
        <w:widowControl/>
        <w:spacing w:before="75" w:beforeAutospacing="0" w:after="75" w:afterAutospacing="0"/>
        <w:rPr>
          <w:color w:val="auto"/>
          <w:highlight w:val="none"/>
        </w:rPr>
      </w:pPr>
      <w:r>
        <w:rPr>
          <w:rFonts w:hint="eastAsia" w:ascii="宋体" w:hAnsi="宋体" w:cs="宋体"/>
          <w:color w:val="auto"/>
          <w:highlight w:val="none"/>
        </w:rPr>
        <w:t>11.5投标截止时间后，参加投标的投标人不足三家的，不进行开标。同时，本次采购活动结束，</w:t>
      </w:r>
      <w:r>
        <w:rPr>
          <w:rFonts w:hint="eastAsia" w:ascii="宋体" w:hAnsi="宋体" w:cs="宋体"/>
          <w:color w:val="auto"/>
          <w:highlight w:val="none"/>
          <w:u w:val="single"/>
        </w:rPr>
        <w:t>福建亿立项目管理有限公司</w:t>
      </w:r>
      <w:r>
        <w:rPr>
          <w:rFonts w:hint="eastAsia" w:ascii="宋体" w:hAnsi="宋体" w:cs="宋体"/>
          <w:color w:val="auto"/>
          <w:highlight w:val="none"/>
        </w:rPr>
        <w:t>将依法组织后续采购活动（包括但不限于：重新招标、采用其他方式采购等）。</w:t>
      </w:r>
    </w:p>
    <w:p w14:paraId="1816D799">
      <w:pPr>
        <w:pStyle w:val="19"/>
        <w:widowControl/>
        <w:spacing w:before="75" w:beforeAutospacing="0" w:after="240" w:afterAutospacing="0"/>
        <w:rPr>
          <w:rFonts w:ascii="宋体" w:hAnsi="宋体" w:cs="宋体"/>
          <w:color w:val="auto"/>
          <w:highlight w:val="none"/>
        </w:rPr>
      </w:pPr>
      <w:r>
        <w:rPr>
          <w:rFonts w:hint="eastAsia" w:ascii="宋体" w:hAnsi="宋体" w:cs="宋体"/>
          <w:color w:val="auto"/>
          <w:highlight w:val="none"/>
        </w:rPr>
        <w:t>11.6投标截止时间后撤销投标的处理</w:t>
      </w:r>
    </w:p>
    <w:p w14:paraId="1362DB3A">
      <w:pPr>
        <w:pStyle w:val="19"/>
        <w:widowControl/>
        <w:spacing w:before="75" w:beforeAutospacing="0" w:after="240" w:afterAutospacing="0"/>
        <w:rPr>
          <w:rFonts w:ascii="宋体" w:hAnsi="宋体" w:cs="宋体"/>
          <w:color w:val="auto"/>
          <w:highlight w:val="none"/>
        </w:rPr>
      </w:pPr>
      <w:r>
        <w:rPr>
          <w:rFonts w:hint="eastAsia" w:ascii="宋体" w:hAnsi="宋体" w:cs="宋体"/>
          <w:color w:val="auto"/>
          <w:highlight w:val="none"/>
        </w:rPr>
        <w:t>  投标截止时间后，投标人在投标有效期内撤销投标的，其撤销投标的行为无效。</w:t>
      </w:r>
    </w:p>
    <w:p w14:paraId="5AADF333">
      <w:pPr>
        <w:pStyle w:val="19"/>
        <w:widowControl/>
        <w:spacing w:before="75" w:beforeAutospacing="0" w:after="240" w:afterAutospacing="0"/>
        <w:rPr>
          <w:rFonts w:ascii="宋体" w:hAnsi="宋体" w:cs="宋体"/>
          <w:color w:val="auto"/>
          <w:highlight w:val="none"/>
        </w:rPr>
      </w:pPr>
    </w:p>
    <w:p w14:paraId="5CF4E2DF">
      <w:pPr>
        <w:pStyle w:val="19"/>
        <w:widowControl/>
        <w:spacing w:before="75" w:beforeAutospacing="0" w:after="75" w:afterAutospacing="0"/>
        <w:jc w:val="center"/>
        <w:rPr>
          <w:rStyle w:val="26"/>
          <w:rFonts w:hint="eastAsia" w:ascii="宋体" w:hAnsi="宋体" w:cs="宋体"/>
          <w:color w:val="auto"/>
          <w:highlight w:val="none"/>
        </w:rPr>
      </w:pPr>
    </w:p>
    <w:p w14:paraId="02BFCC23">
      <w:pPr>
        <w:pStyle w:val="19"/>
        <w:widowControl/>
        <w:spacing w:before="75" w:beforeAutospacing="0" w:after="75" w:afterAutospacing="0"/>
        <w:jc w:val="center"/>
        <w:rPr>
          <w:rStyle w:val="26"/>
          <w:rFonts w:hint="eastAsia" w:ascii="宋体" w:hAnsi="宋体" w:cs="宋体"/>
          <w:color w:val="auto"/>
          <w:highlight w:val="none"/>
        </w:rPr>
      </w:pPr>
    </w:p>
    <w:p w14:paraId="6411439A">
      <w:pPr>
        <w:pStyle w:val="19"/>
        <w:widowControl/>
        <w:spacing w:before="75" w:beforeAutospacing="0" w:after="75" w:afterAutospacing="0"/>
        <w:jc w:val="center"/>
        <w:rPr>
          <w:rStyle w:val="26"/>
          <w:rFonts w:hint="eastAsia" w:ascii="宋体" w:hAnsi="宋体" w:cs="宋体"/>
          <w:color w:val="auto"/>
          <w:highlight w:val="none"/>
        </w:rPr>
      </w:pPr>
    </w:p>
    <w:p w14:paraId="50990B97">
      <w:pPr>
        <w:pStyle w:val="19"/>
        <w:widowControl/>
        <w:spacing w:before="75" w:beforeAutospacing="0" w:after="75" w:afterAutospacing="0"/>
        <w:jc w:val="center"/>
        <w:rPr>
          <w:rStyle w:val="26"/>
          <w:rFonts w:hint="eastAsia" w:ascii="宋体" w:hAnsi="宋体" w:cs="宋体"/>
          <w:color w:val="auto"/>
          <w:highlight w:val="none"/>
        </w:rPr>
      </w:pPr>
    </w:p>
    <w:p w14:paraId="21184379">
      <w:pPr>
        <w:pStyle w:val="19"/>
        <w:widowControl/>
        <w:spacing w:before="75" w:beforeAutospacing="0" w:after="75" w:afterAutospacing="0"/>
        <w:jc w:val="center"/>
        <w:rPr>
          <w:color w:val="auto"/>
          <w:highlight w:val="none"/>
        </w:rPr>
      </w:pPr>
      <w:r>
        <w:rPr>
          <w:rStyle w:val="26"/>
          <w:rFonts w:hint="eastAsia" w:ascii="宋体" w:hAnsi="宋体" w:cs="宋体"/>
          <w:color w:val="auto"/>
          <w:highlight w:val="none"/>
        </w:rPr>
        <w:t>六、中标与政府采购合同</w:t>
      </w:r>
    </w:p>
    <w:p w14:paraId="62594AA7">
      <w:pPr>
        <w:pStyle w:val="19"/>
        <w:widowControl/>
        <w:spacing w:before="75" w:beforeAutospacing="0" w:after="75" w:afterAutospacing="0"/>
        <w:rPr>
          <w:color w:val="auto"/>
          <w:highlight w:val="none"/>
        </w:rPr>
      </w:pPr>
      <w:r>
        <w:rPr>
          <w:rFonts w:hint="eastAsia" w:ascii="宋体" w:hAnsi="宋体" w:cs="宋体"/>
          <w:color w:val="auto"/>
          <w:highlight w:val="none"/>
        </w:rPr>
        <w:t>12、中标</w:t>
      </w:r>
    </w:p>
    <w:p w14:paraId="1FCC1AD5">
      <w:pPr>
        <w:pStyle w:val="19"/>
        <w:widowControl/>
        <w:spacing w:before="75" w:beforeAutospacing="0" w:after="75" w:afterAutospacing="0"/>
        <w:rPr>
          <w:color w:val="auto"/>
          <w:highlight w:val="none"/>
        </w:rPr>
      </w:pPr>
      <w:r>
        <w:rPr>
          <w:rFonts w:hint="eastAsia" w:ascii="宋体" w:hAnsi="宋体" w:cs="宋体"/>
          <w:color w:val="auto"/>
          <w:highlight w:val="none"/>
        </w:rPr>
        <w:t>12.1本项目推荐的中标候选人家数：详见招标文件第二章。</w:t>
      </w:r>
    </w:p>
    <w:p w14:paraId="0FF59736">
      <w:pPr>
        <w:pStyle w:val="19"/>
        <w:widowControl/>
        <w:spacing w:before="75" w:beforeAutospacing="0" w:after="75" w:afterAutospacing="0"/>
        <w:rPr>
          <w:color w:val="auto"/>
          <w:highlight w:val="none"/>
        </w:rPr>
      </w:pPr>
      <w:r>
        <w:rPr>
          <w:rFonts w:hint="eastAsia" w:ascii="宋体" w:hAnsi="宋体" w:cs="宋体"/>
          <w:color w:val="auto"/>
          <w:highlight w:val="none"/>
        </w:rPr>
        <w:t>12.2本项目中标人的确定：详见招标文件第二章。</w:t>
      </w:r>
    </w:p>
    <w:p w14:paraId="703B54C2">
      <w:pPr>
        <w:pStyle w:val="19"/>
        <w:widowControl/>
        <w:spacing w:before="75" w:beforeAutospacing="0" w:after="75" w:afterAutospacing="0"/>
        <w:rPr>
          <w:color w:val="auto"/>
          <w:highlight w:val="none"/>
        </w:rPr>
      </w:pPr>
      <w:r>
        <w:rPr>
          <w:rFonts w:hint="eastAsia" w:ascii="宋体" w:hAnsi="宋体" w:cs="宋体"/>
          <w:color w:val="auto"/>
          <w:highlight w:val="none"/>
        </w:rPr>
        <w:t>12.3中标公告</w:t>
      </w:r>
    </w:p>
    <w:p w14:paraId="47EA7844">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（1）中标人确定之日起</w:t>
      </w:r>
      <w:r>
        <w:rPr>
          <w:rFonts w:ascii="Calibri" w:hAnsi="Calibri" w:cs="Calibri"/>
          <w:color w:val="auto"/>
          <w:highlight w:val="none"/>
        </w:rPr>
        <w:t>2</w:t>
      </w:r>
      <w:r>
        <w:rPr>
          <w:rFonts w:hint="eastAsia" w:ascii="宋体" w:hAnsi="宋体" w:cs="宋体"/>
          <w:color w:val="auto"/>
          <w:highlight w:val="none"/>
        </w:rPr>
        <w:t>个工作日内，</w:t>
      </w:r>
      <w:r>
        <w:rPr>
          <w:rFonts w:hint="eastAsia" w:ascii="宋体" w:hAnsi="宋体" w:cs="宋体"/>
          <w:color w:val="auto"/>
          <w:highlight w:val="none"/>
          <w:u w:val="single"/>
        </w:rPr>
        <w:t>福建亿立项目管理有限公司</w:t>
      </w:r>
      <w:r>
        <w:rPr>
          <w:rFonts w:hint="eastAsia" w:ascii="宋体" w:hAnsi="宋体" w:cs="宋体"/>
          <w:color w:val="auto"/>
          <w:highlight w:val="none"/>
        </w:rPr>
        <w:t>将在招标文件载明的指定媒体以中标公告的形式发布中标结果。</w:t>
      </w:r>
    </w:p>
    <w:p w14:paraId="223E9F1D">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（2）中标公告的公告期限为</w:t>
      </w:r>
      <w:r>
        <w:rPr>
          <w:rFonts w:ascii="Calibri" w:hAnsi="Calibri" w:cs="Calibri"/>
          <w:color w:val="auto"/>
          <w:highlight w:val="none"/>
        </w:rPr>
        <w:t>1</w:t>
      </w:r>
      <w:r>
        <w:rPr>
          <w:rFonts w:hint="eastAsia" w:ascii="宋体" w:hAnsi="宋体" w:cs="宋体"/>
          <w:color w:val="auto"/>
          <w:highlight w:val="none"/>
        </w:rPr>
        <w:t>个工作日。</w:t>
      </w:r>
    </w:p>
    <w:p w14:paraId="1EDEB171">
      <w:pPr>
        <w:pStyle w:val="19"/>
        <w:widowControl/>
        <w:spacing w:before="75" w:beforeAutospacing="0" w:after="75" w:afterAutospacing="0"/>
        <w:rPr>
          <w:color w:val="auto"/>
          <w:highlight w:val="none"/>
        </w:rPr>
      </w:pPr>
      <w:r>
        <w:rPr>
          <w:rFonts w:hint="eastAsia" w:ascii="宋体" w:hAnsi="宋体" w:cs="宋体"/>
          <w:color w:val="auto"/>
          <w:highlight w:val="none"/>
        </w:rPr>
        <w:t>12.4中标通知书</w:t>
      </w:r>
    </w:p>
    <w:p w14:paraId="0391F0E8">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（1）中标公告发布的同时，</w:t>
      </w:r>
      <w:r>
        <w:rPr>
          <w:rFonts w:hint="eastAsia" w:ascii="宋体" w:hAnsi="宋体" w:cs="宋体"/>
          <w:color w:val="auto"/>
          <w:highlight w:val="none"/>
          <w:u w:val="single"/>
        </w:rPr>
        <w:t>福建亿立项目管理有限公司</w:t>
      </w:r>
      <w:r>
        <w:rPr>
          <w:rFonts w:hint="eastAsia" w:ascii="宋体" w:hAnsi="宋体" w:cs="宋体"/>
          <w:color w:val="auto"/>
          <w:highlight w:val="none"/>
        </w:rPr>
        <w:t>将向中标人发出中标通知书。</w:t>
      </w:r>
    </w:p>
    <w:p w14:paraId="6B6A023E">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（2）中标通知书发出后，采购人不得违法改变中标结果，中标人无正当理由不得放弃中标。</w:t>
      </w:r>
    </w:p>
    <w:p w14:paraId="2165D63C">
      <w:pPr>
        <w:pStyle w:val="19"/>
        <w:widowControl/>
        <w:spacing w:before="75" w:beforeAutospacing="0" w:after="75" w:afterAutospacing="0"/>
        <w:rPr>
          <w:color w:val="auto"/>
          <w:highlight w:val="none"/>
        </w:rPr>
      </w:pPr>
      <w:r>
        <w:rPr>
          <w:rFonts w:hint="eastAsia" w:ascii="宋体" w:hAnsi="宋体" w:cs="宋体"/>
          <w:color w:val="auto"/>
          <w:highlight w:val="none"/>
        </w:rPr>
        <w:t>13、政府采购合同</w:t>
      </w:r>
    </w:p>
    <w:p w14:paraId="35F79E44">
      <w:pPr>
        <w:pStyle w:val="19"/>
        <w:widowControl/>
        <w:spacing w:before="75" w:beforeAutospacing="0" w:after="75" w:afterAutospacing="0"/>
        <w:rPr>
          <w:color w:val="auto"/>
          <w:highlight w:val="none"/>
        </w:rPr>
      </w:pPr>
      <w:r>
        <w:rPr>
          <w:rFonts w:hint="eastAsia" w:ascii="宋体" w:hAnsi="宋体" w:cs="宋体"/>
          <w:color w:val="auto"/>
          <w:highlight w:val="none"/>
        </w:rPr>
        <w:t>13.1签订政府采购合同应遵守政府采购法及实施条例的规定，不得对招标文件确定的事项和中标人的投标文件作实质性修改。采购人不得向中标人提出任何不合理的要求作为政府采购合同的签订条件。</w:t>
      </w:r>
    </w:p>
    <w:p w14:paraId="7FA23FB1">
      <w:pPr>
        <w:pStyle w:val="19"/>
        <w:widowControl/>
        <w:spacing w:before="75" w:beforeAutospacing="0" w:after="75" w:afterAutospacing="0"/>
        <w:rPr>
          <w:color w:val="auto"/>
          <w:highlight w:val="none"/>
        </w:rPr>
      </w:pPr>
      <w:r>
        <w:rPr>
          <w:rFonts w:hint="eastAsia" w:ascii="宋体" w:hAnsi="宋体" w:cs="宋体"/>
          <w:color w:val="auto"/>
          <w:highlight w:val="none"/>
        </w:rPr>
        <w:t>13.2签订时限：</w:t>
      </w:r>
      <w:r>
        <w:rPr>
          <w:color w:val="auto"/>
          <w:highlight w:val="none"/>
        </w:rPr>
        <w:t>自中标通知书发出之日起30个日历日内。</w:t>
      </w:r>
      <w:r>
        <w:rPr>
          <w:rFonts w:hint="eastAsia" w:ascii="宋体" w:hAnsi="宋体" w:cs="宋体"/>
          <w:color w:val="auto"/>
          <w:highlight w:val="none"/>
        </w:rPr>
        <w:t>。</w:t>
      </w:r>
    </w:p>
    <w:p w14:paraId="773AC40B">
      <w:pPr>
        <w:pStyle w:val="19"/>
        <w:widowControl/>
        <w:spacing w:before="75" w:beforeAutospacing="0" w:after="75" w:afterAutospacing="0"/>
        <w:rPr>
          <w:color w:val="auto"/>
          <w:highlight w:val="none"/>
        </w:rPr>
      </w:pPr>
      <w:r>
        <w:rPr>
          <w:rFonts w:hint="eastAsia" w:ascii="宋体" w:hAnsi="宋体" w:cs="宋体"/>
          <w:color w:val="auto"/>
          <w:highlight w:val="none"/>
        </w:rPr>
        <w:t>13.3政府采购合同的履行、违约责任和解决争议的方法等适用民法典。</w:t>
      </w:r>
    </w:p>
    <w:p w14:paraId="3414520E">
      <w:pPr>
        <w:pStyle w:val="19"/>
        <w:widowControl/>
        <w:spacing w:before="75" w:beforeAutospacing="0" w:after="75" w:afterAutospacing="0"/>
        <w:rPr>
          <w:color w:val="auto"/>
          <w:highlight w:val="none"/>
        </w:rPr>
      </w:pPr>
      <w:r>
        <w:rPr>
          <w:rFonts w:hint="eastAsia" w:ascii="宋体" w:hAnsi="宋体" w:cs="宋体"/>
          <w:color w:val="auto"/>
          <w:highlight w:val="none"/>
        </w:rPr>
        <w:t>13.4采购人与中标人应根据政府采购合同的约定依法履行合同义务。</w:t>
      </w:r>
    </w:p>
    <w:p w14:paraId="4C66C728">
      <w:pPr>
        <w:pStyle w:val="19"/>
        <w:widowControl/>
        <w:spacing w:before="75" w:beforeAutospacing="0" w:after="75" w:afterAutospacing="0"/>
        <w:rPr>
          <w:color w:val="auto"/>
          <w:highlight w:val="none"/>
        </w:rPr>
      </w:pPr>
      <w:r>
        <w:rPr>
          <w:rFonts w:hint="eastAsia" w:ascii="宋体" w:hAnsi="宋体" w:cs="宋体"/>
          <w:color w:val="auto"/>
          <w:highlight w:val="none"/>
        </w:rPr>
        <w:t>13.5政府采购合同履行过程中，采购人若需追加与合同标的相同的货物或服务，则追加采购金额不得超过原合同采购金额的</w:t>
      </w:r>
      <w:r>
        <w:rPr>
          <w:rFonts w:ascii="Calibri" w:hAnsi="Calibri" w:cs="Calibri"/>
          <w:color w:val="auto"/>
          <w:highlight w:val="none"/>
        </w:rPr>
        <w:t>10%</w:t>
      </w:r>
      <w:r>
        <w:rPr>
          <w:rFonts w:hint="eastAsia" w:ascii="宋体" w:hAnsi="宋体" w:cs="宋体"/>
          <w:color w:val="auto"/>
          <w:highlight w:val="none"/>
        </w:rPr>
        <w:t>。</w:t>
      </w:r>
    </w:p>
    <w:p w14:paraId="145CDA65">
      <w:pPr>
        <w:pStyle w:val="19"/>
        <w:widowControl/>
        <w:spacing w:before="75" w:beforeAutospacing="0" w:after="75" w:afterAutospacing="0"/>
        <w:rPr>
          <w:color w:val="auto"/>
          <w:highlight w:val="none"/>
        </w:rPr>
      </w:pPr>
      <w:r>
        <w:rPr>
          <w:rFonts w:hint="eastAsia" w:ascii="宋体" w:hAnsi="宋体" w:cs="宋体"/>
          <w:color w:val="auto"/>
          <w:highlight w:val="none"/>
        </w:rPr>
        <w:t>13.6中标人在政府采购合同履行过程中应遵守有关法律、法规和规章的强制性规定（即使前述强制性规定有可能在招标文件中未予列明）。</w:t>
      </w:r>
    </w:p>
    <w:p w14:paraId="37DCFA40">
      <w:pPr>
        <w:pStyle w:val="19"/>
        <w:widowControl/>
        <w:spacing w:before="75" w:beforeAutospacing="0" w:after="75" w:afterAutospacing="0"/>
        <w:rPr>
          <w:color w:val="auto"/>
          <w:highlight w:val="none"/>
        </w:rPr>
      </w:pPr>
      <w:r>
        <w:rPr>
          <w:rFonts w:hint="eastAsia" w:ascii="宋体" w:hAnsi="宋体" w:cs="宋体"/>
          <w:color w:val="auto"/>
          <w:highlight w:val="none"/>
        </w:rPr>
        <w:t> </w:t>
      </w:r>
    </w:p>
    <w:p w14:paraId="0FF8F89C">
      <w:pPr>
        <w:pStyle w:val="19"/>
        <w:widowControl/>
        <w:spacing w:before="75" w:beforeAutospacing="0" w:after="75" w:afterAutospacing="0"/>
        <w:jc w:val="center"/>
        <w:rPr>
          <w:color w:val="auto"/>
          <w:highlight w:val="none"/>
        </w:rPr>
      </w:pPr>
      <w:r>
        <w:rPr>
          <w:rStyle w:val="26"/>
          <w:rFonts w:hint="eastAsia" w:ascii="宋体" w:hAnsi="宋体" w:cs="宋体"/>
          <w:color w:val="auto"/>
          <w:highlight w:val="none"/>
        </w:rPr>
        <w:t>七、询问、质疑与投诉</w:t>
      </w:r>
    </w:p>
    <w:p w14:paraId="214DC2DB">
      <w:pPr>
        <w:pStyle w:val="19"/>
        <w:widowControl/>
        <w:spacing w:before="75" w:beforeAutospacing="0" w:after="75" w:afterAutospacing="0"/>
        <w:rPr>
          <w:color w:val="auto"/>
          <w:highlight w:val="none"/>
        </w:rPr>
      </w:pPr>
      <w:r>
        <w:rPr>
          <w:rFonts w:hint="eastAsia" w:ascii="宋体" w:hAnsi="宋体" w:cs="宋体"/>
          <w:color w:val="auto"/>
          <w:highlight w:val="none"/>
        </w:rPr>
        <w:t>14、询问</w:t>
      </w:r>
    </w:p>
    <w:p w14:paraId="0B3070DA">
      <w:pPr>
        <w:pStyle w:val="19"/>
        <w:widowControl/>
        <w:spacing w:before="75" w:beforeAutospacing="0" w:after="75" w:afterAutospacing="0"/>
        <w:rPr>
          <w:color w:val="auto"/>
          <w:highlight w:val="none"/>
        </w:rPr>
      </w:pPr>
      <w:r>
        <w:rPr>
          <w:rFonts w:hint="eastAsia" w:ascii="宋体" w:hAnsi="宋体" w:cs="宋体"/>
          <w:color w:val="auto"/>
          <w:highlight w:val="none"/>
        </w:rPr>
        <w:t>14.1潜在投标人或投标人对本次采购活动的有关事项若有疑问，可向福建亿立项目管理有限公司提出询问，福建亿立项目管理有限公司将按照政府采购法及实施条例的有关规定进行答复。</w:t>
      </w:r>
    </w:p>
    <w:p w14:paraId="73016194">
      <w:pPr>
        <w:pStyle w:val="19"/>
        <w:widowControl/>
        <w:spacing w:before="75" w:beforeAutospacing="0" w:after="75" w:afterAutospacing="0"/>
        <w:rPr>
          <w:color w:val="auto"/>
          <w:highlight w:val="none"/>
        </w:rPr>
      </w:pPr>
      <w:r>
        <w:rPr>
          <w:rFonts w:hint="eastAsia" w:ascii="宋体" w:hAnsi="宋体" w:cs="宋体"/>
          <w:color w:val="auto"/>
          <w:highlight w:val="none"/>
        </w:rPr>
        <w:t>15、质疑</w:t>
      </w:r>
    </w:p>
    <w:p w14:paraId="03E1A426">
      <w:pPr>
        <w:pStyle w:val="19"/>
        <w:widowControl/>
        <w:spacing w:before="75" w:beforeAutospacing="0" w:after="75" w:afterAutospacing="0"/>
        <w:rPr>
          <w:color w:val="auto"/>
          <w:highlight w:val="none"/>
        </w:rPr>
      </w:pPr>
      <w:r>
        <w:rPr>
          <w:rFonts w:hint="eastAsia" w:ascii="宋体" w:hAnsi="宋体" w:cs="宋体"/>
          <w:color w:val="auto"/>
          <w:highlight w:val="none"/>
        </w:rPr>
        <w:t>15.1针对同一采购程序环节的质疑应在政府采购法及实施条例的时限内一次性提出，对一个项目的不同采购包提出质疑的，应当将各采购包质疑事项集中在一份质疑函中提出，并同时符合下列条件：</w:t>
      </w:r>
    </w:p>
    <w:p w14:paraId="0A2CF3B6">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（1）对招标文件提出质疑的，质疑人应为潜在投标人，且两者的身份、名称等均应保持一致。对采购过程、结果提出质疑的，质疑人应为投标人，且两者的身份、名称等均应保持一致。</w:t>
      </w:r>
    </w:p>
    <w:p w14:paraId="1E1138BE">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（2）质疑人应按照招标文件第二章规定方式提交质疑函。</w:t>
      </w:r>
    </w:p>
    <w:p w14:paraId="71FF259A">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（3）质疑函应包括下列主要内容：</w:t>
      </w:r>
    </w:p>
    <w:p w14:paraId="586D1C12">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①质疑人的基本信息，至少包括：全称、地址、邮政编码等；</w:t>
      </w:r>
    </w:p>
    <w:p w14:paraId="4BA798A1">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②所质疑项目的基本信息，至少包括：项目编号、项目名称等；</w:t>
      </w:r>
    </w:p>
    <w:p w14:paraId="4A5296F3">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③所质疑的具体事项（以下简称：“质疑事项”）；</w:t>
      </w:r>
    </w:p>
    <w:p w14:paraId="3FCB5451">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④针对质疑事项提出的明确请求，前述明确请求指质疑人提出质疑的目的以及希望福建亿立项目管理有限公司对其质疑作出的处理结果，如：暂停招标投标活动、修改招标文件、停止或纠正违法违规行为、中标结果无效、废标、重新招标等；</w:t>
      </w:r>
    </w:p>
    <w:p w14:paraId="2E7CC504">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⑤针对质疑事项导致质疑人自身权益受到损害的必要证明材料，至少包括：</w:t>
      </w:r>
    </w:p>
    <w:p w14:paraId="3F355335">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a.质疑人代表的身份证明材料：</w:t>
      </w:r>
    </w:p>
    <w:p w14:paraId="308B8BBC">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4AD218D6">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a2若本项目接受自然人投标且质疑人为自然人的，提供本人的身份证复印件。</w:t>
      </w:r>
    </w:p>
    <w:p w14:paraId="61B3E028">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b.其他证明材料（即事实依据和必要的法律依据）包括但不限于下列材料：</w:t>
      </w:r>
    </w:p>
    <w:p w14:paraId="45B362D7">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b1所质疑的具体事项是与自已有利害关系的证明材料；</w:t>
      </w:r>
    </w:p>
    <w:p w14:paraId="56080876">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b2质疑函所述事实存在的证明材料，如：采购文件、采购过程或中标结果违法违规或不符合采购文件要求等证明材料；</w:t>
      </w:r>
    </w:p>
    <w:p w14:paraId="48DDDDB2">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b3依法应终止采购程序的证明材料；</w:t>
      </w:r>
    </w:p>
    <w:p w14:paraId="11125FDD">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b4应重新采购的证明材料；</w:t>
      </w:r>
    </w:p>
    <w:p w14:paraId="4150BC25">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b5采购文件、采购过程或中标、成交结果损害自已合法权益的证明材料等；</w:t>
      </w:r>
    </w:p>
    <w:p w14:paraId="0CBDEFAE">
      <w:pPr>
        <w:pStyle w:val="19"/>
        <w:widowControl/>
        <w:spacing w:before="75" w:beforeAutospacing="0" w:after="75" w:afterAutospacing="0"/>
        <w:ind w:firstLine="480"/>
        <w:rPr>
          <w:rFonts w:ascii="宋体" w:hAnsi="宋体" w:cs="宋体"/>
          <w:color w:val="auto"/>
          <w:highlight w:val="none"/>
        </w:rPr>
      </w:pPr>
      <w:r>
        <w:rPr>
          <w:rFonts w:hint="eastAsia" w:ascii="宋体" w:hAnsi="宋体" w:cs="宋体"/>
          <w:color w:val="auto"/>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26"/>
          <w:rFonts w:hint="eastAsia" w:ascii="宋体" w:hAnsi="宋体" w:cs="宋体"/>
          <w:color w:val="auto"/>
          <w:highlight w:val="none"/>
        </w:rPr>
        <w:t>视为无效</w:t>
      </w:r>
      <w:r>
        <w:rPr>
          <w:rFonts w:hint="eastAsia" w:ascii="宋体" w:hAnsi="宋体" w:cs="宋体"/>
          <w:color w:val="auto"/>
          <w:highlight w:val="none"/>
        </w:rPr>
        <w:t>）。</w:t>
      </w:r>
    </w:p>
    <w:p w14:paraId="7B56B44F">
      <w:pPr>
        <w:pStyle w:val="19"/>
        <w:widowControl/>
        <w:spacing w:before="75" w:beforeAutospacing="0" w:after="75" w:afterAutospacing="0"/>
        <w:ind w:firstLine="480"/>
        <w:rPr>
          <w:rFonts w:ascii="宋体" w:hAnsi="宋体" w:cs="宋体"/>
          <w:color w:val="auto"/>
          <w:highlight w:val="none"/>
        </w:rPr>
      </w:pPr>
      <w:r>
        <w:rPr>
          <w:rFonts w:hint="eastAsia" w:ascii="宋体" w:hAnsi="宋体" w:cs="宋体"/>
          <w:color w:val="auto"/>
          <w:highlight w:val="none"/>
        </w:rPr>
        <w:t>   ⑥质疑人代表及其联系方法的信息，至少包括：姓名、手机、电子信箱、邮寄地址等。</w:t>
      </w:r>
    </w:p>
    <w:p w14:paraId="1D0FA383">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   ⑦提出质疑的日期。</w:t>
      </w:r>
    </w:p>
    <w:p w14:paraId="2F4DF5E5">
      <w:pPr>
        <w:pStyle w:val="19"/>
        <w:widowControl/>
        <w:ind w:firstLine="480"/>
        <w:rPr>
          <w:color w:val="auto"/>
          <w:highlight w:val="none"/>
        </w:rPr>
      </w:pPr>
      <w:r>
        <w:rPr>
          <w:rStyle w:val="26"/>
          <w:rFonts w:hint="eastAsia" w:ascii="宋体" w:hAnsi="宋体" w:cs="宋体"/>
          <w:color w:val="auto"/>
          <w:highlight w:val="none"/>
        </w:rPr>
        <w:t>※质疑人为法人或其他组织的，质疑函应由单位负责人或委托代理人签字或盖章，并加盖投标人的单位公章。质疑人为自然人的，质疑函应由本人签字。</w:t>
      </w:r>
    </w:p>
    <w:p w14:paraId="1F1819EE">
      <w:pPr>
        <w:pStyle w:val="19"/>
        <w:widowControl/>
        <w:spacing w:before="75" w:beforeAutospacing="0" w:after="75" w:afterAutospacing="0"/>
        <w:rPr>
          <w:color w:val="auto"/>
          <w:highlight w:val="none"/>
        </w:rPr>
      </w:pPr>
      <w:r>
        <w:rPr>
          <w:rFonts w:hint="eastAsia" w:ascii="宋体" w:hAnsi="宋体" w:cs="宋体"/>
          <w:color w:val="auto"/>
          <w:highlight w:val="none"/>
        </w:rPr>
        <w:t>15.2对不符合本章第</w:t>
      </w:r>
      <w:r>
        <w:rPr>
          <w:rFonts w:ascii="Calibri" w:hAnsi="Calibri" w:cs="Calibri"/>
          <w:color w:val="auto"/>
          <w:highlight w:val="none"/>
        </w:rPr>
        <w:t>15.1</w:t>
      </w:r>
      <w:r>
        <w:rPr>
          <w:rFonts w:hint="eastAsia" w:ascii="宋体" w:hAnsi="宋体" w:cs="宋体"/>
          <w:color w:val="auto"/>
          <w:highlight w:val="none"/>
        </w:rPr>
        <w:t>条规定的质疑，将按照下列规定进行处理：</w:t>
      </w:r>
    </w:p>
    <w:p w14:paraId="662C6349">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（1）不符合其中第（</w:t>
      </w:r>
      <w:r>
        <w:rPr>
          <w:rFonts w:ascii="Calibri" w:hAnsi="Calibri" w:cs="Calibri"/>
          <w:color w:val="auto"/>
          <w:highlight w:val="none"/>
        </w:rPr>
        <w:t>1</w:t>
      </w:r>
      <w:r>
        <w:rPr>
          <w:rFonts w:hint="eastAsia" w:ascii="宋体" w:hAnsi="宋体" w:cs="宋体"/>
          <w:color w:val="auto"/>
          <w:highlight w:val="none"/>
        </w:rPr>
        <w:t>）、（</w:t>
      </w:r>
      <w:r>
        <w:rPr>
          <w:rFonts w:ascii="Calibri" w:hAnsi="Calibri" w:cs="Calibri"/>
          <w:color w:val="auto"/>
          <w:highlight w:val="none"/>
        </w:rPr>
        <w:t>2</w:t>
      </w:r>
      <w:r>
        <w:rPr>
          <w:rFonts w:hint="eastAsia" w:ascii="宋体" w:hAnsi="宋体" w:cs="宋体"/>
          <w:color w:val="auto"/>
          <w:highlight w:val="none"/>
        </w:rPr>
        <w:t>）条规定的，书面告知质疑人不予受理及其理由。</w:t>
      </w:r>
    </w:p>
    <w:p w14:paraId="3190FF3A">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（2）不符合其中第（</w:t>
      </w:r>
      <w:r>
        <w:rPr>
          <w:rFonts w:ascii="Calibri" w:hAnsi="Calibri" w:cs="Calibri"/>
          <w:color w:val="auto"/>
          <w:highlight w:val="none"/>
        </w:rPr>
        <w:t>3</w:t>
      </w:r>
      <w:r>
        <w:rPr>
          <w:rFonts w:hint="eastAsia" w:ascii="宋体" w:hAnsi="宋体" w:cs="宋体"/>
          <w:color w:val="auto"/>
          <w:highlight w:val="none"/>
        </w:rPr>
        <w:t>）条规定的，书面告知质疑人修改、补充后在规定时限内重新提交质疑函。</w:t>
      </w:r>
    </w:p>
    <w:p w14:paraId="26DB6C2F">
      <w:pPr>
        <w:pStyle w:val="19"/>
        <w:widowControl/>
        <w:spacing w:before="75" w:beforeAutospacing="0" w:after="75" w:afterAutospacing="0"/>
        <w:rPr>
          <w:color w:val="auto"/>
          <w:highlight w:val="none"/>
        </w:rPr>
      </w:pPr>
      <w:r>
        <w:rPr>
          <w:rFonts w:hint="eastAsia" w:ascii="宋体" w:hAnsi="宋体" w:cs="宋体"/>
          <w:color w:val="auto"/>
          <w:highlight w:val="none"/>
        </w:rPr>
        <w:t>15.3对符合本章第</w:t>
      </w:r>
      <w:r>
        <w:rPr>
          <w:rFonts w:ascii="Calibri" w:hAnsi="Calibri" w:cs="Calibri"/>
          <w:color w:val="auto"/>
          <w:highlight w:val="none"/>
        </w:rPr>
        <w:t>15.1</w:t>
      </w:r>
      <w:r>
        <w:rPr>
          <w:rFonts w:hint="eastAsia" w:ascii="宋体" w:hAnsi="宋体" w:cs="宋体"/>
          <w:color w:val="auto"/>
          <w:highlight w:val="none"/>
        </w:rPr>
        <w:t>条规定的质疑，将按照政府采购法及实施条例、政府采购质疑和投诉办法的有关规定进行答复。</w:t>
      </w:r>
    </w:p>
    <w:p w14:paraId="2A201165">
      <w:pPr>
        <w:pStyle w:val="19"/>
        <w:widowControl/>
        <w:spacing w:before="75" w:beforeAutospacing="0" w:after="75" w:afterAutospacing="0"/>
        <w:rPr>
          <w:color w:val="auto"/>
          <w:highlight w:val="none"/>
        </w:rPr>
      </w:pPr>
      <w:r>
        <w:rPr>
          <w:rFonts w:hint="eastAsia" w:ascii="宋体" w:hAnsi="宋体" w:cs="宋体"/>
          <w:color w:val="auto"/>
          <w:highlight w:val="none"/>
        </w:rPr>
        <w:t>15.4招标文件的质疑：详见招标文件第二章。</w:t>
      </w:r>
    </w:p>
    <w:p w14:paraId="2A386549">
      <w:pPr>
        <w:pStyle w:val="19"/>
        <w:widowControl/>
        <w:spacing w:before="75" w:beforeAutospacing="0" w:after="75" w:afterAutospacing="0"/>
        <w:rPr>
          <w:color w:val="auto"/>
          <w:highlight w:val="none"/>
        </w:rPr>
      </w:pPr>
      <w:r>
        <w:rPr>
          <w:rFonts w:hint="eastAsia" w:ascii="宋体" w:hAnsi="宋体" w:cs="宋体"/>
          <w:color w:val="auto"/>
          <w:highlight w:val="none"/>
        </w:rPr>
        <w:t>16、投诉</w:t>
      </w:r>
    </w:p>
    <w:p w14:paraId="46248B0E">
      <w:pPr>
        <w:pStyle w:val="19"/>
        <w:widowControl/>
        <w:rPr>
          <w:color w:val="auto"/>
          <w:highlight w:val="none"/>
        </w:rPr>
      </w:pPr>
      <w:r>
        <w:rPr>
          <w:rFonts w:hint="eastAsia" w:ascii="宋体" w:hAnsi="宋体" w:cs="宋体"/>
          <w:color w:val="auto"/>
          <w:highlight w:val="none"/>
        </w:rPr>
        <w:t>16.1若对质疑答复不满意或质疑答复未在答复期限内作出，质疑人可在答复期限届满之日起</w:t>
      </w:r>
      <w:r>
        <w:rPr>
          <w:rFonts w:ascii="Calibri" w:hAnsi="Calibri" w:cs="Calibri"/>
          <w:color w:val="auto"/>
          <w:highlight w:val="none"/>
        </w:rPr>
        <w:t>15</w:t>
      </w:r>
      <w:r>
        <w:rPr>
          <w:rFonts w:hint="eastAsia" w:ascii="宋体" w:hAnsi="宋体" w:cs="宋体"/>
          <w:color w:val="auto"/>
          <w:highlight w:val="none"/>
        </w:rPr>
        <w:t>个工作日内按照政府采购质疑和投诉办法的有关规定向招标文件第二章载明的本项目监督管理部门提起投诉。</w:t>
      </w:r>
    </w:p>
    <w:p w14:paraId="6A8DFDCA">
      <w:pPr>
        <w:pStyle w:val="19"/>
        <w:widowControl/>
        <w:spacing w:before="75" w:beforeAutospacing="0" w:after="75" w:afterAutospacing="0"/>
        <w:rPr>
          <w:color w:val="auto"/>
          <w:highlight w:val="none"/>
        </w:rPr>
      </w:pPr>
      <w:r>
        <w:rPr>
          <w:rFonts w:hint="eastAsia" w:ascii="宋体" w:hAnsi="宋体" w:cs="宋体"/>
          <w:color w:val="auto"/>
          <w:highlight w:val="none"/>
        </w:rPr>
        <w:t>16.2投诉应有明确的请求和必要的证明材料，投诉的事项不得超出已质疑事项的范围。</w:t>
      </w:r>
    </w:p>
    <w:p w14:paraId="38D7772C">
      <w:pPr>
        <w:pStyle w:val="19"/>
        <w:widowControl/>
        <w:spacing w:before="75" w:beforeAutospacing="0" w:after="75" w:afterAutospacing="0"/>
        <w:rPr>
          <w:rFonts w:ascii="宋体" w:hAnsi="宋体" w:cs="宋体"/>
          <w:color w:val="auto"/>
          <w:highlight w:val="none"/>
        </w:rPr>
      </w:pPr>
      <w:r>
        <w:rPr>
          <w:rFonts w:hint="eastAsia" w:ascii="宋体" w:hAnsi="宋体" w:cs="宋体"/>
          <w:color w:val="auto"/>
          <w:highlight w:val="none"/>
        </w:rPr>
        <w:t> </w:t>
      </w:r>
    </w:p>
    <w:p w14:paraId="61AD4944">
      <w:pPr>
        <w:pStyle w:val="19"/>
        <w:widowControl/>
        <w:spacing w:before="75" w:beforeAutospacing="0" w:after="75" w:afterAutospacing="0"/>
        <w:rPr>
          <w:rFonts w:ascii="宋体" w:hAnsi="宋体" w:cs="宋体"/>
          <w:color w:val="auto"/>
          <w:highlight w:val="none"/>
        </w:rPr>
      </w:pPr>
    </w:p>
    <w:p w14:paraId="7A5C5D3B">
      <w:pPr>
        <w:pStyle w:val="19"/>
        <w:widowControl/>
        <w:spacing w:before="75" w:beforeAutospacing="0" w:after="75" w:afterAutospacing="0"/>
        <w:rPr>
          <w:rFonts w:ascii="宋体" w:hAnsi="宋体" w:cs="宋体"/>
          <w:color w:val="auto"/>
          <w:highlight w:val="none"/>
        </w:rPr>
      </w:pPr>
    </w:p>
    <w:p w14:paraId="65CB7D20">
      <w:pPr>
        <w:pStyle w:val="19"/>
        <w:widowControl/>
        <w:spacing w:before="75" w:beforeAutospacing="0" w:after="75" w:afterAutospacing="0"/>
        <w:jc w:val="center"/>
        <w:rPr>
          <w:color w:val="auto"/>
          <w:highlight w:val="none"/>
        </w:rPr>
      </w:pPr>
      <w:r>
        <w:rPr>
          <w:rStyle w:val="26"/>
          <w:rFonts w:hint="eastAsia" w:ascii="宋体" w:hAnsi="宋体" w:cs="宋体"/>
          <w:color w:val="auto"/>
          <w:highlight w:val="none"/>
        </w:rPr>
        <w:t>八、政府采购政策</w:t>
      </w:r>
    </w:p>
    <w:p w14:paraId="43376D1B">
      <w:pPr>
        <w:pStyle w:val="19"/>
        <w:widowControl/>
        <w:spacing w:before="75" w:beforeAutospacing="0" w:after="75" w:afterAutospacing="0"/>
        <w:rPr>
          <w:color w:val="auto"/>
          <w:highlight w:val="none"/>
        </w:rPr>
      </w:pPr>
      <w:r>
        <w:rPr>
          <w:rFonts w:hint="eastAsia" w:ascii="宋体" w:hAnsi="宋体" w:cs="宋体"/>
          <w:color w:val="auto"/>
          <w:highlight w:val="none"/>
        </w:rPr>
        <w:t>17、政府采购政策由财政部根据国家的经济和社会发展政策并会同国家有关部委制定，包括但不限于下列具体政策要求：</w:t>
      </w:r>
    </w:p>
    <w:p w14:paraId="076E1E2C">
      <w:pPr>
        <w:pStyle w:val="19"/>
        <w:widowControl/>
        <w:spacing w:before="75" w:beforeAutospacing="0" w:after="75" w:afterAutospacing="0"/>
        <w:rPr>
          <w:color w:val="auto"/>
          <w:highlight w:val="none"/>
        </w:rPr>
      </w:pPr>
      <w:r>
        <w:rPr>
          <w:rFonts w:hint="eastAsia" w:ascii="宋体" w:hAnsi="宋体" w:cs="宋体"/>
          <w:color w:val="auto"/>
          <w:highlight w:val="none"/>
        </w:rPr>
        <w:t>17.1进口产品指通过中国海关报关验放进入中国境内且产自关境外的产品，其中：</w:t>
      </w:r>
    </w:p>
    <w:p w14:paraId="545BC213">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4BD59B68">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（2）凡在海关特殊监管区域内企业生产或加工（包括从境外进口料件）销往境内其他地区的产品，不作为政府采购项下进口产品。</w:t>
      </w:r>
    </w:p>
    <w:p w14:paraId="447456B3">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（3）对从境外进入海关特殊监管区域，再经办理报关手续后从海关特殊监管区进入境内其他地区的产品，认定为进口产品。</w:t>
      </w:r>
    </w:p>
    <w:p w14:paraId="24B6BBD5">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（4）招标文件列明不允许或未列明允许进口产品参加投标的，均视为拒绝进口产品参加投标。</w:t>
      </w:r>
    </w:p>
    <w:p w14:paraId="3A882EA7">
      <w:pPr>
        <w:pStyle w:val="19"/>
        <w:widowControl/>
        <w:spacing w:before="75" w:beforeAutospacing="0" w:after="75" w:afterAutospacing="0"/>
        <w:rPr>
          <w:color w:val="auto"/>
          <w:highlight w:val="none"/>
        </w:rPr>
      </w:pPr>
      <w:r>
        <w:rPr>
          <w:rFonts w:hint="eastAsia" w:ascii="宋体" w:hAnsi="宋体" w:cs="宋体"/>
          <w:color w:val="auto"/>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1251AF67">
      <w:pPr>
        <w:pStyle w:val="19"/>
        <w:widowControl/>
        <w:spacing w:before="75" w:beforeAutospacing="0" w:after="75" w:afterAutospacing="0"/>
        <w:rPr>
          <w:color w:val="auto"/>
          <w:highlight w:val="none"/>
        </w:rPr>
      </w:pPr>
      <w:r>
        <w:rPr>
          <w:rFonts w:hint="eastAsia" w:ascii="宋体" w:hAnsi="宋体" w:cs="宋体"/>
          <w:color w:val="auto"/>
          <w:highlight w:val="none"/>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14:paraId="69DE68A9">
      <w:pPr>
        <w:pStyle w:val="19"/>
        <w:widowControl/>
        <w:spacing w:before="75" w:beforeAutospacing="0" w:after="75" w:afterAutospacing="0"/>
        <w:rPr>
          <w:color w:val="auto"/>
          <w:highlight w:val="none"/>
        </w:rPr>
      </w:pPr>
      <w:r>
        <w:rPr>
          <w:rFonts w:hint="eastAsia" w:ascii="宋体" w:hAnsi="宋体" w:cs="宋体"/>
          <w:color w:val="auto"/>
          <w:highlight w:val="none"/>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w:t>
      </w:r>
      <w:r>
        <w:rPr>
          <w:rStyle w:val="26"/>
          <w:rFonts w:hint="eastAsia" w:ascii="宋体" w:hAnsi="宋体" w:cs="宋体"/>
          <w:color w:val="auto"/>
          <w:highlight w:val="none"/>
        </w:rPr>
        <w:t>“残疾人福利性单位”</w:t>
      </w:r>
      <w:r>
        <w:rPr>
          <w:rFonts w:hint="eastAsia" w:ascii="宋体" w:hAnsi="宋体" w:cs="宋体"/>
          <w:color w:val="auto"/>
          <w:highlight w:val="none"/>
        </w:rPr>
        <w:t>）亦可享受前述扶持政策。其中：</w:t>
      </w:r>
    </w:p>
    <w:p w14:paraId="74D82322">
      <w:pPr>
        <w:pStyle w:val="19"/>
        <w:widowControl/>
        <w:spacing w:before="75" w:beforeAutospacing="0" w:after="75" w:afterAutospacing="0"/>
        <w:ind w:firstLine="240"/>
        <w:rPr>
          <w:color w:val="auto"/>
          <w:highlight w:val="none"/>
        </w:rPr>
      </w:pPr>
      <w:r>
        <w:rPr>
          <w:rFonts w:hint="eastAsia" w:ascii="宋体" w:hAnsi="宋体" w:cs="宋体"/>
          <w:color w:val="auto"/>
          <w:highlight w:val="none"/>
        </w:rPr>
        <w:t>（1）中小企业指符合下列条件的中型、小型、微型企业：</w:t>
      </w:r>
    </w:p>
    <w:p w14:paraId="647D95DC">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①符合《工业和信息化部、国家统计局、国家发展和改革委员会、财政部关于印发中小企业划型标准规定的通知》（工信部联企业</w:t>
      </w:r>
      <w:r>
        <w:rPr>
          <w:rFonts w:ascii="Calibri" w:hAnsi="Calibri" w:cs="Calibri"/>
          <w:color w:val="auto"/>
          <w:highlight w:val="none"/>
        </w:rPr>
        <w:t>[2011]300</w:t>
      </w:r>
      <w:r>
        <w:rPr>
          <w:rFonts w:hint="eastAsia" w:ascii="宋体" w:hAnsi="宋体" w:cs="宋体"/>
          <w:color w:val="auto"/>
          <w:highlight w:val="none"/>
        </w:rPr>
        <w:t>号）规定的划分标准，但与大企业的负责人为同一人，或者与大企业存在直接控股、管理关系的除外；</w:t>
      </w:r>
    </w:p>
    <w:p w14:paraId="2DB87C71">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②符合中小企业划分标准的个体工商户，在政府采购活动中视同中小企业。</w:t>
      </w:r>
    </w:p>
    <w:p w14:paraId="70F177CA">
      <w:pPr>
        <w:pStyle w:val="19"/>
        <w:widowControl/>
        <w:spacing w:before="75" w:beforeAutospacing="0" w:after="75" w:afterAutospacing="0"/>
        <w:ind w:firstLine="240"/>
        <w:rPr>
          <w:color w:val="auto"/>
          <w:highlight w:val="none"/>
        </w:rPr>
      </w:pPr>
      <w:r>
        <w:rPr>
          <w:rFonts w:hint="eastAsia" w:ascii="宋体" w:hAnsi="宋体" w:cs="宋体"/>
          <w:color w:val="auto"/>
          <w:highlight w:val="none"/>
        </w:rPr>
        <w:t>（2）在政府采购活动中，供应商提供的货物、工程或者服务符合下列情形的，享受本办法规定的中小企业扶持政策：</w:t>
      </w:r>
    </w:p>
    <w:p w14:paraId="3B891F03">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①在货物采购项目中，货物由中小企业制造，即货物由中小企业生产且使用该中小企业商号或者注册商标；</w:t>
      </w:r>
    </w:p>
    <w:p w14:paraId="320CF5D5">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②在工程采购项目中，工程由中小企业承建，即工程施工单位为中小企业；</w:t>
      </w:r>
    </w:p>
    <w:p w14:paraId="2869D177">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③在服务采购项目中，服务由中小企业承接，即提供服务的人员为中小企业依照《中华人民共和国劳动合同法》订立劳动合同的从业人员。</w:t>
      </w:r>
    </w:p>
    <w:p w14:paraId="6C56DAFA">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 xml:space="preserve">在货物采购项目中，供应商提供的货物既有中小企业制造货物，也有大型企业制造货物的，不享受本办法规定的中小企业扶持政策。 </w:t>
      </w:r>
    </w:p>
    <w:p w14:paraId="24B7A69D">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以联合体形式参加政府采购活动，联合体各方均为中小企业的，联合体视同中小企业。其中，联合体各方均为小微企业的，联合体视同小微企业。</w:t>
      </w:r>
    </w:p>
    <w:p w14:paraId="02764064">
      <w:pPr>
        <w:pStyle w:val="19"/>
        <w:widowControl/>
        <w:spacing w:before="75" w:beforeAutospacing="0" w:after="75" w:afterAutospacing="0"/>
        <w:ind w:firstLine="240"/>
        <w:rPr>
          <w:color w:val="auto"/>
          <w:highlight w:val="none"/>
        </w:rPr>
      </w:pPr>
      <w:r>
        <w:rPr>
          <w:rFonts w:hint="eastAsia" w:ascii="宋体" w:hAnsi="宋体" w:cs="宋体"/>
          <w:color w:val="auto"/>
          <w:highlight w:val="none"/>
        </w:rPr>
        <w:t>（3）投标人应当按照招标文件明确的采购标的对应行业的划分标准出具中小企业声明函。</w:t>
      </w:r>
    </w:p>
    <w:p w14:paraId="47898C5D">
      <w:pPr>
        <w:pStyle w:val="19"/>
        <w:widowControl/>
        <w:spacing w:before="75" w:beforeAutospacing="0" w:after="75" w:afterAutospacing="0"/>
        <w:ind w:firstLine="240"/>
        <w:rPr>
          <w:color w:val="auto"/>
          <w:highlight w:val="none"/>
        </w:rPr>
      </w:pPr>
      <w:r>
        <w:rPr>
          <w:rFonts w:hint="eastAsia" w:ascii="宋体" w:hAnsi="宋体" w:cs="宋体"/>
          <w:color w:val="auto"/>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5990F320">
      <w:pPr>
        <w:pStyle w:val="19"/>
        <w:widowControl/>
        <w:spacing w:before="75" w:beforeAutospacing="0" w:after="75" w:afterAutospacing="0"/>
        <w:ind w:firstLine="240"/>
        <w:rPr>
          <w:color w:val="auto"/>
          <w:highlight w:val="none"/>
        </w:rPr>
      </w:pPr>
      <w:r>
        <w:rPr>
          <w:rFonts w:hint="eastAsia" w:ascii="宋体" w:hAnsi="宋体" w:cs="宋体"/>
          <w:color w:val="auto"/>
          <w:highlight w:val="none"/>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608E1ECD">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①监狱企业参加采购活动时，应提供由省级以上监狱管理局、戒毒管理局（含新疆生产建设兵团）出具的属于监狱企业的证明文件。</w:t>
      </w:r>
    </w:p>
    <w:p w14:paraId="5DCAB2CA">
      <w:pPr>
        <w:pStyle w:val="19"/>
        <w:widowControl/>
        <w:spacing w:before="75" w:beforeAutospacing="0" w:after="240" w:afterAutospacing="0"/>
        <w:ind w:firstLine="480"/>
        <w:rPr>
          <w:color w:val="auto"/>
          <w:highlight w:val="none"/>
        </w:rPr>
      </w:pPr>
      <w:r>
        <w:rPr>
          <w:rFonts w:hint="eastAsia" w:ascii="宋体" w:hAnsi="宋体" w:cs="宋体"/>
          <w:color w:val="auto"/>
          <w:highlight w:val="none"/>
        </w:rPr>
        <w:t>②监狱企业视同小型、微型企业。</w:t>
      </w:r>
    </w:p>
    <w:p w14:paraId="0029154E">
      <w:pPr>
        <w:pStyle w:val="19"/>
        <w:widowControl/>
        <w:spacing w:before="75" w:beforeAutospacing="0" w:after="75" w:afterAutospacing="0"/>
        <w:ind w:firstLine="240"/>
        <w:rPr>
          <w:color w:val="auto"/>
          <w:highlight w:val="none"/>
        </w:rPr>
      </w:pPr>
      <w:r>
        <w:rPr>
          <w:rFonts w:hint="eastAsia" w:ascii="宋体" w:hAnsi="宋体" w:cs="宋体"/>
          <w:color w:val="auto"/>
          <w:highlight w:val="none"/>
        </w:rPr>
        <w:t>（5）残疾人福利性单位指同时符合下列条件的单位：</w:t>
      </w:r>
    </w:p>
    <w:p w14:paraId="1F0FC18D">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①安置的残疾人占本单位在职职工人数的比例不低于</w:t>
      </w:r>
      <w:r>
        <w:rPr>
          <w:rFonts w:ascii="Calibri" w:hAnsi="Calibri" w:cs="Calibri"/>
          <w:color w:val="auto"/>
          <w:highlight w:val="none"/>
        </w:rPr>
        <w:t>25%</w:t>
      </w:r>
      <w:r>
        <w:rPr>
          <w:rFonts w:hint="eastAsia" w:ascii="宋体" w:hAnsi="宋体" w:cs="宋体"/>
          <w:color w:val="auto"/>
          <w:highlight w:val="none"/>
        </w:rPr>
        <w:t>（含</w:t>
      </w:r>
      <w:r>
        <w:rPr>
          <w:rFonts w:ascii="Calibri" w:hAnsi="Calibri" w:cs="Calibri"/>
          <w:color w:val="auto"/>
          <w:highlight w:val="none"/>
        </w:rPr>
        <w:t>25%</w:t>
      </w:r>
      <w:r>
        <w:rPr>
          <w:rFonts w:hint="eastAsia" w:ascii="宋体" w:hAnsi="宋体" w:cs="宋体"/>
          <w:color w:val="auto"/>
          <w:highlight w:val="none"/>
        </w:rPr>
        <w:t>），并且安置的残疾人人数不少于</w:t>
      </w:r>
      <w:r>
        <w:rPr>
          <w:rFonts w:ascii="Calibri" w:hAnsi="Calibri" w:cs="Calibri"/>
          <w:color w:val="auto"/>
          <w:highlight w:val="none"/>
        </w:rPr>
        <w:t>10</w:t>
      </w:r>
      <w:r>
        <w:rPr>
          <w:rFonts w:hint="eastAsia" w:ascii="宋体" w:hAnsi="宋体" w:cs="宋体"/>
          <w:color w:val="auto"/>
          <w:highlight w:val="none"/>
        </w:rPr>
        <w:t>人（含</w:t>
      </w:r>
      <w:r>
        <w:rPr>
          <w:rFonts w:ascii="Calibri" w:hAnsi="Calibri" w:cs="Calibri"/>
          <w:color w:val="auto"/>
          <w:highlight w:val="none"/>
        </w:rPr>
        <w:t>10</w:t>
      </w:r>
      <w:r>
        <w:rPr>
          <w:rFonts w:hint="eastAsia" w:ascii="宋体" w:hAnsi="宋体" w:cs="宋体"/>
          <w:color w:val="auto"/>
          <w:highlight w:val="none"/>
        </w:rPr>
        <w:t>人）；</w:t>
      </w:r>
    </w:p>
    <w:p w14:paraId="0187C054">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②依法与安置的每位残疾人签订了一年以上（含一年）的劳动合同或服务协议；</w:t>
      </w:r>
    </w:p>
    <w:p w14:paraId="7F42A0A5">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③为安置的每位残疾人按月足额缴纳了基本养老保险、基本医疗保险、失业保险、工伤保险和生育保险等社会保险费；</w:t>
      </w:r>
    </w:p>
    <w:p w14:paraId="4B4D16B5">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④通过银行等金融机构向安置的每位残疾人，按月支付了不低于单位所在区县适用的经省级人民政府批准的月最低工资标准的工资；</w:t>
      </w:r>
    </w:p>
    <w:p w14:paraId="51B0F178">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⑤提供本单位制造的货物、承担的工程或服务，或提供其他残疾人福利性单位制造的货物（不包括使用非残疾人福利性单位注册商标的货物）。</w:t>
      </w:r>
    </w:p>
    <w:p w14:paraId="5AB7A9F1">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前款所称残疾人指法定劳动年龄内，持有《中华人民共和国残疾人证》或《中华人民共和国残疾军人证（1至</w:t>
      </w:r>
      <w:r>
        <w:rPr>
          <w:rFonts w:ascii="Calibri" w:hAnsi="Calibri" w:cs="Calibri"/>
          <w:color w:val="auto"/>
          <w:highlight w:val="none"/>
        </w:rPr>
        <w:t>8</w:t>
      </w:r>
      <w:r>
        <w:rPr>
          <w:rFonts w:hint="eastAsia" w:ascii="宋体" w:hAnsi="宋体" w:cs="宋体"/>
          <w:color w:val="auto"/>
          <w:highlight w:val="none"/>
        </w:rPr>
        <w:t>级）》的自然人，包括具有劳动条件和劳动意愿的精神残疾人。在职职工人数是指与残疾人福利性单位建立劳动关系并依法签订劳动合同或服务协议的雇员人数。</w:t>
      </w:r>
    </w:p>
    <w:p w14:paraId="4C3DE5D5">
      <w:pPr>
        <w:pStyle w:val="19"/>
        <w:widowControl/>
        <w:spacing w:before="75" w:beforeAutospacing="0" w:after="75" w:afterAutospacing="0"/>
        <w:ind w:firstLine="480"/>
        <w:rPr>
          <w:color w:val="auto"/>
          <w:highlight w:val="none"/>
        </w:rPr>
      </w:pPr>
      <w:r>
        <w:rPr>
          <w:rStyle w:val="26"/>
          <w:rFonts w:hint="eastAsia" w:ascii="宋体" w:hAnsi="宋体" w:cs="宋体"/>
          <w:color w:val="auto"/>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0F217906">
      <w:pPr>
        <w:pStyle w:val="19"/>
        <w:widowControl/>
        <w:spacing w:before="75" w:beforeAutospacing="0" w:after="75" w:afterAutospacing="0"/>
        <w:rPr>
          <w:color w:val="auto"/>
          <w:highlight w:val="none"/>
        </w:rPr>
      </w:pPr>
      <w:r>
        <w:rPr>
          <w:rFonts w:hint="eastAsia" w:ascii="宋体" w:hAnsi="宋体" w:cs="宋体"/>
          <w:color w:val="auto"/>
          <w:highlight w:val="none"/>
        </w:rPr>
        <w:t>17.5信用记录指由财政部确定的有关网站提供的相关主体信用信息。信用记录的查询及使用应符合财政部文件（财库</w:t>
      </w:r>
      <w:r>
        <w:rPr>
          <w:rFonts w:ascii="Calibri" w:hAnsi="Calibri" w:cs="Calibri"/>
          <w:color w:val="auto"/>
          <w:highlight w:val="none"/>
        </w:rPr>
        <w:t>[2016]125</w:t>
      </w:r>
      <w:r>
        <w:rPr>
          <w:rFonts w:hint="eastAsia" w:ascii="宋体" w:hAnsi="宋体" w:cs="宋体"/>
          <w:color w:val="auto"/>
          <w:highlight w:val="none"/>
        </w:rPr>
        <w:t>号）规定。</w:t>
      </w:r>
    </w:p>
    <w:p w14:paraId="57CE1522">
      <w:pPr>
        <w:pStyle w:val="19"/>
        <w:widowControl/>
        <w:spacing w:before="75" w:beforeAutospacing="0" w:after="75" w:afterAutospacing="0"/>
        <w:rPr>
          <w:color w:val="auto"/>
          <w:highlight w:val="none"/>
        </w:rPr>
      </w:pPr>
      <w:r>
        <w:rPr>
          <w:rFonts w:hint="eastAsia" w:ascii="宋体" w:hAnsi="宋体" w:cs="宋体"/>
          <w:color w:val="auto"/>
          <w:highlight w:val="none"/>
        </w:rPr>
        <w:t>17.6为落实政府采购政策需满足的要求：详见招标文件第一章。</w:t>
      </w:r>
    </w:p>
    <w:p w14:paraId="71C9A119">
      <w:pPr>
        <w:pStyle w:val="19"/>
        <w:widowControl/>
        <w:spacing w:before="75" w:beforeAutospacing="0" w:after="75" w:afterAutospacing="0" w:line="300" w:lineRule="exact"/>
        <w:rPr>
          <w:color w:val="auto"/>
          <w:highlight w:val="none"/>
        </w:rPr>
      </w:pPr>
      <w:r>
        <w:rPr>
          <w:rFonts w:hint="eastAsia" w:ascii="宋体" w:hAnsi="宋体" w:cs="宋体"/>
          <w:color w:val="auto"/>
          <w:highlight w:val="none"/>
        </w:rPr>
        <w:t> </w:t>
      </w:r>
    </w:p>
    <w:p w14:paraId="6AF2CE20">
      <w:pPr>
        <w:pStyle w:val="19"/>
        <w:widowControl/>
        <w:spacing w:before="75" w:beforeAutospacing="0" w:after="75" w:afterAutospacing="0" w:line="300" w:lineRule="exact"/>
        <w:jc w:val="center"/>
        <w:rPr>
          <w:color w:val="auto"/>
          <w:highlight w:val="none"/>
        </w:rPr>
      </w:pPr>
      <w:r>
        <w:rPr>
          <w:rStyle w:val="26"/>
          <w:rFonts w:hint="eastAsia" w:ascii="宋体" w:hAnsi="宋体" w:cs="宋体"/>
          <w:color w:val="auto"/>
          <w:highlight w:val="none"/>
        </w:rPr>
        <w:t>九、本项目的有关信息</w:t>
      </w:r>
    </w:p>
    <w:p w14:paraId="1F9DE883">
      <w:pPr>
        <w:pStyle w:val="19"/>
        <w:widowControl/>
        <w:spacing w:before="75" w:beforeAutospacing="0" w:after="75" w:afterAutospacing="0" w:line="300" w:lineRule="exact"/>
        <w:rPr>
          <w:color w:val="auto"/>
          <w:highlight w:val="none"/>
        </w:rPr>
      </w:pPr>
      <w:r>
        <w:rPr>
          <w:rFonts w:hint="eastAsia" w:ascii="宋体" w:hAnsi="宋体" w:cs="宋体"/>
          <w:color w:val="auto"/>
          <w:highlight w:val="none"/>
        </w:rPr>
        <w:t>18、本项目的有关信息，包括但不限于：招标公告、更正公告（若有）、招标文件、招标文件的澄清或修改（若有）、中标公告、终止公告（若有）、废标公告（若有）等都将在招标文件载明的指定媒体发布。</w:t>
      </w:r>
    </w:p>
    <w:p w14:paraId="7E99DB3F">
      <w:pPr>
        <w:pStyle w:val="19"/>
        <w:widowControl/>
        <w:spacing w:before="75" w:beforeAutospacing="0" w:after="75" w:afterAutospacing="0" w:line="300" w:lineRule="exact"/>
        <w:rPr>
          <w:color w:val="auto"/>
          <w:highlight w:val="none"/>
        </w:rPr>
      </w:pPr>
      <w:r>
        <w:rPr>
          <w:rFonts w:hint="eastAsia" w:ascii="宋体" w:hAnsi="宋体" w:cs="宋体"/>
          <w:color w:val="auto"/>
          <w:highlight w:val="none"/>
        </w:rPr>
        <w:t>18.1指定媒体：详见招标文件第二章。</w:t>
      </w:r>
    </w:p>
    <w:p w14:paraId="263C46BF">
      <w:pPr>
        <w:pStyle w:val="19"/>
        <w:widowControl/>
        <w:spacing w:before="75" w:beforeAutospacing="0" w:after="75" w:afterAutospacing="0" w:line="300" w:lineRule="exact"/>
        <w:rPr>
          <w:color w:val="auto"/>
          <w:highlight w:val="none"/>
        </w:rPr>
      </w:pPr>
      <w:r>
        <w:rPr>
          <w:rFonts w:hint="eastAsia" w:ascii="宋体" w:hAnsi="宋体" w:cs="宋体"/>
          <w:color w:val="auto"/>
          <w:highlight w:val="none"/>
        </w:rPr>
        <w:t>18.2本项目的潜在投标人或投标人应随时关注指定媒体，否则产生不利后果由其自行承担。</w:t>
      </w:r>
    </w:p>
    <w:p w14:paraId="79CD6781">
      <w:pPr>
        <w:pStyle w:val="19"/>
        <w:widowControl/>
        <w:spacing w:before="75" w:beforeAutospacing="0" w:after="75" w:afterAutospacing="0" w:line="300" w:lineRule="exact"/>
        <w:rPr>
          <w:color w:val="auto"/>
          <w:highlight w:val="none"/>
        </w:rPr>
      </w:pPr>
      <w:r>
        <w:rPr>
          <w:rFonts w:hint="eastAsia" w:ascii="宋体" w:hAnsi="宋体" w:cs="宋体"/>
          <w:color w:val="auto"/>
          <w:highlight w:val="none"/>
        </w:rPr>
        <w:t> </w:t>
      </w:r>
    </w:p>
    <w:p w14:paraId="41DFC805">
      <w:pPr>
        <w:pStyle w:val="19"/>
        <w:widowControl/>
        <w:spacing w:before="75" w:beforeAutospacing="0" w:after="75" w:afterAutospacing="0" w:line="300" w:lineRule="exact"/>
        <w:jc w:val="center"/>
        <w:rPr>
          <w:color w:val="auto"/>
          <w:highlight w:val="none"/>
        </w:rPr>
      </w:pPr>
      <w:r>
        <w:rPr>
          <w:rStyle w:val="26"/>
          <w:rFonts w:hint="eastAsia" w:ascii="宋体" w:hAnsi="宋体" w:cs="宋体"/>
          <w:color w:val="auto"/>
          <w:highlight w:val="none"/>
        </w:rPr>
        <w:t>十、其他事项</w:t>
      </w:r>
    </w:p>
    <w:p w14:paraId="4C1205AC">
      <w:pPr>
        <w:pStyle w:val="19"/>
        <w:widowControl/>
        <w:spacing w:before="75" w:beforeAutospacing="0" w:after="75" w:afterAutospacing="0" w:line="300" w:lineRule="exact"/>
        <w:rPr>
          <w:rFonts w:ascii="宋体" w:hAnsi="宋体" w:cs="宋体"/>
          <w:color w:val="auto"/>
          <w:highlight w:val="none"/>
        </w:rPr>
      </w:pPr>
      <w:r>
        <w:rPr>
          <w:rFonts w:hint="eastAsia" w:ascii="宋体" w:hAnsi="宋体" w:cs="宋体"/>
          <w:color w:val="auto"/>
          <w:highlight w:val="none"/>
        </w:rPr>
        <w:t>19、其他事项：</w:t>
      </w:r>
    </w:p>
    <w:p w14:paraId="38AB5C2B">
      <w:pPr>
        <w:pStyle w:val="19"/>
        <w:widowControl/>
        <w:spacing w:before="75" w:beforeAutospacing="0" w:after="75" w:afterAutospacing="0" w:line="300" w:lineRule="exact"/>
        <w:rPr>
          <w:color w:val="auto"/>
          <w:highlight w:val="none"/>
        </w:rPr>
      </w:pPr>
      <w:r>
        <w:rPr>
          <w:rFonts w:hint="eastAsia" w:ascii="宋体" w:hAnsi="宋体" w:cs="宋体"/>
          <w:color w:val="auto"/>
          <w:highlight w:val="none"/>
        </w:rPr>
        <w:t>  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5B046800">
      <w:pPr>
        <w:pStyle w:val="19"/>
        <w:widowControl/>
        <w:spacing w:line="300" w:lineRule="exact"/>
        <w:rPr>
          <w:color w:val="auto"/>
          <w:highlight w:val="none"/>
        </w:rPr>
      </w:pPr>
      <w:r>
        <w:rPr>
          <w:rFonts w:hint="eastAsia" w:ascii="宋体" w:hAnsi="宋体" w:cs="宋体"/>
          <w:color w:val="auto"/>
          <w:highlight w:val="none"/>
        </w:rPr>
        <w:t>   19.2其他：详见招标文件第二章。</w:t>
      </w:r>
    </w:p>
    <w:p w14:paraId="09B595A8">
      <w:pPr>
        <w:pStyle w:val="19"/>
        <w:widowControl/>
        <w:spacing w:before="75" w:beforeAutospacing="0" w:after="75" w:afterAutospacing="0"/>
        <w:jc w:val="center"/>
        <w:rPr>
          <w:rStyle w:val="26"/>
          <w:rFonts w:ascii="宋体" w:hAnsi="宋体" w:cs="宋体"/>
          <w:color w:val="auto"/>
          <w:sz w:val="31"/>
          <w:szCs w:val="31"/>
          <w:highlight w:val="none"/>
        </w:rPr>
      </w:pPr>
    </w:p>
    <w:p w14:paraId="2A6EB8B4">
      <w:pPr>
        <w:pStyle w:val="19"/>
        <w:widowControl/>
        <w:spacing w:before="75" w:beforeAutospacing="0" w:after="75" w:afterAutospacing="0"/>
        <w:jc w:val="center"/>
        <w:rPr>
          <w:rStyle w:val="26"/>
          <w:rFonts w:ascii="宋体" w:hAnsi="宋体" w:cs="宋体"/>
          <w:color w:val="auto"/>
          <w:sz w:val="31"/>
          <w:szCs w:val="31"/>
          <w:highlight w:val="none"/>
        </w:rPr>
      </w:pPr>
    </w:p>
    <w:p w14:paraId="575AEA9D">
      <w:pPr>
        <w:pStyle w:val="19"/>
        <w:widowControl/>
        <w:spacing w:before="75" w:beforeAutospacing="0" w:after="75" w:afterAutospacing="0"/>
        <w:jc w:val="center"/>
        <w:rPr>
          <w:rStyle w:val="26"/>
          <w:rFonts w:ascii="宋体" w:hAnsi="宋体" w:cs="宋体"/>
          <w:color w:val="auto"/>
          <w:sz w:val="31"/>
          <w:szCs w:val="31"/>
          <w:highlight w:val="none"/>
        </w:rPr>
      </w:pPr>
    </w:p>
    <w:p w14:paraId="38B578EA">
      <w:pPr>
        <w:pStyle w:val="19"/>
        <w:widowControl/>
        <w:spacing w:before="75" w:beforeAutospacing="0" w:after="75" w:afterAutospacing="0"/>
        <w:jc w:val="center"/>
        <w:rPr>
          <w:rStyle w:val="26"/>
          <w:rFonts w:ascii="宋体" w:hAnsi="宋体" w:cs="宋体"/>
          <w:color w:val="auto"/>
          <w:sz w:val="31"/>
          <w:szCs w:val="31"/>
          <w:highlight w:val="none"/>
        </w:rPr>
      </w:pPr>
    </w:p>
    <w:p w14:paraId="5672B16C">
      <w:pPr>
        <w:pStyle w:val="19"/>
        <w:widowControl/>
        <w:spacing w:before="75" w:beforeAutospacing="0" w:after="75" w:afterAutospacing="0"/>
        <w:jc w:val="center"/>
        <w:rPr>
          <w:rStyle w:val="26"/>
          <w:rFonts w:ascii="宋体" w:hAnsi="宋体" w:cs="宋体"/>
          <w:color w:val="auto"/>
          <w:sz w:val="31"/>
          <w:szCs w:val="31"/>
          <w:highlight w:val="none"/>
        </w:rPr>
      </w:pPr>
    </w:p>
    <w:p w14:paraId="137A039F">
      <w:pPr>
        <w:pStyle w:val="19"/>
        <w:widowControl/>
        <w:spacing w:before="75" w:beforeAutospacing="0" w:after="75" w:afterAutospacing="0"/>
        <w:jc w:val="center"/>
        <w:rPr>
          <w:rStyle w:val="26"/>
          <w:rFonts w:ascii="宋体" w:hAnsi="宋体" w:cs="宋体"/>
          <w:color w:val="auto"/>
          <w:sz w:val="31"/>
          <w:szCs w:val="31"/>
          <w:highlight w:val="none"/>
        </w:rPr>
      </w:pPr>
    </w:p>
    <w:p w14:paraId="605A6BF2">
      <w:pPr>
        <w:pStyle w:val="19"/>
        <w:widowControl/>
        <w:spacing w:before="75" w:beforeAutospacing="0" w:after="75" w:afterAutospacing="0"/>
        <w:jc w:val="center"/>
        <w:rPr>
          <w:rStyle w:val="26"/>
          <w:rFonts w:ascii="宋体" w:hAnsi="宋体" w:cs="宋体"/>
          <w:color w:val="auto"/>
          <w:sz w:val="31"/>
          <w:szCs w:val="31"/>
          <w:highlight w:val="none"/>
        </w:rPr>
      </w:pPr>
    </w:p>
    <w:p w14:paraId="369EC9C6">
      <w:pPr>
        <w:jc w:val="center"/>
        <w:rPr>
          <w:color w:val="auto"/>
          <w:highlight w:val="none"/>
        </w:rPr>
      </w:pPr>
      <w:r>
        <w:rPr>
          <w:rStyle w:val="26"/>
          <w:rFonts w:hint="eastAsia" w:ascii="宋体" w:hAnsi="宋体" w:cs="宋体"/>
          <w:color w:val="auto"/>
          <w:sz w:val="31"/>
          <w:szCs w:val="31"/>
          <w:highlight w:val="none"/>
        </w:rPr>
        <w:t>第四章   资格审查与评标</w:t>
      </w:r>
    </w:p>
    <w:p w14:paraId="7E1A4065">
      <w:pPr>
        <w:pStyle w:val="19"/>
        <w:widowControl/>
        <w:spacing w:before="75" w:beforeAutospacing="0" w:after="75" w:afterAutospacing="0"/>
        <w:rPr>
          <w:color w:val="auto"/>
          <w:highlight w:val="none"/>
        </w:rPr>
      </w:pPr>
      <w:r>
        <w:rPr>
          <w:rFonts w:hint="eastAsia" w:ascii="宋体" w:hAnsi="宋体" w:cs="宋体"/>
          <w:color w:val="auto"/>
          <w:highlight w:val="none"/>
        </w:rPr>
        <w:t> </w:t>
      </w:r>
    </w:p>
    <w:p w14:paraId="67D35063">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400" w:lineRule="exact"/>
        <w:jc w:val="center"/>
        <w:textAlignment w:val="auto"/>
        <w:rPr>
          <w:color w:val="auto"/>
          <w:highlight w:val="none"/>
        </w:rPr>
      </w:pPr>
      <w:r>
        <w:rPr>
          <w:rStyle w:val="26"/>
          <w:rFonts w:hint="eastAsia" w:ascii="宋体" w:hAnsi="宋体" w:cs="宋体"/>
          <w:color w:val="auto"/>
          <w:highlight w:val="none"/>
        </w:rPr>
        <w:t>一、资格审查</w:t>
      </w:r>
    </w:p>
    <w:p w14:paraId="1C5B36E7">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400" w:lineRule="exact"/>
        <w:textAlignment w:val="auto"/>
        <w:rPr>
          <w:color w:val="auto"/>
          <w:highlight w:val="none"/>
        </w:rPr>
      </w:pPr>
      <w:r>
        <w:rPr>
          <w:rFonts w:hint="eastAsia" w:ascii="宋体" w:hAnsi="宋体" w:cs="宋体"/>
          <w:color w:val="auto"/>
          <w:highlight w:val="none"/>
        </w:rPr>
        <w:t>1、开标结束后，由</w:t>
      </w:r>
      <w:r>
        <w:rPr>
          <w:rFonts w:hint="eastAsia" w:ascii="宋体" w:hAnsi="宋体" w:cs="宋体"/>
          <w:color w:val="auto"/>
          <w:highlight w:val="none"/>
          <w:u w:val="single"/>
        </w:rPr>
        <w:t>福建亿立项目管理有限公司</w:t>
      </w:r>
      <w:r>
        <w:rPr>
          <w:rFonts w:hint="eastAsia" w:ascii="宋体" w:hAnsi="宋体" w:cs="宋体"/>
          <w:color w:val="auto"/>
          <w:highlight w:val="none"/>
        </w:rPr>
        <w:t>负责资格审查小组的组建及资格审查工作的组织。</w:t>
      </w:r>
    </w:p>
    <w:p w14:paraId="49D3BF36">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400" w:lineRule="exact"/>
        <w:textAlignment w:val="auto"/>
        <w:rPr>
          <w:rFonts w:hint="eastAsia" w:ascii="宋体" w:hAnsi="宋体" w:cs="宋体"/>
          <w:color w:val="auto"/>
          <w:highlight w:val="none"/>
        </w:rPr>
      </w:pPr>
      <w:r>
        <w:rPr>
          <w:rFonts w:hint="eastAsia" w:ascii="宋体" w:hAnsi="宋体" w:cs="宋体"/>
          <w:color w:val="auto"/>
          <w:highlight w:val="none"/>
        </w:rPr>
        <w:t>1.1资格审查小组</w:t>
      </w:r>
    </w:p>
    <w:p w14:paraId="35861525">
      <w:pPr>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Calibri" w:hAnsi="Calibri" w:eastAsia="宋体" w:cs="Times New Roman"/>
          <w:color w:val="auto"/>
          <w:sz w:val="24"/>
          <w:szCs w:val="24"/>
          <w:highlight w:val="none"/>
          <w:lang w:val="en-US" w:eastAsia="zh-Hans"/>
        </w:rPr>
      </w:pPr>
      <w:r>
        <w:rPr>
          <w:rFonts w:hint="eastAsia" w:ascii="Calibri" w:hAnsi="Calibri" w:eastAsia="宋体" w:cs="Times New Roman"/>
          <w:color w:val="auto"/>
          <w:sz w:val="24"/>
          <w:szCs w:val="24"/>
          <w:highlight w:val="none"/>
          <w:lang w:val="en-US" w:eastAsia="zh-Hans"/>
        </w:rPr>
        <w:t>资格审查小组由3人组成，并负责具体审查事务，其中由采购人派出的采购人代表至少1人，由福建亿立项目管理有限公司派出的工作人员至少1人，其余1人可为采购人代表或福建亿立项目管理有限公司的工作人员。</w:t>
      </w:r>
    </w:p>
    <w:p w14:paraId="06929514">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400" w:lineRule="exact"/>
        <w:textAlignment w:val="auto"/>
        <w:rPr>
          <w:color w:val="auto"/>
          <w:highlight w:val="none"/>
        </w:rPr>
      </w:pPr>
      <w:r>
        <w:rPr>
          <w:rFonts w:hint="eastAsia" w:ascii="宋体" w:hAnsi="宋体" w:cs="宋体"/>
          <w:color w:val="auto"/>
          <w:highlight w:val="none"/>
        </w:rPr>
        <w:t>1.2资格审查的依据是招标文件和投标文件。</w:t>
      </w:r>
    </w:p>
    <w:p w14:paraId="6DAA621C">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400" w:lineRule="exact"/>
        <w:textAlignment w:val="auto"/>
        <w:rPr>
          <w:color w:val="auto"/>
          <w:highlight w:val="none"/>
        </w:rPr>
      </w:pPr>
      <w:r>
        <w:rPr>
          <w:rFonts w:hint="eastAsia" w:ascii="宋体" w:hAnsi="宋体" w:cs="宋体"/>
          <w:color w:val="auto"/>
          <w:highlight w:val="none"/>
        </w:rPr>
        <w:t>1.3资格审查的范围及内容：投标文件（资格及资信证明部分），具体如下：</w:t>
      </w:r>
    </w:p>
    <w:p w14:paraId="1F4DA6A3">
      <w:pPr>
        <w:pStyle w:val="19"/>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cs="宋体"/>
          <w:color w:val="auto"/>
          <w:highlight w:val="none"/>
        </w:rPr>
      </w:pPr>
      <w:r>
        <w:rPr>
          <w:rFonts w:hint="eastAsia" w:ascii="宋体" w:hAnsi="宋体" w:cs="宋体"/>
          <w:color w:val="auto"/>
          <w:highlight w:val="none"/>
        </w:rPr>
        <w:t>  （1）“投标函”；</w:t>
      </w:r>
    </w:p>
    <w:p w14:paraId="3F1C05B3">
      <w:pPr>
        <w:pStyle w:val="19"/>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cs="宋体"/>
          <w:color w:val="auto"/>
          <w:highlight w:val="none"/>
        </w:rPr>
      </w:pPr>
      <w:r>
        <w:rPr>
          <w:rFonts w:hint="eastAsia" w:ascii="宋体" w:hAnsi="宋体" w:cs="宋体"/>
          <w:color w:val="auto"/>
          <w:highlight w:val="none"/>
        </w:rPr>
        <w:t>  （2）“投标人的资格及资信证明文件”</w:t>
      </w:r>
    </w:p>
    <w:p w14:paraId="6B852B29">
      <w:pPr>
        <w:pStyle w:val="19"/>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cs="宋体"/>
          <w:color w:val="auto"/>
          <w:highlight w:val="none"/>
        </w:rPr>
      </w:pPr>
      <w:r>
        <w:rPr>
          <w:rFonts w:hint="eastAsia" w:ascii="宋体" w:hAnsi="宋体" w:cs="宋体"/>
          <w:color w:val="auto"/>
          <w:highlight w:val="none"/>
        </w:rPr>
        <w:t>   ①一般资格证明文件：</w:t>
      </w:r>
    </w:p>
    <w:p w14:paraId="7777265F">
      <w:pPr>
        <w:ind w:firstLine="480"/>
        <w:jc w:val="both"/>
        <w:rPr>
          <w:rFonts w:hint="eastAsia" w:ascii="Calibri" w:hAnsi="Calibri" w:eastAsia="宋体" w:cs="Times New Roman"/>
          <w:color w:val="auto"/>
          <w:sz w:val="24"/>
          <w:szCs w:val="24"/>
          <w:highlight w:val="none"/>
          <w:lang w:val="en-US" w:eastAsia="zh-Hans"/>
        </w:rPr>
      </w:pPr>
      <w:r>
        <w:rPr>
          <w:rFonts w:hint="eastAsia" w:ascii="Calibri" w:hAnsi="Calibri" w:eastAsia="宋体" w:cs="Times New Roman"/>
          <w:color w:val="auto"/>
          <w:sz w:val="24"/>
          <w:szCs w:val="24"/>
          <w:highlight w:val="none"/>
          <w:lang w:val="en-US" w:eastAsia="zh-Hans"/>
        </w:rPr>
        <w:t>采购包1：</w:t>
      </w:r>
    </w:p>
    <w:tbl>
      <w:tblPr>
        <w:tblStyle w:val="23"/>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99"/>
        <w:gridCol w:w="7728"/>
      </w:tblGrid>
      <w:tr w14:paraId="07C36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1499" w:type="dxa"/>
            <w:shd w:val="clear" w:color="auto" w:fill="auto"/>
            <w:vAlign w:val="center"/>
          </w:tcPr>
          <w:p w14:paraId="4CF5D828">
            <w:pPr>
              <w:widowControl/>
              <w:jc w:val="center"/>
              <w:rPr>
                <w:b/>
                <w:bCs/>
                <w:color w:val="auto"/>
                <w:highlight w:val="none"/>
              </w:rPr>
            </w:pPr>
            <w:r>
              <w:rPr>
                <w:rFonts w:ascii="宋体" w:hAnsi="宋体" w:cs="宋体"/>
                <w:b/>
                <w:bCs/>
                <w:color w:val="auto"/>
                <w:kern w:val="0"/>
                <w:sz w:val="24"/>
                <w:highlight w:val="none"/>
                <w:lang w:bidi="ar"/>
              </w:rPr>
              <w:t>明细</w:t>
            </w:r>
          </w:p>
        </w:tc>
        <w:tc>
          <w:tcPr>
            <w:tcW w:w="7728" w:type="dxa"/>
            <w:shd w:val="clear" w:color="auto" w:fill="auto"/>
            <w:vAlign w:val="center"/>
          </w:tcPr>
          <w:p w14:paraId="7AD850C8">
            <w:pPr>
              <w:widowControl/>
              <w:jc w:val="center"/>
              <w:rPr>
                <w:b/>
                <w:bCs/>
                <w:color w:val="auto"/>
                <w:highlight w:val="none"/>
              </w:rPr>
            </w:pPr>
            <w:r>
              <w:rPr>
                <w:rFonts w:ascii="宋体" w:hAnsi="宋体" w:cs="宋体"/>
                <w:b/>
                <w:bCs/>
                <w:color w:val="auto"/>
                <w:kern w:val="0"/>
                <w:sz w:val="24"/>
                <w:highlight w:val="none"/>
                <w:lang w:bidi="ar"/>
              </w:rPr>
              <w:t>描述</w:t>
            </w:r>
          </w:p>
        </w:tc>
      </w:tr>
      <w:tr w14:paraId="280E7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499" w:type="dxa"/>
            <w:shd w:val="clear" w:color="auto" w:fill="auto"/>
            <w:vAlign w:val="center"/>
          </w:tcPr>
          <w:p w14:paraId="31D4D9E7">
            <w:pPr>
              <w:widowControl/>
              <w:jc w:val="left"/>
              <w:rPr>
                <w:color w:val="auto"/>
                <w:highlight w:val="none"/>
              </w:rPr>
            </w:pPr>
            <w:r>
              <w:rPr>
                <w:rFonts w:ascii="宋体" w:hAnsi="宋体" w:cs="宋体"/>
                <w:color w:val="auto"/>
                <w:kern w:val="0"/>
                <w:sz w:val="24"/>
                <w:highlight w:val="none"/>
                <w:lang w:bidi="ar"/>
              </w:rPr>
              <w:t>（1）单位授权书</w:t>
            </w:r>
          </w:p>
        </w:tc>
        <w:tc>
          <w:tcPr>
            <w:tcW w:w="7728" w:type="dxa"/>
            <w:shd w:val="clear" w:color="auto" w:fill="auto"/>
            <w:vAlign w:val="center"/>
          </w:tcPr>
          <w:p w14:paraId="7557FB94">
            <w:pPr>
              <w:widowControl/>
              <w:jc w:val="left"/>
              <w:rPr>
                <w:color w:val="auto"/>
                <w:highlight w:val="none"/>
              </w:rPr>
            </w:pPr>
            <w:r>
              <w:rPr>
                <w:rFonts w:ascii="宋体" w:hAnsi="宋体" w:cs="宋体"/>
                <w:color w:val="auto"/>
                <w:kern w:val="0"/>
                <w:sz w:val="24"/>
                <w:highlight w:val="none"/>
                <w:lang w:bidi="ar"/>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0D940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499" w:type="dxa"/>
            <w:shd w:val="clear" w:color="auto" w:fill="auto"/>
            <w:vAlign w:val="center"/>
          </w:tcPr>
          <w:p w14:paraId="0CE6D4AE">
            <w:pPr>
              <w:widowControl/>
              <w:jc w:val="left"/>
              <w:rPr>
                <w:color w:val="auto"/>
                <w:highlight w:val="none"/>
              </w:rPr>
            </w:pPr>
            <w:r>
              <w:rPr>
                <w:rFonts w:ascii="宋体" w:hAnsi="宋体" w:cs="宋体"/>
                <w:color w:val="auto"/>
                <w:kern w:val="0"/>
                <w:sz w:val="24"/>
                <w:highlight w:val="none"/>
                <w:lang w:bidi="ar"/>
              </w:rPr>
              <w:t>（2）营业执照等证明文件</w:t>
            </w:r>
          </w:p>
        </w:tc>
        <w:tc>
          <w:tcPr>
            <w:tcW w:w="7728" w:type="dxa"/>
            <w:shd w:val="clear" w:color="auto" w:fill="auto"/>
            <w:vAlign w:val="center"/>
          </w:tcPr>
          <w:p w14:paraId="189AC52C">
            <w:pPr>
              <w:widowControl/>
              <w:jc w:val="left"/>
              <w:rPr>
                <w:color w:val="auto"/>
                <w:highlight w:val="none"/>
              </w:rPr>
            </w:pPr>
            <w:r>
              <w:rPr>
                <w:rFonts w:ascii="宋体" w:hAnsi="宋体" w:cs="宋体"/>
                <w:color w:val="auto"/>
                <w:kern w:val="0"/>
                <w:sz w:val="24"/>
                <w:highlight w:val="none"/>
                <w:lang w:bidi="ar"/>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3D57E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499" w:type="dxa"/>
            <w:shd w:val="clear" w:color="auto" w:fill="auto"/>
            <w:vAlign w:val="center"/>
          </w:tcPr>
          <w:p w14:paraId="285A886B">
            <w:pPr>
              <w:widowControl/>
              <w:jc w:val="left"/>
              <w:rPr>
                <w:color w:val="auto"/>
                <w:highlight w:val="none"/>
              </w:rPr>
            </w:pPr>
            <w:r>
              <w:rPr>
                <w:rFonts w:ascii="宋体" w:hAnsi="宋体" w:cs="宋体"/>
                <w:color w:val="auto"/>
                <w:kern w:val="0"/>
                <w:sz w:val="24"/>
                <w:highlight w:val="none"/>
                <w:lang w:bidi="ar"/>
              </w:rPr>
              <w:t>（3）提供财务状况报告(财务报告、或资信证明）</w:t>
            </w:r>
          </w:p>
        </w:tc>
        <w:tc>
          <w:tcPr>
            <w:tcW w:w="7728" w:type="dxa"/>
            <w:shd w:val="clear" w:color="auto" w:fill="auto"/>
            <w:vAlign w:val="center"/>
          </w:tcPr>
          <w:p w14:paraId="30B94912">
            <w:pPr>
              <w:widowControl/>
              <w:jc w:val="left"/>
              <w:rPr>
                <w:color w:val="auto"/>
                <w:highlight w:val="none"/>
              </w:rPr>
            </w:pPr>
            <w:r>
              <w:rPr>
                <w:rFonts w:ascii="宋体" w:hAnsi="宋体" w:cs="宋体"/>
                <w:color w:val="auto"/>
                <w:kern w:val="0"/>
                <w:sz w:val="24"/>
                <w:highlight w:val="none"/>
                <w:lang w:bidi="ar"/>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1DC02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499" w:type="dxa"/>
            <w:shd w:val="clear" w:color="auto" w:fill="auto"/>
            <w:vAlign w:val="center"/>
          </w:tcPr>
          <w:p w14:paraId="79D80C8F">
            <w:pPr>
              <w:widowControl/>
              <w:jc w:val="left"/>
              <w:rPr>
                <w:color w:val="auto"/>
                <w:highlight w:val="none"/>
              </w:rPr>
            </w:pPr>
            <w:r>
              <w:rPr>
                <w:rFonts w:ascii="宋体" w:hAnsi="宋体" w:cs="宋体"/>
                <w:color w:val="auto"/>
                <w:kern w:val="0"/>
                <w:sz w:val="24"/>
                <w:highlight w:val="none"/>
                <w:lang w:bidi="ar"/>
              </w:rPr>
              <w:t>（4）依法缴纳税收证明材料</w:t>
            </w:r>
          </w:p>
        </w:tc>
        <w:tc>
          <w:tcPr>
            <w:tcW w:w="7728" w:type="dxa"/>
            <w:shd w:val="clear" w:color="auto" w:fill="auto"/>
            <w:vAlign w:val="center"/>
          </w:tcPr>
          <w:p w14:paraId="203CFE79">
            <w:pPr>
              <w:widowControl/>
              <w:jc w:val="left"/>
              <w:rPr>
                <w:color w:val="auto"/>
                <w:highlight w:val="none"/>
              </w:rPr>
            </w:pPr>
            <w:r>
              <w:rPr>
                <w:rFonts w:ascii="宋体" w:hAnsi="宋体" w:cs="宋体"/>
                <w:color w:val="auto"/>
                <w:kern w:val="0"/>
                <w:sz w:val="24"/>
                <w:highlight w:val="none"/>
                <w:lang w:bidi="ar"/>
              </w:rPr>
              <w:t>①</w:t>
            </w:r>
            <w:r>
              <w:rPr>
                <w:rFonts w:ascii="宋体" w:hAnsi="宋体" w:cs="宋体"/>
                <w:color w:val="auto"/>
                <w:sz w:val="24"/>
                <w:highlight w:val="none"/>
              </w:rPr>
              <w:t>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b.投标截止时间的当月成立且已依法缴纳税收的投标人，提供投标截止时间当月的税收缴纳凭据复印件。 c.投标截止时间的当月成立但因税务机关原因导致其尚未依法缴纳税收的投标人，提供依法缴纳税收承诺书（格式自拟）的，视同满足本项资格条件要求。 d.若为依法免税范围的投标人，提供依法免税证明材料的，视同满足本项资格条件要求。</w:t>
            </w:r>
          </w:p>
        </w:tc>
      </w:tr>
      <w:tr w14:paraId="77ED8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499" w:type="dxa"/>
            <w:shd w:val="clear" w:color="auto" w:fill="auto"/>
            <w:vAlign w:val="center"/>
          </w:tcPr>
          <w:p w14:paraId="401608D6">
            <w:pPr>
              <w:widowControl/>
              <w:jc w:val="left"/>
              <w:rPr>
                <w:color w:val="auto"/>
                <w:highlight w:val="none"/>
              </w:rPr>
            </w:pPr>
            <w:r>
              <w:rPr>
                <w:rFonts w:ascii="宋体" w:hAnsi="宋体" w:cs="宋体"/>
                <w:color w:val="auto"/>
                <w:kern w:val="0"/>
                <w:sz w:val="24"/>
                <w:highlight w:val="none"/>
                <w:lang w:bidi="ar"/>
              </w:rPr>
              <w:t>（5）依法缴纳社会保障资金证明材料</w:t>
            </w:r>
          </w:p>
        </w:tc>
        <w:tc>
          <w:tcPr>
            <w:tcW w:w="7728" w:type="dxa"/>
            <w:shd w:val="clear" w:color="auto" w:fill="auto"/>
            <w:vAlign w:val="center"/>
          </w:tcPr>
          <w:p w14:paraId="2AEAFC99">
            <w:pPr>
              <w:widowControl/>
              <w:jc w:val="left"/>
              <w:rPr>
                <w:color w:val="auto"/>
                <w:highlight w:val="none"/>
              </w:rPr>
            </w:pPr>
            <w:r>
              <w:rPr>
                <w:rFonts w:ascii="宋体" w:hAnsi="宋体" w:cs="宋体"/>
                <w:color w:val="auto"/>
                <w:kern w:val="0"/>
                <w:sz w:val="24"/>
                <w:highlight w:val="none"/>
                <w:lang w:bidi="ar"/>
              </w:rPr>
              <w:t>①</w:t>
            </w:r>
            <w:r>
              <w:rPr>
                <w:rFonts w:ascii="宋体" w:hAnsi="宋体" w:cs="宋体"/>
                <w:color w:val="auto"/>
                <w:sz w:val="24"/>
                <w:highlight w:val="none"/>
              </w:rPr>
              <w:t>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b.投标截止时间的当月成立且已依法缴纳社会保障资金的投标人，提供投标截止时间当月的社会保障资金缴纳凭据复印件。 c.投标截止时间的当月成立但因税务机关/社会保障资金管理机关原因导致其尚未依法缴纳社会保障资金的投标人，提供依法缴纳社会保障资金承诺书（格式自拟）的，视同满足本项资格条件要求。 d.若为依法不需要缴纳或暂缓缴纳社会保障资金的投标人，提供依法不需要缴纳或暂缓缴纳社会保障资金证明材料的，视同满足本项资格条件要求。</w:t>
            </w:r>
          </w:p>
        </w:tc>
      </w:tr>
      <w:tr w14:paraId="2BDD8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499" w:type="dxa"/>
            <w:shd w:val="clear" w:color="auto" w:fill="auto"/>
            <w:vAlign w:val="center"/>
          </w:tcPr>
          <w:p w14:paraId="06021CFC">
            <w:pPr>
              <w:widowControl/>
              <w:jc w:val="left"/>
              <w:rPr>
                <w:color w:val="auto"/>
                <w:highlight w:val="none"/>
              </w:rPr>
            </w:pPr>
            <w:r>
              <w:rPr>
                <w:rFonts w:ascii="宋体" w:hAnsi="宋体" w:cs="宋体"/>
                <w:color w:val="auto"/>
                <w:kern w:val="0"/>
                <w:sz w:val="24"/>
                <w:highlight w:val="none"/>
                <w:lang w:bidi="ar"/>
              </w:rPr>
              <w:t>（6）具备履行合同所必需设备和专业技术能力的声明函(若有)</w:t>
            </w:r>
          </w:p>
        </w:tc>
        <w:tc>
          <w:tcPr>
            <w:tcW w:w="7728" w:type="dxa"/>
            <w:shd w:val="clear" w:color="auto" w:fill="auto"/>
            <w:vAlign w:val="center"/>
          </w:tcPr>
          <w:p w14:paraId="2B3FA0BF">
            <w:pPr>
              <w:widowControl/>
              <w:jc w:val="left"/>
              <w:rPr>
                <w:color w:val="auto"/>
                <w:highlight w:val="none"/>
              </w:rPr>
            </w:pPr>
            <w:r>
              <w:rPr>
                <w:rFonts w:ascii="宋体" w:hAnsi="宋体" w:cs="宋体"/>
                <w:color w:val="auto"/>
                <w:kern w:val="0"/>
                <w:sz w:val="24"/>
                <w:highlight w:val="none"/>
                <w:lang w:bidi="ar"/>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18EF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499" w:type="dxa"/>
            <w:shd w:val="clear" w:color="auto" w:fill="auto"/>
            <w:vAlign w:val="center"/>
          </w:tcPr>
          <w:p w14:paraId="209E0F52">
            <w:pPr>
              <w:widowControl/>
              <w:jc w:val="left"/>
              <w:rPr>
                <w:color w:val="auto"/>
                <w:highlight w:val="none"/>
              </w:rPr>
            </w:pPr>
            <w:r>
              <w:rPr>
                <w:rFonts w:ascii="宋体" w:hAnsi="宋体" w:cs="宋体"/>
                <w:color w:val="auto"/>
                <w:kern w:val="0"/>
                <w:sz w:val="24"/>
                <w:highlight w:val="none"/>
                <w:lang w:bidi="ar"/>
              </w:rPr>
              <w:t>（7）参加采购活动前三年内在经营活动中没有重大违法记录的声明</w:t>
            </w:r>
          </w:p>
        </w:tc>
        <w:tc>
          <w:tcPr>
            <w:tcW w:w="7728" w:type="dxa"/>
            <w:shd w:val="clear" w:color="auto" w:fill="auto"/>
            <w:vAlign w:val="center"/>
          </w:tcPr>
          <w:p w14:paraId="0CE48128">
            <w:pPr>
              <w:widowControl/>
              <w:jc w:val="left"/>
              <w:rPr>
                <w:color w:val="auto"/>
                <w:highlight w:val="none"/>
              </w:rPr>
            </w:pPr>
            <w:r>
              <w:rPr>
                <w:rFonts w:ascii="宋体" w:hAnsi="宋体" w:cs="宋体"/>
                <w:color w:val="auto"/>
                <w:kern w:val="0"/>
                <w:sz w:val="24"/>
                <w:highlight w:val="none"/>
                <w:lang w:bidi="ar"/>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36896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499" w:type="dxa"/>
            <w:shd w:val="clear" w:color="auto" w:fill="auto"/>
            <w:vAlign w:val="center"/>
          </w:tcPr>
          <w:p w14:paraId="3FAE3DFD">
            <w:pPr>
              <w:widowControl/>
              <w:jc w:val="left"/>
              <w:rPr>
                <w:color w:val="auto"/>
                <w:highlight w:val="none"/>
              </w:rPr>
            </w:pPr>
            <w:r>
              <w:rPr>
                <w:rFonts w:ascii="宋体" w:hAnsi="宋体" w:cs="宋体"/>
                <w:color w:val="auto"/>
                <w:kern w:val="0"/>
                <w:sz w:val="24"/>
                <w:highlight w:val="none"/>
                <w:lang w:bidi="ar"/>
              </w:rPr>
              <w:t>（8）信用记录查询结果</w:t>
            </w:r>
          </w:p>
        </w:tc>
        <w:tc>
          <w:tcPr>
            <w:tcW w:w="7728" w:type="dxa"/>
            <w:shd w:val="clear" w:color="auto" w:fill="auto"/>
            <w:vAlign w:val="center"/>
          </w:tcPr>
          <w:p w14:paraId="46CD94F4">
            <w:pPr>
              <w:widowControl/>
              <w:jc w:val="left"/>
              <w:rPr>
                <w:color w:val="auto"/>
                <w:highlight w:val="none"/>
              </w:rPr>
            </w:pPr>
            <w:r>
              <w:rPr>
                <w:rFonts w:ascii="宋体" w:hAnsi="宋体" w:cs="宋体"/>
                <w:color w:val="auto"/>
                <w:kern w:val="0"/>
                <w:sz w:val="24"/>
                <w:highlight w:val="none"/>
                <w:lang w:bidi="ar"/>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11D5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499" w:type="dxa"/>
            <w:shd w:val="clear" w:color="auto" w:fill="auto"/>
            <w:vAlign w:val="center"/>
          </w:tcPr>
          <w:p w14:paraId="0222934F">
            <w:pPr>
              <w:widowControl/>
              <w:jc w:val="left"/>
              <w:rPr>
                <w:color w:val="auto"/>
                <w:highlight w:val="none"/>
              </w:rPr>
            </w:pPr>
            <w:r>
              <w:rPr>
                <w:rFonts w:ascii="宋体" w:hAnsi="宋体" w:cs="宋体"/>
                <w:color w:val="auto"/>
                <w:kern w:val="0"/>
                <w:sz w:val="24"/>
                <w:highlight w:val="none"/>
                <w:lang w:bidi="ar"/>
              </w:rPr>
              <w:t>（9）中小企业声明函（以资格条件落实中小企业扶持政策时适用 ）</w:t>
            </w:r>
          </w:p>
        </w:tc>
        <w:tc>
          <w:tcPr>
            <w:tcW w:w="7728" w:type="dxa"/>
            <w:shd w:val="clear" w:color="auto" w:fill="auto"/>
            <w:vAlign w:val="center"/>
          </w:tcPr>
          <w:p w14:paraId="6324F048">
            <w:pPr>
              <w:widowControl/>
              <w:jc w:val="left"/>
              <w:rPr>
                <w:color w:val="auto"/>
                <w:highlight w:val="none"/>
              </w:rPr>
            </w:pPr>
            <w:r>
              <w:rPr>
                <w:rFonts w:ascii="宋体" w:hAnsi="宋体" w:cs="宋体"/>
                <w:color w:val="auto"/>
                <w:kern w:val="0"/>
                <w:sz w:val="24"/>
                <w:highlight w:val="none"/>
                <w:lang w:bidi="ar"/>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645C7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499" w:type="dxa"/>
            <w:shd w:val="clear" w:color="auto" w:fill="auto"/>
            <w:vAlign w:val="center"/>
          </w:tcPr>
          <w:p w14:paraId="7CDC2EE9">
            <w:pPr>
              <w:widowControl/>
              <w:jc w:val="left"/>
              <w:rPr>
                <w:color w:val="auto"/>
                <w:highlight w:val="none"/>
              </w:rPr>
            </w:pPr>
            <w:r>
              <w:rPr>
                <w:rFonts w:ascii="宋体" w:hAnsi="宋体" w:cs="宋体"/>
                <w:color w:val="auto"/>
                <w:kern w:val="0"/>
                <w:sz w:val="24"/>
                <w:highlight w:val="none"/>
                <w:lang w:bidi="ar"/>
              </w:rPr>
              <w:t>（10）联合体协议（若有）</w:t>
            </w:r>
          </w:p>
        </w:tc>
        <w:tc>
          <w:tcPr>
            <w:tcW w:w="7728" w:type="dxa"/>
            <w:shd w:val="clear" w:color="auto" w:fill="auto"/>
            <w:vAlign w:val="center"/>
          </w:tcPr>
          <w:p w14:paraId="6326D256">
            <w:pPr>
              <w:widowControl/>
              <w:jc w:val="left"/>
              <w:rPr>
                <w:color w:val="auto"/>
                <w:highlight w:val="none"/>
              </w:rPr>
            </w:pPr>
            <w:r>
              <w:rPr>
                <w:rFonts w:ascii="宋体" w:hAnsi="宋体" w:cs="宋体"/>
                <w:color w:val="auto"/>
                <w:kern w:val="0"/>
                <w:sz w:val="24"/>
                <w:highlight w:val="none"/>
                <w:lang w:bidi="ar"/>
              </w:rPr>
              <w:t>①招标文件接受联合体投标且投标人为联合体的，投标人应提供本协议；否则无须提供。 ②本协议由委托代理人签字或盖章的，应按照招标文件第七章载明的格式提供“单位授权书”。</w:t>
            </w:r>
          </w:p>
        </w:tc>
      </w:tr>
    </w:tbl>
    <w:p w14:paraId="59B7CE5E">
      <w:pPr>
        <w:pStyle w:val="19"/>
        <w:widowControl/>
        <w:rPr>
          <w:color w:val="auto"/>
          <w:highlight w:val="none"/>
        </w:rPr>
      </w:pPr>
      <w:r>
        <w:rPr>
          <w:rFonts w:hint="eastAsia" w:ascii="宋体" w:hAnsi="宋体" w:cs="宋体"/>
          <w:color w:val="auto"/>
          <w:highlight w:val="none"/>
        </w:rPr>
        <w:t>※备注说明</w:t>
      </w:r>
    </w:p>
    <w:p w14:paraId="4F61352B">
      <w:pPr>
        <w:pStyle w:val="19"/>
        <w:widowControl/>
        <w:rPr>
          <w:color w:val="auto"/>
          <w:highlight w:val="none"/>
        </w:rPr>
      </w:pPr>
      <w:r>
        <w:rPr>
          <w:rFonts w:hint="eastAsia" w:ascii="宋体" w:hAnsi="宋体" w:cs="宋体"/>
          <w:color w:val="auto"/>
          <w:highlight w:val="none"/>
        </w:rPr>
        <w:t>①投标人应根据自身实际情况提供上述资格要求的证明材料，格式可参考招标文件第七章提供。</w:t>
      </w:r>
    </w:p>
    <w:p w14:paraId="0A9CA1B3">
      <w:pPr>
        <w:pStyle w:val="19"/>
        <w:widowControl/>
        <w:rPr>
          <w:color w:val="auto"/>
          <w:highlight w:val="none"/>
        </w:rPr>
      </w:pPr>
      <w:r>
        <w:rPr>
          <w:rFonts w:hint="eastAsia" w:ascii="宋体" w:hAnsi="宋体" w:cs="宋体"/>
          <w:color w:val="auto"/>
          <w:highlight w:val="none"/>
        </w:rPr>
        <w:t>②投标人提供的相应证明材料复印件均应符合：内容完整、清晰、整洁，并由投标人加盖其单位公章。</w:t>
      </w:r>
    </w:p>
    <w:p w14:paraId="7C9D2F42">
      <w:pPr>
        <w:pStyle w:val="19"/>
        <w:widowControl/>
        <w:rPr>
          <w:color w:val="auto"/>
          <w:highlight w:val="none"/>
        </w:rPr>
      </w:pPr>
      <w:r>
        <w:rPr>
          <w:rFonts w:hint="eastAsia" w:ascii="宋体" w:hAnsi="宋体" w:cs="宋体"/>
          <w:color w:val="auto"/>
          <w:highlight w:val="none"/>
        </w:rPr>
        <w:t>   ②.其他资格证明文件：</w:t>
      </w:r>
    </w:p>
    <w:p w14:paraId="748DD785">
      <w:pPr>
        <w:jc w:val="left"/>
        <w:rPr>
          <w:rFonts w:hint="eastAsia" w:ascii="Calibri" w:hAnsi="Calibri" w:eastAsia="宋体" w:cs="Times New Roman"/>
          <w:color w:val="auto"/>
          <w:sz w:val="24"/>
          <w:szCs w:val="24"/>
          <w:highlight w:val="none"/>
          <w:lang w:val="en-US" w:eastAsia="zh-Hans"/>
        </w:rPr>
      </w:pPr>
      <w:r>
        <w:rPr>
          <w:rFonts w:hint="eastAsia" w:ascii="Calibri" w:hAnsi="Calibri" w:eastAsia="宋体" w:cs="Times New Roman"/>
          <w:color w:val="auto"/>
          <w:sz w:val="24"/>
          <w:szCs w:val="24"/>
          <w:highlight w:val="none"/>
          <w:lang w:val="en-US" w:eastAsia="zh-Hans"/>
        </w:rPr>
        <w:t>采购包</w:t>
      </w:r>
      <w:r>
        <w:rPr>
          <w:rFonts w:hint="eastAsia" w:ascii="Calibri" w:hAnsi="Calibri" w:cs="Times New Roman"/>
          <w:color w:val="auto"/>
          <w:sz w:val="24"/>
          <w:szCs w:val="24"/>
          <w:highlight w:val="none"/>
          <w:lang w:val="en-US" w:eastAsia="zh-CN"/>
        </w:rPr>
        <w:t>1</w:t>
      </w:r>
      <w:r>
        <w:rPr>
          <w:rFonts w:hint="eastAsia" w:ascii="Calibri" w:hAnsi="Calibri" w:eastAsia="宋体" w:cs="Times New Roman"/>
          <w:color w:val="auto"/>
          <w:sz w:val="24"/>
          <w:szCs w:val="24"/>
          <w:highlight w:val="none"/>
          <w:lang w:val="en-US" w:eastAsia="zh-Hans"/>
        </w:rPr>
        <w:t>：</w:t>
      </w:r>
    </w:p>
    <w:tbl>
      <w:tblPr>
        <w:tblStyle w:val="2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40"/>
        <w:gridCol w:w="6930"/>
      </w:tblGrid>
      <w:tr w14:paraId="51F472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8" w:hRule="atLeast"/>
        </w:trPr>
        <w:tc>
          <w:tcPr>
            <w:tcW w:w="2440" w:type="dxa"/>
          </w:tcPr>
          <w:p w14:paraId="5C322F17">
            <w:pPr>
              <w:jc w:val="left"/>
              <w:rPr>
                <w:rFonts w:hint="eastAsia" w:ascii="Calibri" w:hAnsi="Calibri" w:eastAsia="宋体" w:cs="Times New Roman"/>
                <w:color w:val="auto"/>
                <w:sz w:val="24"/>
                <w:szCs w:val="24"/>
                <w:highlight w:val="none"/>
                <w:lang w:val="en-US" w:eastAsia="zh-Hans"/>
              </w:rPr>
            </w:pPr>
            <w:r>
              <w:rPr>
                <w:rFonts w:hint="eastAsia" w:ascii="Calibri" w:hAnsi="Calibri" w:eastAsia="宋体" w:cs="Times New Roman"/>
                <w:color w:val="auto"/>
                <w:sz w:val="24"/>
                <w:szCs w:val="24"/>
                <w:highlight w:val="none"/>
                <w:lang w:val="en-US" w:eastAsia="zh-Hans"/>
              </w:rPr>
              <w:t xml:space="preserve"> 资格审查要求概况</w:t>
            </w:r>
          </w:p>
        </w:tc>
        <w:tc>
          <w:tcPr>
            <w:tcW w:w="6930" w:type="dxa"/>
          </w:tcPr>
          <w:p w14:paraId="4485E47A">
            <w:pPr>
              <w:jc w:val="left"/>
              <w:rPr>
                <w:rFonts w:hint="eastAsia" w:ascii="Calibri" w:hAnsi="Calibri" w:eastAsia="宋体" w:cs="Times New Roman"/>
                <w:color w:val="auto"/>
                <w:sz w:val="24"/>
                <w:szCs w:val="24"/>
                <w:highlight w:val="none"/>
                <w:lang w:val="en-US" w:eastAsia="zh-Hans"/>
              </w:rPr>
            </w:pPr>
            <w:r>
              <w:rPr>
                <w:rFonts w:hint="eastAsia" w:ascii="Calibri" w:hAnsi="Calibri" w:eastAsia="宋体" w:cs="Times New Roman"/>
                <w:color w:val="auto"/>
                <w:sz w:val="24"/>
                <w:szCs w:val="24"/>
                <w:highlight w:val="none"/>
                <w:lang w:val="en-US" w:eastAsia="zh-Hans"/>
              </w:rPr>
              <w:t xml:space="preserve"> 评审点具体描述</w:t>
            </w:r>
          </w:p>
        </w:tc>
      </w:tr>
      <w:tr w14:paraId="5AA586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0" w:type="dxa"/>
            <w:vAlign w:val="top"/>
          </w:tcPr>
          <w:p w14:paraId="06099109">
            <w:pPr>
              <w:jc w:val="both"/>
              <w:rPr>
                <w:rFonts w:hint="eastAsia" w:ascii="Calibri" w:hAnsi="Calibri" w:eastAsia="宋体" w:cs="Times New Roman"/>
                <w:color w:val="auto"/>
                <w:sz w:val="24"/>
                <w:szCs w:val="24"/>
                <w:highlight w:val="none"/>
                <w:lang w:val="en-US" w:eastAsia="zh-Hans"/>
              </w:rPr>
            </w:pPr>
            <w:r>
              <w:rPr>
                <w:rFonts w:hint="eastAsia" w:ascii="Calibri" w:hAnsi="Calibri" w:eastAsia="宋体" w:cs="Times New Roman"/>
                <w:color w:val="auto"/>
                <w:sz w:val="24"/>
                <w:szCs w:val="24"/>
                <w:highlight w:val="none"/>
                <w:lang w:val="en-US" w:eastAsia="zh-Hans"/>
              </w:rPr>
              <w:t>资格承诺函</w:t>
            </w:r>
          </w:p>
        </w:tc>
        <w:tc>
          <w:tcPr>
            <w:tcW w:w="6930" w:type="dxa"/>
            <w:vAlign w:val="top"/>
          </w:tcPr>
          <w:p w14:paraId="1C4ACAD8">
            <w:pPr>
              <w:jc w:val="both"/>
              <w:rPr>
                <w:rFonts w:hint="eastAsia" w:ascii="Calibri" w:hAnsi="Calibri" w:eastAsia="宋体" w:cs="Times New Roman"/>
                <w:color w:val="auto"/>
                <w:sz w:val="24"/>
                <w:szCs w:val="24"/>
                <w:highlight w:val="none"/>
                <w:lang w:val="en-US" w:eastAsia="zh-Hans"/>
              </w:rPr>
            </w:pPr>
            <w:r>
              <w:rPr>
                <w:rFonts w:hint="eastAsia" w:ascii="Calibri" w:hAnsi="Calibri" w:eastAsia="宋体" w:cs="Times New Roman"/>
                <w:color w:val="auto"/>
                <w:sz w:val="24"/>
                <w:szCs w:val="24"/>
                <w:highlight w:val="none"/>
                <w:lang w:val="en-US" w:eastAsia="zh-Hans"/>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62F04A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0" w:type="dxa"/>
            <w:vAlign w:val="top"/>
          </w:tcPr>
          <w:p w14:paraId="00A2A96E">
            <w:pPr>
              <w:jc w:val="both"/>
              <w:rPr>
                <w:rFonts w:hint="eastAsia" w:ascii="Calibri" w:hAnsi="Calibri" w:eastAsia="宋体" w:cs="Times New Roman"/>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投标人经营（生产）许可证明</w:t>
            </w:r>
          </w:p>
        </w:tc>
        <w:tc>
          <w:tcPr>
            <w:tcW w:w="6930" w:type="dxa"/>
            <w:vAlign w:val="top"/>
          </w:tcPr>
          <w:p w14:paraId="0140D489">
            <w:pPr>
              <w:jc w:val="both"/>
              <w:rPr>
                <w:rFonts w:hint="eastAsia" w:ascii="Calibri" w:hAnsi="Calibri" w:eastAsia="宋体" w:cs="Times New Roman"/>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(1)投标人须具备有效的《食品经营许可证》或《食品药品经营许可证》或《食品药品生产经营许可证》，须提供相关证件复印件。在投标截止时间前，如因国家政策调整，国家有关行政部门有颁发新的食品方面许可证书的，应从其规定，投标人须在投标文件中做出书面说明。</w:t>
            </w:r>
          </w:p>
        </w:tc>
      </w:tr>
      <w:tr w14:paraId="03E8B4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0" w:type="dxa"/>
            <w:vAlign w:val="top"/>
          </w:tcPr>
          <w:p w14:paraId="273499F2">
            <w:pPr>
              <w:jc w:val="both"/>
              <w:rPr>
                <w:rFonts w:hint="eastAsia" w:ascii="Calibri" w:hAnsi="Calibri" w:eastAsia="宋体" w:cs="Times New Roman"/>
                <w:color w:val="auto"/>
                <w:sz w:val="24"/>
                <w:szCs w:val="24"/>
                <w:highlight w:val="none"/>
                <w:lang w:val="en-US" w:eastAsia="zh-Hans"/>
              </w:rPr>
            </w:pPr>
            <w:r>
              <w:rPr>
                <w:rFonts w:hint="eastAsia" w:ascii="Calibri" w:hAnsi="Calibri" w:eastAsia="宋体" w:cs="Times New Roman"/>
                <w:color w:val="auto"/>
                <w:sz w:val="24"/>
                <w:szCs w:val="24"/>
                <w:highlight w:val="none"/>
                <w:lang w:val="en-US" w:eastAsia="zh-Hans"/>
              </w:rPr>
              <w:t>本采购包属于专门面向中小企业采购。</w:t>
            </w:r>
          </w:p>
        </w:tc>
        <w:tc>
          <w:tcPr>
            <w:tcW w:w="6930" w:type="dxa"/>
            <w:vAlign w:val="top"/>
          </w:tcPr>
          <w:p w14:paraId="62777F1B">
            <w:pPr>
              <w:jc w:val="both"/>
              <w:rPr>
                <w:rFonts w:hint="eastAsia" w:ascii="Calibri" w:hAnsi="Calibri" w:eastAsia="宋体" w:cs="Times New Roman"/>
                <w:color w:val="auto"/>
                <w:sz w:val="24"/>
                <w:szCs w:val="24"/>
                <w:highlight w:val="none"/>
                <w:lang w:val="en-US" w:eastAsia="zh-Hans"/>
              </w:rPr>
            </w:pPr>
            <w:r>
              <w:rPr>
                <w:rFonts w:hint="eastAsia" w:ascii="Calibri" w:hAnsi="Calibri" w:eastAsia="宋体" w:cs="Times New Roman"/>
                <w:color w:val="auto"/>
                <w:sz w:val="24"/>
                <w:szCs w:val="24"/>
                <w:highlight w:val="none"/>
                <w:lang w:val="en-US" w:eastAsia="zh-Hans"/>
              </w:rPr>
              <w:t>本采购包为专门面向中小企业采购，投标人须提供中小企业声明函。监狱企业、残疾人福利性单位视同小型、微型企业。</w:t>
            </w:r>
          </w:p>
        </w:tc>
      </w:tr>
    </w:tbl>
    <w:p w14:paraId="07591F16">
      <w:pPr>
        <w:widowControl/>
        <w:jc w:val="left"/>
        <w:rPr>
          <w:color w:val="auto"/>
          <w:highlight w:val="none"/>
        </w:rPr>
      </w:pPr>
      <w:r>
        <w:rPr>
          <w:rFonts w:hint="eastAsia" w:ascii="宋体" w:hAnsi="宋体" w:cs="宋体"/>
          <w:color w:val="auto"/>
          <w:kern w:val="0"/>
          <w:sz w:val="24"/>
          <w:highlight w:val="none"/>
          <w:lang w:bidi="ar"/>
        </w:rPr>
        <w:t>  （3）投标保证金。</w:t>
      </w:r>
    </w:p>
    <w:p w14:paraId="2CE8725F">
      <w:pPr>
        <w:pStyle w:val="19"/>
        <w:widowControl/>
        <w:spacing w:before="75" w:beforeAutospacing="0" w:after="75" w:afterAutospacing="0"/>
        <w:rPr>
          <w:rStyle w:val="26"/>
          <w:rFonts w:ascii="宋体" w:hAnsi="宋体" w:cs="宋体"/>
          <w:color w:val="auto"/>
          <w:highlight w:val="none"/>
        </w:rPr>
      </w:pPr>
      <w:r>
        <w:rPr>
          <w:rFonts w:hint="eastAsia" w:ascii="宋体" w:hAnsi="宋体" w:cs="宋体"/>
          <w:color w:val="auto"/>
          <w:highlight w:val="none"/>
        </w:rPr>
        <w:t>1.4有下列情形之一的，</w:t>
      </w:r>
      <w:r>
        <w:rPr>
          <w:rStyle w:val="26"/>
          <w:rFonts w:hint="eastAsia" w:ascii="宋体" w:hAnsi="宋体" w:cs="宋体"/>
          <w:color w:val="auto"/>
          <w:highlight w:val="none"/>
        </w:rPr>
        <w:t>资格审查不合格：</w:t>
      </w:r>
    </w:p>
    <w:p w14:paraId="1F04D377">
      <w:pPr>
        <w:pStyle w:val="19"/>
        <w:widowControl/>
        <w:spacing w:before="75" w:beforeAutospacing="0" w:after="75" w:afterAutospacing="0"/>
        <w:rPr>
          <w:color w:val="auto"/>
          <w:highlight w:val="none"/>
        </w:rPr>
      </w:pPr>
      <w:r>
        <w:rPr>
          <w:rFonts w:hint="eastAsia" w:ascii="宋体" w:hAnsi="宋体" w:cs="宋体"/>
          <w:color w:val="auto"/>
          <w:highlight w:val="none"/>
        </w:rPr>
        <w:t>  （1）一般情形：</w:t>
      </w:r>
    </w:p>
    <w:tbl>
      <w:tblPr>
        <w:tblStyle w:val="23"/>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27"/>
      </w:tblGrid>
      <w:tr w14:paraId="1EFFE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9227" w:type="dxa"/>
            <w:shd w:val="clear" w:color="auto" w:fill="auto"/>
            <w:vAlign w:val="center"/>
          </w:tcPr>
          <w:p w14:paraId="6C4C984E">
            <w:pPr>
              <w:widowControl/>
              <w:jc w:val="center"/>
              <w:rPr>
                <w:b/>
                <w:bCs/>
                <w:color w:val="auto"/>
                <w:highlight w:val="none"/>
              </w:rPr>
            </w:pPr>
            <w:r>
              <w:rPr>
                <w:rFonts w:ascii="宋体" w:hAnsi="宋体" w:cs="宋体"/>
                <w:b/>
                <w:bCs/>
                <w:color w:val="auto"/>
                <w:kern w:val="0"/>
                <w:sz w:val="24"/>
                <w:highlight w:val="none"/>
                <w:lang w:bidi="ar"/>
              </w:rPr>
              <w:t>明细</w:t>
            </w:r>
          </w:p>
        </w:tc>
      </w:tr>
      <w:tr w14:paraId="4B391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227" w:type="dxa"/>
            <w:shd w:val="clear" w:color="auto" w:fill="auto"/>
            <w:vAlign w:val="center"/>
          </w:tcPr>
          <w:p w14:paraId="67471D09">
            <w:pPr>
              <w:widowControl/>
              <w:jc w:val="left"/>
              <w:rPr>
                <w:color w:val="auto"/>
                <w:highlight w:val="none"/>
              </w:rPr>
            </w:pPr>
            <w:r>
              <w:rPr>
                <w:rFonts w:ascii="宋体" w:hAnsi="宋体" w:cs="宋体"/>
                <w:color w:val="auto"/>
                <w:kern w:val="0"/>
                <w:sz w:val="24"/>
                <w:highlight w:val="none"/>
                <w:lang w:bidi="ar"/>
              </w:rPr>
              <w:t>未按照招标文件规定提交投标函</w:t>
            </w:r>
          </w:p>
        </w:tc>
      </w:tr>
      <w:tr w14:paraId="549E1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227" w:type="dxa"/>
            <w:shd w:val="clear" w:color="auto" w:fill="auto"/>
            <w:vAlign w:val="center"/>
          </w:tcPr>
          <w:p w14:paraId="5045B9E3">
            <w:pPr>
              <w:widowControl/>
              <w:jc w:val="left"/>
              <w:rPr>
                <w:color w:val="auto"/>
                <w:highlight w:val="none"/>
              </w:rPr>
            </w:pPr>
            <w:r>
              <w:rPr>
                <w:rFonts w:ascii="宋体" w:hAnsi="宋体" w:cs="宋体"/>
                <w:color w:val="auto"/>
                <w:kern w:val="0"/>
                <w:sz w:val="24"/>
                <w:highlight w:val="none"/>
                <w:lang w:bidi="ar"/>
              </w:rPr>
              <w:t>未按照招标文件规定提交投标人的资格及资信文件</w:t>
            </w:r>
          </w:p>
        </w:tc>
      </w:tr>
      <w:tr w14:paraId="22D6C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227" w:type="dxa"/>
            <w:shd w:val="clear" w:color="auto" w:fill="auto"/>
            <w:vAlign w:val="center"/>
          </w:tcPr>
          <w:p w14:paraId="28D6EA3C">
            <w:pPr>
              <w:widowControl/>
              <w:jc w:val="left"/>
              <w:rPr>
                <w:color w:val="auto"/>
                <w:highlight w:val="none"/>
              </w:rPr>
            </w:pPr>
            <w:r>
              <w:rPr>
                <w:rFonts w:ascii="宋体" w:hAnsi="宋体" w:cs="宋体"/>
                <w:color w:val="auto"/>
                <w:kern w:val="0"/>
                <w:sz w:val="24"/>
                <w:highlight w:val="none"/>
                <w:lang w:bidi="ar"/>
              </w:rPr>
              <w:t>未按照招标文件规定提交投标保证金</w:t>
            </w:r>
          </w:p>
        </w:tc>
      </w:tr>
    </w:tbl>
    <w:p w14:paraId="1AE0FD4B">
      <w:pPr>
        <w:widowControl/>
        <w:jc w:val="left"/>
        <w:rPr>
          <w:rFonts w:ascii="宋体" w:hAnsi="宋体" w:cs="宋体"/>
          <w:color w:val="auto"/>
          <w:kern w:val="0"/>
          <w:sz w:val="24"/>
          <w:highlight w:val="none"/>
          <w:lang w:bidi="ar"/>
        </w:rPr>
      </w:pPr>
    </w:p>
    <w:p w14:paraId="4056ABF8">
      <w:pPr>
        <w:widowControl/>
        <w:jc w:val="left"/>
        <w:rPr>
          <w:color w:val="auto"/>
          <w:highlight w:val="none"/>
        </w:rPr>
      </w:pPr>
      <w:r>
        <w:rPr>
          <w:rFonts w:ascii="宋体" w:hAnsi="宋体" w:cs="宋体"/>
          <w:color w:val="auto"/>
          <w:kern w:val="0"/>
          <w:sz w:val="24"/>
          <w:highlight w:val="none"/>
          <w:lang w:bidi="ar"/>
        </w:rPr>
        <w:t>  （2）本项目规定的其他情形：</w:t>
      </w:r>
    </w:p>
    <w:p w14:paraId="3D102A99">
      <w:pPr>
        <w:ind w:firstLine="480"/>
        <w:jc w:val="left"/>
        <w:rPr>
          <w:rFonts w:hint="eastAsia" w:ascii="Calibri" w:hAnsi="Calibri" w:eastAsia="宋体" w:cs="Times New Roman"/>
          <w:color w:val="auto"/>
          <w:sz w:val="24"/>
          <w:szCs w:val="24"/>
          <w:highlight w:val="none"/>
          <w:lang w:val="en-US" w:eastAsia="zh-Hans"/>
        </w:rPr>
      </w:pPr>
      <w:r>
        <w:rPr>
          <w:rFonts w:hint="eastAsia" w:ascii="Calibri" w:hAnsi="Calibri" w:eastAsia="宋体" w:cs="Times New Roman"/>
          <w:color w:val="auto"/>
          <w:sz w:val="24"/>
          <w:szCs w:val="24"/>
          <w:highlight w:val="none"/>
          <w:lang w:val="en-US" w:eastAsia="zh-Hans"/>
        </w:rPr>
        <w:t>采购包1：</w:t>
      </w:r>
    </w:p>
    <w:p w14:paraId="7D576F03">
      <w:pPr>
        <w:jc w:val="left"/>
        <w:rPr>
          <w:rFonts w:hint="eastAsia" w:ascii="Calibri" w:hAnsi="Calibri" w:eastAsia="宋体" w:cs="Times New Roman"/>
          <w:color w:val="auto"/>
          <w:sz w:val="24"/>
          <w:szCs w:val="24"/>
          <w:highlight w:val="none"/>
          <w:lang w:val="en-US" w:eastAsia="zh-Hans"/>
        </w:rPr>
      </w:pPr>
      <w:r>
        <w:rPr>
          <w:rFonts w:hint="eastAsia" w:ascii="Calibri" w:hAnsi="Calibri" w:eastAsia="宋体" w:cs="Times New Roman"/>
          <w:color w:val="auto"/>
          <w:sz w:val="24"/>
          <w:szCs w:val="24"/>
          <w:highlight w:val="none"/>
          <w:lang w:val="en-US" w:eastAsia="zh-Hans"/>
        </w:rPr>
        <w:t>资格审查不合格项：无</w:t>
      </w:r>
    </w:p>
    <w:p w14:paraId="734898CA">
      <w:pPr>
        <w:pStyle w:val="19"/>
        <w:widowControl/>
        <w:spacing w:before="75" w:beforeAutospacing="0" w:after="75" w:afterAutospacing="0"/>
        <w:rPr>
          <w:color w:val="auto"/>
          <w:highlight w:val="none"/>
        </w:rPr>
      </w:pPr>
      <w:r>
        <w:rPr>
          <w:rFonts w:hint="eastAsia" w:ascii="宋体" w:hAnsi="宋体" w:cs="宋体"/>
          <w:color w:val="auto"/>
          <w:highlight w:val="none"/>
        </w:rPr>
        <w:t>1.5若本项目接受联合体投标且投标人为联合体，联合体中有同类资质的供应商按照联合体分工承担相同工作的，应先按照资质等级较低的供应商确定资质等级，再按照本章第</w:t>
      </w:r>
      <w:r>
        <w:rPr>
          <w:rFonts w:ascii="Calibri" w:hAnsi="Calibri" w:cs="Calibri"/>
          <w:color w:val="auto"/>
          <w:highlight w:val="none"/>
        </w:rPr>
        <w:t>1.2</w:t>
      </w:r>
      <w:r>
        <w:rPr>
          <w:rFonts w:hint="eastAsia" w:ascii="宋体" w:hAnsi="宋体" w:cs="宋体"/>
          <w:color w:val="auto"/>
          <w:highlight w:val="none"/>
        </w:rPr>
        <w:t>、</w:t>
      </w:r>
      <w:r>
        <w:rPr>
          <w:rFonts w:ascii="Calibri" w:hAnsi="Calibri" w:cs="Calibri"/>
          <w:color w:val="auto"/>
          <w:highlight w:val="none"/>
        </w:rPr>
        <w:t>1.3</w:t>
      </w:r>
      <w:r>
        <w:rPr>
          <w:rFonts w:hint="eastAsia" w:ascii="宋体" w:hAnsi="宋体" w:cs="宋体"/>
          <w:color w:val="auto"/>
          <w:highlight w:val="none"/>
        </w:rPr>
        <w:t>、</w:t>
      </w:r>
      <w:r>
        <w:rPr>
          <w:rFonts w:ascii="Calibri" w:hAnsi="Calibri" w:cs="Calibri"/>
          <w:color w:val="auto"/>
          <w:highlight w:val="none"/>
        </w:rPr>
        <w:t>1.4</w:t>
      </w:r>
      <w:r>
        <w:rPr>
          <w:rFonts w:hint="eastAsia" w:ascii="宋体" w:hAnsi="宋体" w:cs="宋体"/>
          <w:color w:val="auto"/>
          <w:highlight w:val="none"/>
        </w:rPr>
        <w:t>条规定进行资格审查。</w:t>
      </w:r>
    </w:p>
    <w:p w14:paraId="47B16C9B">
      <w:pPr>
        <w:pStyle w:val="19"/>
        <w:widowControl/>
        <w:spacing w:before="75" w:beforeAutospacing="0" w:after="75" w:afterAutospacing="0"/>
        <w:rPr>
          <w:color w:val="auto"/>
          <w:highlight w:val="none"/>
        </w:rPr>
      </w:pPr>
      <w:r>
        <w:rPr>
          <w:rFonts w:hint="eastAsia" w:ascii="宋体" w:hAnsi="宋体" w:cs="宋体"/>
          <w:color w:val="auto"/>
          <w:highlight w:val="none"/>
        </w:rPr>
        <w:t>2、资格审查情况不得私自外泄，有关信息由</w:t>
      </w:r>
      <w:r>
        <w:rPr>
          <w:rFonts w:hint="eastAsia" w:ascii="宋体" w:hAnsi="宋体" w:cs="宋体"/>
          <w:color w:val="auto"/>
          <w:highlight w:val="none"/>
          <w:u w:val="single"/>
        </w:rPr>
        <w:t>福建亿立项目管理有限公司</w:t>
      </w:r>
      <w:r>
        <w:rPr>
          <w:rFonts w:hint="eastAsia" w:ascii="宋体" w:hAnsi="宋体" w:cs="宋体"/>
          <w:color w:val="auto"/>
          <w:highlight w:val="none"/>
        </w:rPr>
        <w:t>统一对外发布。</w:t>
      </w:r>
    </w:p>
    <w:p w14:paraId="497AEAD0">
      <w:pPr>
        <w:pStyle w:val="19"/>
        <w:widowControl/>
        <w:spacing w:before="75" w:beforeAutospacing="0" w:after="75" w:afterAutospacing="0"/>
        <w:rPr>
          <w:color w:val="auto"/>
          <w:highlight w:val="none"/>
        </w:rPr>
      </w:pPr>
      <w:r>
        <w:rPr>
          <w:rFonts w:hint="eastAsia" w:ascii="宋体" w:hAnsi="宋体" w:cs="宋体"/>
          <w:color w:val="auto"/>
          <w:highlight w:val="none"/>
        </w:rPr>
        <w:t>3、资格审查合格的投标人不足三家的，不进行评标。同时，本次采购活动结束，</w:t>
      </w:r>
      <w:r>
        <w:rPr>
          <w:rFonts w:hint="eastAsia" w:ascii="宋体" w:hAnsi="宋体" w:cs="宋体"/>
          <w:color w:val="auto"/>
          <w:highlight w:val="none"/>
          <w:u w:val="single"/>
        </w:rPr>
        <w:t>福建亿立项目管理有限公司</w:t>
      </w:r>
      <w:r>
        <w:rPr>
          <w:rFonts w:hint="eastAsia" w:ascii="宋体" w:hAnsi="宋体" w:cs="宋体"/>
          <w:color w:val="auto"/>
          <w:highlight w:val="none"/>
        </w:rPr>
        <w:t>将依法组织后续采购活动（包括但不限于：重新招标、采用其他方式采购等）。</w:t>
      </w:r>
    </w:p>
    <w:p w14:paraId="07C45575">
      <w:pPr>
        <w:pStyle w:val="19"/>
        <w:widowControl/>
        <w:spacing w:before="75" w:beforeAutospacing="0" w:after="75" w:afterAutospacing="0"/>
        <w:rPr>
          <w:color w:val="auto"/>
          <w:highlight w:val="none"/>
        </w:rPr>
      </w:pPr>
      <w:r>
        <w:rPr>
          <w:color w:val="auto"/>
          <w:highlight w:val="none"/>
        </w:rPr>
        <w:t> </w:t>
      </w:r>
    </w:p>
    <w:p w14:paraId="72CB69A0">
      <w:pPr>
        <w:pStyle w:val="19"/>
        <w:widowControl/>
        <w:spacing w:before="75" w:beforeAutospacing="0" w:after="75" w:afterAutospacing="0"/>
        <w:jc w:val="center"/>
        <w:rPr>
          <w:color w:val="auto"/>
          <w:highlight w:val="none"/>
        </w:rPr>
      </w:pPr>
      <w:r>
        <w:rPr>
          <w:rStyle w:val="26"/>
          <w:rFonts w:hint="eastAsia" w:ascii="宋体" w:hAnsi="宋体" w:cs="宋体"/>
          <w:color w:val="auto"/>
          <w:highlight w:val="none"/>
        </w:rPr>
        <w:t>二、评标</w:t>
      </w:r>
    </w:p>
    <w:p w14:paraId="296AB0F3">
      <w:pPr>
        <w:pStyle w:val="19"/>
        <w:widowControl/>
        <w:spacing w:before="75" w:beforeAutospacing="0" w:after="75" w:afterAutospacing="0"/>
        <w:rPr>
          <w:color w:val="auto"/>
          <w:highlight w:val="none"/>
        </w:rPr>
      </w:pPr>
      <w:r>
        <w:rPr>
          <w:rFonts w:hint="eastAsia" w:ascii="宋体" w:hAnsi="宋体" w:cs="宋体"/>
          <w:color w:val="auto"/>
          <w:highlight w:val="none"/>
        </w:rPr>
        <w:t>4、资格审查结束后，由福建亿立项目管理有限公司负责评标委员会的组建及评标工作的组织。</w:t>
      </w:r>
    </w:p>
    <w:p w14:paraId="7A106D9B">
      <w:pPr>
        <w:pStyle w:val="19"/>
        <w:widowControl/>
        <w:spacing w:before="75" w:beforeAutospacing="0" w:after="75" w:afterAutospacing="0"/>
        <w:rPr>
          <w:color w:val="auto"/>
          <w:highlight w:val="none"/>
        </w:rPr>
      </w:pPr>
      <w:r>
        <w:rPr>
          <w:rFonts w:hint="eastAsia" w:ascii="宋体" w:hAnsi="宋体" w:cs="宋体"/>
          <w:color w:val="auto"/>
          <w:highlight w:val="none"/>
        </w:rPr>
        <w:t>5、评标委员会</w:t>
      </w:r>
    </w:p>
    <w:p w14:paraId="3A9DE837">
      <w:pPr>
        <w:pStyle w:val="33"/>
        <w:ind w:firstLine="480"/>
        <w:jc w:val="both"/>
        <w:rPr>
          <w:rFonts w:ascii="Calibri" w:hAnsi="Calibri" w:eastAsia="宋体" w:cs="Times New Roman"/>
          <w:color w:val="auto"/>
          <w:sz w:val="24"/>
          <w:szCs w:val="24"/>
          <w:highlight w:val="none"/>
        </w:rPr>
      </w:pPr>
      <w:r>
        <w:rPr>
          <w:rFonts w:hint="eastAsia" w:ascii="宋体" w:hAnsi="宋体" w:cs="宋体"/>
          <w:color w:val="auto"/>
          <w:sz w:val="24"/>
          <w:szCs w:val="24"/>
          <w:highlight w:val="none"/>
        </w:rPr>
        <w:t>5.1</w:t>
      </w:r>
      <w:r>
        <w:rPr>
          <w:rFonts w:ascii="Calibri" w:hAnsi="Calibri" w:eastAsia="宋体" w:cs="Times New Roman"/>
          <w:color w:val="auto"/>
          <w:sz w:val="24"/>
          <w:szCs w:val="24"/>
          <w:highlight w:val="none"/>
        </w:rPr>
        <w:t>由采购人代表和评审专家两部分共5人组成，其中由福建省政府采购评审专家库产生的评审专家4人，由采购人派出的采购人代表1人。</w:t>
      </w:r>
    </w:p>
    <w:p w14:paraId="6A07AE18">
      <w:pPr>
        <w:pStyle w:val="19"/>
        <w:widowControl/>
        <w:spacing w:before="75" w:beforeAutospacing="0" w:after="75" w:afterAutospacing="0"/>
        <w:rPr>
          <w:color w:val="auto"/>
          <w:highlight w:val="none"/>
        </w:rPr>
      </w:pPr>
      <w:r>
        <w:rPr>
          <w:rFonts w:hint="eastAsia" w:ascii="宋体" w:hAnsi="宋体" w:cs="宋体"/>
          <w:color w:val="auto"/>
          <w:highlight w:val="none"/>
        </w:rPr>
        <w:t>5.2评标委员会负责具体评标事务，并按照下列原则依法独立履行有关职责：</w:t>
      </w:r>
    </w:p>
    <w:p w14:paraId="70807F38">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（1）评标应保护国家利益、社会公共利益和各方当事人合法权益，提高采购效益，保证项目质量。</w:t>
      </w:r>
    </w:p>
    <w:p w14:paraId="5AF6992D">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（2）评标应遵循公平、公正、科学、严谨和择优原则。</w:t>
      </w:r>
    </w:p>
    <w:p w14:paraId="48FE3B3C">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（3）评标的依据是招标文件和投标文件。</w:t>
      </w:r>
    </w:p>
    <w:p w14:paraId="3309339A">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（4）应按照招标文件规定推荐中标候选人或确定中标人。</w:t>
      </w:r>
    </w:p>
    <w:p w14:paraId="34737B0B">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（5）评标应遵守下列评标纪律：</w:t>
      </w:r>
    </w:p>
    <w:p w14:paraId="6A5555BB">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①评标情况不得私自外泄，有关信息由</w:t>
      </w:r>
      <w:r>
        <w:rPr>
          <w:rFonts w:hint="eastAsia" w:ascii="宋体" w:hAnsi="宋体" w:cs="宋体"/>
          <w:color w:val="auto"/>
          <w:highlight w:val="none"/>
          <w:u w:val="single"/>
        </w:rPr>
        <w:t>福建亿立项目管理有限公司</w:t>
      </w:r>
      <w:r>
        <w:rPr>
          <w:rFonts w:hint="eastAsia" w:ascii="宋体" w:hAnsi="宋体" w:cs="宋体"/>
          <w:color w:val="auto"/>
          <w:highlight w:val="none"/>
        </w:rPr>
        <w:t>统一对外发布。</w:t>
      </w:r>
    </w:p>
    <w:p w14:paraId="706E106E">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②对</w:t>
      </w:r>
      <w:r>
        <w:rPr>
          <w:rFonts w:hint="eastAsia" w:ascii="宋体" w:hAnsi="宋体" w:cs="宋体"/>
          <w:color w:val="auto"/>
          <w:highlight w:val="none"/>
          <w:u w:val="single"/>
        </w:rPr>
        <w:t>福建亿立项目管理有限公司</w:t>
      </w:r>
      <w:r>
        <w:rPr>
          <w:rFonts w:hint="eastAsia" w:ascii="宋体" w:hAnsi="宋体" w:cs="宋体"/>
          <w:color w:val="auto"/>
          <w:highlight w:val="none"/>
        </w:rPr>
        <w:t>或投标人提供的要求保密的资料，不得摘记翻印和外传。</w:t>
      </w:r>
    </w:p>
    <w:p w14:paraId="44C9BAD6">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③不得收受投标人或有关人员的任何礼物，不得串联鼓动其他人袒护某投标人。若与投标人存在利害关系，则应主动声明并回避。</w:t>
      </w:r>
    </w:p>
    <w:p w14:paraId="535A98BD">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④全体评委应按照招标文件规定进行评标，一切认定事项应查有实据且不得弄虚作假。</w:t>
      </w:r>
    </w:p>
    <w:p w14:paraId="7870BA84">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⑤评标中应充分发扬民主，推荐中标候选人或确定中标人后要服从评标报告。</w:t>
      </w:r>
    </w:p>
    <w:p w14:paraId="4FD55EA0">
      <w:pPr>
        <w:pStyle w:val="19"/>
        <w:widowControl/>
        <w:spacing w:before="75" w:beforeAutospacing="0" w:after="75" w:afterAutospacing="0"/>
        <w:ind w:firstLine="480"/>
        <w:rPr>
          <w:color w:val="auto"/>
          <w:highlight w:val="none"/>
        </w:rPr>
      </w:pPr>
      <w:r>
        <w:rPr>
          <w:rStyle w:val="26"/>
          <w:rFonts w:hint="eastAsia" w:ascii="宋体" w:hAnsi="宋体" w:cs="宋体"/>
          <w:color w:val="auto"/>
          <w:highlight w:val="none"/>
        </w:rPr>
        <w:t>※对违反评标纪律的评委，将取消其评委资格，对评标工作造成严重损失者将予以通报批评乃至追究法律责任。</w:t>
      </w:r>
    </w:p>
    <w:p w14:paraId="6FAA93CB">
      <w:pPr>
        <w:pStyle w:val="19"/>
        <w:widowControl/>
        <w:spacing w:before="75" w:beforeAutospacing="0" w:after="75" w:afterAutospacing="0"/>
        <w:rPr>
          <w:color w:val="auto"/>
          <w:highlight w:val="none"/>
        </w:rPr>
      </w:pPr>
      <w:r>
        <w:rPr>
          <w:rFonts w:hint="eastAsia" w:ascii="宋体" w:hAnsi="宋体" w:cs="宋体"/>
          <w:color w:val="auto"/>
          <w:highlight w:val="none"/>
        </w:rPr>
        <w:t>6、评标程序</w:t>
      </w:r>
    </w:p>
    <w:p w14:paraId="64FD7BA0">
      <w:pPr>
        <w:pStyle w:val="19"/>
        <w:widowControl/>
        <w:spacing w:before="75" w:beforeAutospacing="0" w:after="75" w:afterAutospacing="0"/>
        <w:rPr>
          <w:color w:val="auto"/>
          <w:highlight w:val="none"/>
        </w:rPr>
      </w:pPr>
      <w:r>
        <w:rPr>
          <w:rFonts w:hint="eastAsia" w:ascii="宋体" w:hAnsi="宋体" w:cs="宋体"/>
          <w:color w:val="auto"/>
          <w:highlight w:val="none"/>
        </w:rPr>
        <w:t>6.1评标前的准备工作</w:t>
      </w:r>
    </w:p>
    <w:p w14:paraId="5352EBA5">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（1）全体评委应认真审阅招标文件，了解评委应履行或遵守的职责、义务和评标纪律。</w:t>
      </w:r>
    </w:p>
    <w:p w14:paraId="2BE6FF79">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（2）参加评标委员会的采购人代表可对本项目的背景和采购需求进行介绍，介绍材料应以书面形式提交（随采购文件一并存档），介绍内容不得含有歧视性、倾向性意见，不得超出招标文件所述范围。</w:t>
      </w:r>
    </w:p>
    <w:p w14:paraId="637EA5AB">
      <w:pPr>
        <w:pStyle w:val="19"/>
        <w:widowControl/>
        <w:spacing w:before="75" w:beforeAutospacing="0" w:after="75" w:afterAutospacing="0"/>
        <w:rPr>
          <w:color w:val="auto"/>
          <w:highlight w:val="none"/>
        </w:rPr>
      </w:pPr>
      <w:r>
        <w:rPr>
          <w:rFonts w:hint="eastAsia" w:ascii="宋体" w:hAnsi="宋体" w:cs="宋体"/>
          <w:color w:val="auto"/>
          <w:highlight w:val="none"/>
        </w:rPr>
        <w:t>6.2符合性审查</w:t>
      </w:r>
    </w:p>
    <w:p w14:paraId="2B24C5C2">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（1）评标委员会依据招标文件的实质性要求，对通过资格审查的投标文件进行符合性审查，以确定其是否满足招标文件的实质性要求。</w:t>
      </w:r>
    </w:p>
    <w:p w14:paraId="19FC89F1">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（2）满足招标文件的实质性要求指投标文件对招标文件实质性要求的响应不存在重大偏差或保留。</w:t>
      </w:r>
    </w:p>
    <w:p w14:paraId="23337766">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6DA7A8BB">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14:paraId="663AD7A3">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（5）评标委员会对所有投标人都执行相同的程序和标准。</w:t>
      </w:r>
    </w:p>
    <w:p w14:paraId="290DEAFB">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（6）有下列情形之一的，</w:t>
      </w:r>
      <w:r>
        <w:rPr>
          <w:rStyle w:val="26"/>
          <w:rFonts w:hint="eastAsia" w:ascii="宋体" w:hAnsi="宋体" w:cs="宋体"/>
          <w:color w:val="auto"/>
          <w:highlight w:val="none"/>
        </w:rPr>
        <w:t>符合性审查不合格：</w:t>
      </w:r>
    </w:p>
    <w:p w14:paraId="3E2D39E7">
      <w:pPr>
        <w:pStyle w:val="19"/>
        <w:widowControl/>
        <w:spacing w:before="75" w:beforeAutospacing="0" w:after="75" w:afterAutospacing="0"/>
        <w:ind w:firstLine="480"/>
        <w:rPr>
          <w:rFonts w:hint="eastAsia" w:ascii="宋体" w:hAnsi="宋体" w:cs="宋体"/>
          <w:color w:val="auto"/>
          <w:highlight w:val="none"/>
        </w:rPr>
      </w:pPr>
      <w:r>
        <w:rPr>
          <w:rFonts w:hint="eastAsia" w:ascii="宋体" w:hAnsi="宋体" w:cs="宋体"/>
          <w:color w:val="auto"/>
          <w:highlight w:val="none"/>
        </w:rPr>
        <w:t>①项目一般情形：</w:t>
      </w:r>
    </w:p>
    <w:p w14:paraId="7C0F2F9B">
      <w:pPr>
        <w:jc w:val="left"/>
        <w:rPr>
          <w:rFonts w:hint="eastAsia" w:ascii="宋体" w:hAnsi="宋体" w:cs="宋体"/>
          <w:color w:val="auto"/>
          <w:highlight w:val="none"/>
        </w:rPr>
      </w:pPr>
      <w:r>
        <w:rPr>
          <w:rFonts w:hint="eastAsia" w:ascii="Calibri" w:hAnsi="Calibri" w:eastAsia="宋体" w:cs="Times New Roman"/>
          <w:color w:val="auto"/>
          <w:sz w:val="24"/>
          <w:szCs w:val="24"/>
          <w:highlight w:val="none"/>
          <w:lang w:val="en-US" w:eastAsia="zh-Hans"/>
        </w:rPr>
        <w:t>采购包1：</w:t>
      </w:r>
    </w:p>
    <w:tbl>
      <w:tblPr>
        <w:tblStyle w:val="23"/>
        <w:tblW w:w="5000" w:type="pct"/>
        <w:tblCellSpacing w:w="0" w:type="dxa"/>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27"/>
      </w:tblGrid>
      <w:tr w14:paraId="3DA00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227" w:type="dxa"/>
            <w:shd w:val="clear" w:color="auto" w:fill="auto"/>
            <w:vAlign w:val="center"/>
          </w:tcPr>
          <w:p w14:paraId="59C96080">
            <w:pPr>
              <w:widowControl/>
              <w:jc w:val="center"/>
              <w:rPr>
                <w:b/>
                <w:bCs/>
                <w:color w:val="auto"/>
                <w:highlight w:val="none"/>
              </w:rPr>
            </w:pPr>
            <w:r>
              <w:rPr>
                <w:rFonts w:ascii="宋体" w:hAnsi="宋体" w:cs="宋体"/>
                <w:b/>
                <w:bCs/>
                <w:color w:val="auto"/>
                <w:kern w:val="0"/>
                <w:sz w:val="24"/>
                <w:highlight w:val="none"/>
                <w:lang w:bidi="ar"/>
              </w:rPr>
              <w:t>明细</w:t>
            </w:r>
          </w:p>
        </w:tc>
      </w:tr>
      <w:tr w14:paraId="60431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227" w:type="dxa"/>
            <w:shd w:val="clear" w:color="auto" w:fill="auto"/>
            <w:vAlign w:val="center"/>
          </w:tcPr>
          <w:p w14:paraId="4AD77ECB">
            <w:pPr>
              <w:widowControl/>
              <w:jc w:val="left"/>
              <w:rPr>
                <w:color w:val="auto"/>
                <w:highlight w:val="none"/>
              </w:rPr>
            </w:pPr>
            <w:r>
              <w:rPr>
                <w:rFonts w:ascii="宋体" w:hAnsi="宋体" w:cs="宋体"/>
                <w:color w:val="auto"/>
                <w:kern w:val="0"/>
                <w:sz w:val="24"/>
                <w:highlight w:val="none"/>
                <w:lang w:bidi="ar"/>
              </w:rPr>
              <w:t>违反招标文件中载明“投标无效”条款的规定；</w:t>
            </w:r>
          </w:p>
        </w:tc>
      </w:tr>
      <w:tr w14:paraId="5A835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227" w:type="dxa"/>
            <w:shd w:val="clear" w:color="auto" w:fill="auto"/>
            <w:vAlign w:val="center"/>
          </w:tcPr>
          <w:p w14:paraId="502F4A3A">
            <w:pPr>
              <w:widowControl/>
              <w:jc w:val="left"/>
              <w:rPr>
                <w:color w:val="auto"/>
                <w:highlight w:val="none"/>
              </w:rPr>
            </w:pPr>
            <w:r>
              <w:rPr>
                <w:rFonts w:ascii="宋体" w:hAnsi="宋体" w:cs="宋体"/>
                <w:color w:val="auto"/>
                <w:kern w:val="0"/>
                <w:sz w:val="24"/>
                <w:highlight w:val="none"/>
                <w:lang w:bidi="ar"/>
              </w:rPr>
              <w:t>属于招标文件第三章第10.12条规定的投标无效情形；</w:t>
            </w:r>
          </w:p>
        </w:tc>
      </w:tr>
      <w:tr w14:paraId="2694A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227" w:type="dxa"/>
            <w:shd w:val="clear" w:color="auto" w:fill="auto"/>
            <w:vAlign w:val="center"/>
          </w:tcPr>
          <w:p w14:paraId="384669A0">
            <w:pPr>
              <w:widowControl/>
              <w:jc w:val="left"/>
              <w:rPr>
                <w:color w:val="auto"/>
                <w:highlight w:val="none"/>
              </w:rPr>
            </w:pPr>
            <w:r>
              <w:rPr>
                <w:rFonts w:ascii="宋体" w:hAnsi="宋体" w:cs="宋体"/>
                <w:color w:val="auto"/>
                <w:kern w:val="0"/>
                <w:sz w:val="24"/>
                <w:highlight w:val="none"/>
                <w:lang w:bidi="ar"/>
              </w:rPr>
              <w:t>投标文件对招标文件实质性要求的响应存在重大偏离或保留。</w:t>
            </w:r>
          </w:p>
        </w:tc>
      </w:tr>
    </w:tbl>
    <w:p w14:paraId="10527756">
      <w:pPr>
        <w:pStyle w:val="19"/>
        <w:widowControl/>
        <w:spacing w:before="75" w:beforeAutospacing="0" w:after="75" w:afterAutospacing="0"/>
        <w:ind w:firstLine="480"/>
        <w:rPr>
          <w:rFonts w:ascii="宋体" w:hAnsi="宋体" w:cs="宋体"/>
          <w:color w:val="auto"/>
          <w:highlight w:val="none"/>
        </w:rPr>
      </w:pPr>
      <w:r>
        <w:rPr>
          <w:rFonts w:hint="eastAsia" w:ascii="宋体" w:hAnsi="宋体" w:cs="宋体"/>
          <w:color w:val="auto"/>
          <w:highlight w:val="none"/>
        </w:rPr>
        <w:t>②本项目规定的其他情形：</w:t>
      </w:r>
    </w:p>
    <w:p w14:paraId="5330C382">
      <w:pPr>
        <w:jc w:val="left"/>
        <w:rPr>
          <w:rFonts w:hint="eastAsia" w:ascii="Calibri" w:hAnsi="Calibri" w:eastAsia="宋体" w:cs="Times New Roman"/>
          <w:color w:val="auto"/>
          <w:sz w:val="24"/>
          <w:szCs w:val="24"/>
          <w:highlight w:val="none"/>
          <w:lang w:val="en-US" w:eastAsia="zh-Hans"/>
        </w:rPr>
      </w:pPr>
      <w:r>
        <w:rPr>
          <w:rFonts w:hint="eastAsia" w:ascii="Calibri" w:hAnsi="Calibri" w:eastAsia="宋体" w:cs="Times New Roman"/>
          <w:color w:val="auto"/>
          <w:sz w:val="24"/>
          <w:szCs w:val="24"/>
          <w:highlight w:val="none"/>
          <w:lang w:val="en-US" w:eastAsia="zh-Hans"/>
        </w:rPr>
        <w:t>采购包1：</w:t>
      </w:r>
    </w:p>
    <w:p w14:paraId="3FE78D85">
      <w:pPr>
        <w:widowControl/>
        <w:jc w:val="left"/>
        <w:rPr>
          <w:color w:val="auto"/>
          <w:highlight w:val="none"/>
        </w:rPr>
      </w:pPr>
      <w:r>
        <w:rPr>
          <w:rFonts w:ascii="宋体" w:hAnsi="宋体" w:cs="宋体"/>
          <w:color w:val="auto"/>
          <w:kern w:val="0"/>
          <w:sz w:val="24"/>
          <w:highlight w:val="none"/>
          <w:lang w:bidi="ar"/>
        </w:rPr>
        <w:t xml:space="preserve">技术符合性 </w:t>
      </w:r>
    </w:p>
    <w:tbl>
      <w:tblPr>
        <w:tblStyle w:val="23"/>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27"/>
      </w:tblGrid>
      <w:tr w14:paraId="694CE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9227" w:type="dxa"/>
            <w:shd w:val="clear" w:color="auto" w:fill="auto"/>
            <w:vAlign w:val="center"/>
          </w:tcPr>
          <w:p w14:paraId="7B036BCE">
            <w:pPr>
              <w:widowControl/>
              <w:jc w:val="center"/>
              <w:rPr>
                <w:b/>
                <w:bCs/>
                <w:color w:val="auto"/>
                <w:highlight w:val="none"/>
              </w:rPr>
            </w:pPr>
            <w:r>
              <w:rPr>
                <w:rFonts w:ascii="宋体" w:hAnsi="宋体" w:cs="宋体"/>
                <w:b/>
                <w:bCs/>
                <w:color w:val="auto"/>
                <w:kern w:val="0"/>
                <w:sz w:val="24"/>
                <w:highlight w:val="none"/>
                <w:lang w:bidi="ar"/>
              </w:rPr>
              <w:t>明细</w:t>
            </w:r>
          </w:p>
        </w:tc>
      </w:tr>
      <w:tr w14:paraId="617D7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227" w:type="dxa"/>
            <w:shd w:val="clear" w:color="auto" w:fill="auto"/>
            <w:vAlign w:val="center"/>
          </w:tcPr>
          <w:p w14:paraId="4730BFBE">
            <w:pPr>
              <w:widowControl/>
              <w:jc w:val="left"/>
              <w:rPr>
                <w:color w:val="auto"/>
                <w:highlight w:val="none"/>
              </w:rPr>
            </w:pPr>
            <w:r>
              <w:rPr>
                <w:rFonts w:ascii="宋体" w:hAnsi="宋体" w:cs="宋体"/>
                <w:color w:val="auto"/>
                <w:kern w:val="0"/>
                <w:sz w:val="24"/>
                <w:highlight w:val="none"/>
                <w:lang w:bidi="ar"/>
              </w:rPr>
              <w:t>（1）投标人投标文件技术部分中出现报价部分的全部或部分的投标报价信息（或组成资料）的，按无效投标处理。</w:t>
            </w:r>
          </w:p>
        </w:tc>
      </w:tr>
      <w:tr w14:paraId="06792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227" w:type="dxa"/>
            <w:shd w:val="clear" w:color="auto" w:fill="auto"/>
            <w:vAlign w:val="center"/>
          </w:tcPr>
          <w:p w14:paraId="708C505C">
            <w:pPr>
              <w:widowControl/>
              <w:jc w:val="left"/>
              <w:rPr>
                <w:rFonts w:ascii="宋体" w:hAnsi="宋体" w:cs="宋体"/>
                <w:color w:val="auto"/>
                <w:kern w:val="0"/>
                <w:sz w:val="24"/>
                <w:highlight w:val="none"/>
                <w:lang w:bidi="ar"/>
              </w:rPr>
            </w:pPr>
            <w:r>
              <w:rPr>
                <w:rFonts w:ascii="宋体" w:hAnsi="宋体" w:cs="宋体"/>
                <w:color w:val="auto"/>
                <w:kern w:val="0"/>
                <w:sz w:val="24"/>
                <w:highlight w:val="none"/>
                <w:lang w:bidi="ar"/>
              </w:rPr>
              <w:t>（2）投标人的</w:t>
            </w:r>
            <w:r>
              <w:rPr>
                <w:rFonts w:hint="eastAsia" w:ascii="宋体" w:hAnsi="宋体" w:cs="宋体"/>
                <w:color w:val="auto"/>
                <w:kern w:val="0"/>
                <w:sz w:val="24"/>
                <w:highlight w:val="none"/>
                <w:lang w:bidi="ar"/>
              </w:rPr>
              <w:t>技术和服务要求</w:t>
            </w:r>
            <w:r>
              <w:rPr>
                <w:rFonts w:hint="eastAsia" w:ascii="宋体" w:hAnsi="宋体" w:cs="宋体"/>
                <w:color w:val="auto"/>
                <w:kern w:val="0"/>
                <w:sz w:val="24"/>
                <w:highlight w:val="none"/>
                <w:lang w:eastAsia="zh-CN" w:bidi="ar"/>
              </w:rPr>
              <w:t>实质性条款</w:t>
            </w:r>
            <w:r>
              <w:rPr>
                <w:rFonts w:ascii="宋体" w:hAnsi="宋体" w:cs="宋体"/>
                <w:color w:val="auto"/>
                <w:kern w:val="0"/>
                <w:sz w:val="24"/>
                <w:highlight w:val="none"/>
                <w:lang w:bidi="ar"/>
              </w:rPr>
              <w:t>出现负偏离的，按无效投标处理。</w:t>
            </w:r>
          </w:p>
        </w:tc>
      </w:tr>
      <w:tr w14:paraId="1263E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227" w:type="dxa"/>
            <w:shd w:val="clear" w:color="auto" w:fill="auto"/>
            <w:vAlign w:val="center"/>
          </w:tcPr>
          <w:p w14:paraId="7F68E382">
            <w:pPr>
              <w:widowControl/>
              <w:jc w:val="left"/>
              <w:rPr>
                <w:color w:val="auto"/>
                <w:highlight w:val="none"/>
              </w:rPr>
            </w:pPr>
            <w:r>
              <w:rPr>
                <w:rFonts w:ascii="宋体" w:hAnsi="宋体" w:cs="宋体"/>
                <w:color w:val="auto"/>
                <w:kern w:val="0"/>
                <w:sz w:val="24"/>
                <w:highlight w:val="none"/>
                <w:lang w:bidi="ar"/>
              </w:rPr>
              <w:t>（</w:t>
            </w:r>
            <w:r>
              <w:rPr>
                <w:rFonts w:hint="eastAsia" w:ascii="宋体" w:hAnsi="宋体" w:cs="宋体"/>
                <w:color w:val="auto"/>
                <w:kern w:val="0"/>
                <w:sz w:val="24"/>
                <w:highlight w:val="none"/>
                <w:lang w:val="en-US" w:eastAsia="zh-CN" w:bidi="ar"/>
              </w:rPr>
              <w:t>3</w:t>
            </w:r>
            <w:r>
              <w:rPr>
                <w:rFonts w:ascii="宋体" w:hAnsi="宋体" w:cs="宋体"/>
                <w:color w:val="auto"/>
                <w:kern w:val="0"/>
                <w:sz w:val="24"/>
                <w:highlight w:val="none"/>
                <w:lang w:bidi="ar"/>
              </w:rPr>
              <w:t>）投标人投标文件技术部分中提供虚假或失实证明材料的，按无效投标处理。</w:t>
            </w:r>
          </w:p>
        </w:tc>
      </w:tr>
    </w:tbl>
    <w:p w14:paraId="69C3BB69">
      <w:pPr>
        <w:widowControl/>
        <w:jc w:val="left"/>
        <w:rPr>
          <w:color w:val="auto"/>
          <w:highlight w:val="none"/>
        </w:rPr>
      </w:pPr>
      <w:r>
        <w:rPr>
          <w:rFonts w:ascii="宋体" w:hAnsi="宋体" w:cs="宋体"/>
          <w:color w:val="auto"/>
          <w:kern w:val="0"/>
          <w:sz w:val="24"/>
          <w:highlight w:val="none"/>
          <w:lang w:bidi="ar"/>
        </w:rPr>
        <w:t xml:space="preserve">商务符合性 </w:t>
      </w:r>
    </w:p>
    <w:tbl>
      <w:tblPr>
        <w:tblStyle w:val="23"/>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27"/>
      </w:tblGrid>
      <w:tr w14:paraId="14B95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9227" w:type="dxa"/>
            <w:shd w:val="clear" w:color="auto" w:fill="auto"/>
            <w:vAlign w:val="center"/>
          </w:tcPr>
          <w:p w14:paraId="6F2B4558">
            <w:pPr>
              <w:widowControl/>
              <w:jc w:val="center"/>
              <w:rPr>
                <w:b/>
                <w:bCs/>
                <w:color w:val="auto"/>
                <w:highlight w:val="none"/>
              </w:rPr>
            </w:pPr>
            <w:r>
              <w:rPr>
                <w:rFonts w:ascii="宋体" w:hAnsi="宋体" w:cs="宋体"/>
                <w:b/>
                <w:bCs/>
                <w:color w:val="auto"/>
                <w:kern w:val="0"/>
                <w:sz w:val="24"/>
                <w:highlight w:val="none"/>
                <w:lang w:bidi="ar"/>
              </w:rPr>
              <w:t>明细</w:t>
            </w:r>
          </w:p>
        </w:tc>
      </w:tr>
      <w:tr w14:paraId="291AC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227" w:type="dxa"/>
            <w:shd w:val="clear" w:color="auto" w:fill="auto"/>
            <w:vAlign w:val="center"/>
          </w:tcPr>
          <w:p w14:paraId="6449C6AB">
            <w:pPr>
              <w:widowControl/>
              <w:jc w:val="left"/>
              <w:rPr>
                <w:color w:val="auto"/>
                <w:highlight w:val="none"/>
              </w:rPr>
            </w:pPr>
            <w:r>
              <w:rPr>
                <w:rFonts w:ascii="宋体" w:hAnsi="宋体" w:cs="宋体"/>
                <w:color w:val="auto"/>
                <w:kern w:val="0"/>
                <w:sz w:val="24"/>
                <w:highlight w:val="none"/>
                <w:lang w:bidi="ar"/>
              </w:rPr>
              <w:t>（1）投标人投标文件商务部分中出现报价部分的全部或部分的投标报价信息（或组成资料）的，按无效投标处理。</w:t>
            </w:r>
          </w:p>
        </w:tc>
      </w:tr>
      <w:tr w14:paraId="59A2F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227" w:type="dxa"/>
            <w:shd w:val="clear" w:color="auto" w:fill="auto"/>
            <w:vAlign w:val="center"/>
          </w:tcPr>
          <w:p w14:paraId="4A732C32">
            <w:pPr>
              <w:widowControl/>
              <w:jc w:val="left"/>
              <w:rPr>
                <w:color w:val="auto"/>
                <w:highlight w:val="none"/>
              </w:rPr>
            </w:pPr>
            <w:r>
              <w:rPr>
                <w:rFonts w:ascii="宋体" w:hAnsi="宋体" w:cs="宋体"/>
                <w:color w:val="auto"/>
                <w:kern w:val="0"/>
                <w:sz w:val="24"/>
                <w:highlight w:val="none"/>
                <w:lang w:bidi="ar"/>
              </w:rPr>
              <w:t>（2）投标人的商务条件响应出现负偏离的，按无效投标处理。</w:t>
            </w:r>
          </w:p>
        </w:tc>
      </w:tr>
      <w:tr w14:paraId="7CBA6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227" w:type="dxa"/>
            <w:shd w:val="clear" w:color="auto" w:fill="auto"/>
            <w:vAlign w:val="center"/>
          </w:tcPr>
          <w:p w14:paraId="42274527">
            <w:pPr>
              <w:widowControl/>
              <w:jc w:val="left"/>
              <w:rPr>
                <w:color w:val="auto"/>
                <w:highlight w:val="none"/>
              </w:rPr>
            </w:pPr>
            <w:r>
              <w:rPr>
                <w:rFonts w:ascii="宋体" w:hAnsi="宋体" w:cs="宋体"/>
                <w:color w:val="auto"/>
                <w:kern w:val="0"/>
                <w:sz w:val="24"/>
                <w:highlight w:val="none"/>
                <w:lang w:bidi="ar"/>
              </w:rPr>
              <w:t>（3）投标人投标文件商务部分中提供虚假或失实证明材料的，按无效投标处理。</w:t>
            </w:r>
          </w:p>
        </w:tc>
      </w:tr>
    </w:tbl>
    <w:p w14:paraId="4C79A84E">
      <w:pPr>
        <w:widowControl/>
        <w:jc w:val="left"/>
        <w:rPr>
          <w:color w:val="auto"/>
          <w:highlight w:val="none"/>
        </w:rPr>
      </w:pPr>
      <w:r>
        <w:rPr>
          <w:rFonts w:ascii="宋体" w:hAnsi="宋体" w:cs="宋体"/>
          <w:color w:val="auto"/>
          <w:kern w:val="0"/>
          <w:sz w:val="24"/>
          <w:highlight w:val="none"/>
          <w:lang w:bidi="ar"/>
        </w:rPr>
        <w:t>附加符合性</w:t>
      </w:r>
      <w:r>
        <w:rPr>
          <w:rFonts w:hint="eastAsia" w:ascii="宋体" w:hAnsi="宋体" w:cs="宋体"/>
          <w:color w:val="auto"/>
          <w:kern w:val="0"/>
          <w:sz w:val="24"/>
          <w:highlight w:val="none"/>
          <w:lang w:eastAsia="zh-CN" w:bidi="ar"/>
        </w:rPr>
        <w:t>：</w:t>
      </w:r>
      <w:r>
        <w:rPr>
          <w:rStyle w:val="26"/>
          <w:rFonts w:ascii="宋体" w:hAnsi="宋体" w:cs="宋体"/>
          <w:color w:val="auto"/>
          <w:kern w:val="0"/>
          <w:sz w:val="24"/>
          <w:highlight w:val="none"/>
          <w:lang w:bidi="ar"/>
        </w:rPr>
        <w:t>无</w:t>
      </w:r>
    </w:p>
    <w:p w14:paraId="5679BD58">
      <w:pPr>
        <w:widowControl/>
        <w:jc w:val="left"/>
        <w:rPr>
          <w:rFonts w:ascii="宋体" w:hAnsi="宋体" w:cs="宋体"/>
          <w:color w:val="auto"/>
          <w:kern w:val="0"/>
          <w:sz w:val="24"/>
          <w:highlight w:val="none"/>
          <w:lang w:bidi="ar"/>
        </w:rPr>
      </w:pPr>
      <w:r>
        <w:rPr>
          <w:rFonts w:ascii="宋体" w:hAnsi="宋体" w:cs="宋体"/>
          <w:color w:val="auto"/>
          <w:kern w:val="0"/>
          <w:sz w:val="24"/>
          <w:highlight w:val="none"/>
          <w:lang w:bidi="ar"/>
        </w:rPr>
        <w:t xml:space="preserve">价格符合性 </w:t>
      </w:r>
    </w:p>
    <w:tbl>
      <w:tblPr>
        <w:tblStyle w:val="23"/>
        <w:tblW w:w="9317"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317"/>
      </w:tblGrid>
      <w:tr w14:paraId="007CA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blCellSpacing w:w="0" w:type="dxa"/>
        </w:trPr>
        <w:tc>
          <w:tcPr>
            <w:tcW w:w="9317" w:type="dxa"/>
            <w:vAlign w:val="center"/>
          </w:tcPr>
          <w:p w14:paraId="574BAB9A">
            <w:pPr>
              <w:widowControl/>
              <w:jc w:val="center"/>
              <w:rPr>
                <w:b/>
                <w:color w:val="auto"/>
                <w:highlight w:val="none"/>
              </w:rPr>
            </w:pPr>
            <w:r>
              <w:rPr>
                <w:rFonts w:ascii="宋体" w:hAnsi="宋体" w:cs="宋体"/>
                <w:b/>
                <w:color w:val="auto"/>
                <w:kern w:val="0"/>
                <w:sz w:val="24"/>
                <w:highlight w:val="none"/>
              </w:rPr>
              <w:t>明细</w:t>
            </w:r>
          </w:p>
        </w:tc>
      </w:tr>
      <w:tr w14:paraId="5D27C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 w:hRule="atLeast"/>
          <w:tblCellSpacing w:w="0" w:type="dxa"/>
        </w:trPr>
        <w:tc>
          <w:tcPr>
            <w:tcW w:w="9317" w:type="dxa"/>
            <w:vAlign w:val="center"/>
          </w:tcPr>
          <w:p w14:paraId="4B8B182D">
            <w:pPr>
              <w:widowControl/>
              <w:jc w:val="left"/>
              <w:rPr>
                <w:rFonts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供应商提交的是可选择的报价</w:t>
            </w:r>
            <w:r>
              <w:rPr>
                <w:rFonts w:ascii="宋体" w:hAnsi="宋体" w:cs="宋体"/>
                <w:color w:val="auto"/>
                <w:kern w:val="0"/>
                <w:sz w:val="24"/>
                <w:highlight w:val="none"/>
                <w:lang w:bidi="ar"/>
              </w:rPr>
              <w:t>，按无效投标处理。</w:t>
            </w:r>
          </w:p>
        </w:tc>
      </w:tr>
      <w:tr w14:paraId="2F4B5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317" w:type="dxa"/>
            <w:vAlign w:val="center"/>
          </w:tcPr>
          <w:p w14:paraId="134E893A">
            <w:pPr>
              <w:widowControl/>
              <w:jc w:val="left"/>
              <w:rPr>
                <w:rFonts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供应商提交的报价超过</w:t>
            </w:r>
            <w:r>
              <w:rPr>
                <w:rFonts w:hint="eastAsia" w:ascii="宋体" w:hAnsi="宋体"/>
                <w:color w:val="auto"/>
                <w:sz w:val="24"/>
                <w:highlight w:val="none"/>
              </w:rPr>
              <w:t>采购最高限价</w:t>
            </w:r>
            <w:r>
              <w:rPr>
                <w:rFonts w:ascii="宋体" w:hAnsi="宋体" w:cs="宋体"/>
                <w:color w:val="auto"/>
                <w:kern w:val="0"/>
                <w:sz w:val="24"/>
                <w:highlight w:val="none"/>
                <w:lang w:bidi="ar"/>
              </w:rPr>
              <w:t>，按无效投标处理。</w:t>
            </w:r>
          </w:p>
        </w:tc>
      </w:tr>
    </w:tbl>
    <w:p w14:paraId="4E42AF1C">
      <w:pPr>
        <w:jc w:val="left"/>
        <w:rPr>
          <w:rFonts w:hint="eastAsia" w:ascii="Calibri" w:hAnsi="Calibri" w:eastAsia="宋体" w:cs="Times New Roman"/>
          <w:color w:val="auto"/>
          <w:sz w:val="24"/>
          <w:szCs w:val="24"/>
          <w:highlight w:val="none"/>
          <w:lang w:val="en-US" w:eastAsia="zh-Hans"/>
        </w:rPr>
      </w:pPr>
    </w:p>
    <w:p w14:paraId="68B9609F">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6.3澄清有关问题</w:t>
      </w:r>
    </w:p>
    <w:p w14:paraId="3593967D">
      <w:pPr>
        <w:pStyle w:val="19"/>
        <w:widowControl/>
        <w:spacing w:before="75" w:beforeAutospacing="0" w:after="75" w:afterAutospacing="0"/>
        <w:ind w:firstLine="420"/>
        <w:rPr>
          <w:color w:val="auto"/>
          <w:highlight w:val="none"/>
        </w:rPr>
      </w:pPr>
      <w:r>
        <w:rPr>
          <w:rFonts w:hint="eastAsia" w:ascii="宋体" w:hAnsi="宋体" w:cs="宋体"/>
          <w:color w:val="auto"/>
          <w:highlight w:val="none"/>
        </w:rPr>
        <w:t>（1）对通过符合性审查的电投标文件中含义不明确、同类问题表述不一致或有明显文字和计算错误的内容，评标委员会将以书面形式要求投标人作出必要的澄清、说明或补正。</w:t>
      </w:r>
    </w:p>
    <w:p w14:paraId="56768503">
      <w:pPr>
        <w:pStyle w:val="19"/>
        <w:widowControl/>
        <w:spacing w:before="75" w:beforeAutospacing="0" w:after="75" w:afterAutospacing="0"/>
        <w:ind w:firstLine="420"/>
        <w:rPr>
          <w:color w:val="auto"/>
          <w:highlight w:val="none"/>
        </w:rPr>
      </w:pPr>
      <w:r>
        <w:rPr>
          <w:rFonts w:hint="eastAsia" w:ascii="宋体" w:hAnsi="宋体" w:cs="宋体"/>
          <w:color w:val="auto"/>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14:paraId="5C9342FD">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（3）投标文件报价出现前后不一致的，除招标文件另有规定外，按照下列规定修正：</w:t>
      </w:r>
    </w:p>
    <w:p w14:paraId="6A9B08A3">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①开标一览表内容与投标文件中相应内容不一致的，以开标一览表为准；</w:t>
      </w:r>
    </w:p>
    <w:p w14:paraId="7066E7F1">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②大写金额和小写金额不一致的，以大写金额为准；</w:t>
      </w:r>
    </w:p>
    <w:p w14:paraId="67F3D48E">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③单价金额小数点或百分比有明显错位的，以开标一览表的总价为准，并修改单价；</w:t>
      </w:r>
    </w:p>
    <w:p w14:paraId="09635AD9">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④总价金额与按照单价汇总金额不一致的，以单价金额计算结果为准。</w:t>
      </w:r>
    </w:p>
    <w:p w14:paraId="58A08F31">
      <w:pPr>
        <w:pStyle w:val="19"/>
        <w:widowControl/>
        <w:spacing w:before="75" w:beforeAutospacing="0" w:after="75" w:afterAutospacing="0"/>
        <w:ind w:firstLine="480"/>
        <w:rPr>
          <w:color w:val="auto"/>
          <w:highlight w:val="none"/>
        </w:rPr>
      </w:pPr>
      <w:r>
        <w:rPr>
          <w:rStyle w:val="26"/>
          <w:rFonts w:hint="eastAsia" w:ascii="宋体" w:hAnsi="宋体" w:cs="宋体"/>
          <w:color w:val="auto"/>
          <w:highlight w:val="none"/>
        </w:rPr>
        <w:t>※同时出现两种以上不一致的，按照前款规定的顺序修正。修正后的报价应按照本章第</w:t>
      </w:r>
      <w:r>
        <w:rPr>
          <w:rStyle w:val="26"/>
          <w:rFonts w:ascii="Calibri" w:hAnsi="Calibri" w:cs="Calibri"/>
          <w:color w:val="auto"/>
          <w:highlight w:val="none"/>
        </w:rPr>
        <w:t>6.3</w:t>
      </w:r>
      <w:r>
        <w:rPr>
          <w:rStyle w:val="26"/>
          <w:rFonts w:hint="eastAsia" w:ascii="宋体" w:hAnsi="宋体" w:cs="宋体"/>
          <w:color w:val="auto"/>
          <w:highlight w:val="none"/>
        </w:rPr>
        <w:t>条第（</w:t>
      </w:r>
      <w:r>
        <w:rPr>
          <w:rStyle w:val="26"/>
          <w:rFonts w:ascii="Calibri" w:hAnsi="Calibri" w:cs="Calibri"/>
          <w:color w:val="auto"/>
          <w:highlight w:val="none"/>
        </w:rPr>
        <w:t>1</w:t>
      </w:r>
      <w:r>
        <w:rPr>
          <w:rStyle w:val="26"/>
          <w:rFonts w:hint="eastAsia" w:ascii="宋体" w:hAnsi="宋体" w:cs="宋体"/>
          <w:color w:val="auto"/>
          <w:highlight w:val="none"/>
        </w:rPr>
        <w:t>）、（</w:t>
      </w:r>
      <w:r>
        <w:rPr>
          <w:rStyle w:val="26"/>
          <w:rFonts w:ascii="Calibri" w:hAnsi="Calibri" w:cs="Calibri"/>
          <w:color w:val="auto"/>
          <w:highlight w:val="none"/>
        </w:rPr>
        <w:t>2</w:t>
      </w:r>
      <w:r>
        <w:rPr>
          <w:rStyle w:val="26"/>
          <w:rFonts w:hint="eastAsia" w:ascii="宋体" w:hAnsi="宋体" w:cs="宋体"/>
          <w:color w:val="auto"/>
          <w:highlight w:val="none"/>
        </w:rPr>
        <w:t>）款规定经投标人确认后产生约束力，投标人不确认的，其投标无效。</w:t>
      </w:r>
    </w:p>
    <w:p w14:paraId="61C9A346">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（4）关于细微偏差</w:t>
      </w:r>
    </w:p>
    <w:p w14:paraId="4BF7EEDA">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14:paraId="2B2B1E2C">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②评标委员会将以书面形式要求存在细微偏差的投标人在评标委员会规定的时间内予以补正。若无法补正，则评标委员会将按照不利于投标人的内容进行认定。</w:t>
      </w:r>
    </w:p>
    <w:p w14:paraId="73F70583">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（5）关于投标描述（即投标文件中描述的内容）</w:t>
      </w:r>
    </w:p>
    <w:p w14:paraId="5777696C">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①投标描述前后不一致且不涉及证明材料的：按照本章第</w:t>
      </w:r>
      <w:r>
        <w:rPr>
          <w:rFonts w:ascii="Calibri" w:hAnsi="Calibri" w:cs="Calibri"/>
          <w:color w:val="auto"/>
          <w:highlight w:val="none"/>
        </w:rPr>
        <w:t>6.3</w:t>
      </w:r>
      <w:r>
        <w:rPr>
          <w:rFonts w:hint="eastAsia" w:ascii="宋体" w:hAnsi="宋体" w:cs="宋体"/>
          <w:color w:val="auto"/>
          <w:highlight w:val="none"/>
        </w:rPr>
        <w:t>条第（</w:t>
      </w:r>
      <w:r>
        <w:rPr>
          <w:rFonts w:ascii="Calibri" w:hAnsi="Calibri" w:cs="Calibri"/>
          <w:color w:val="auto"/>
          <w:highlight w:val="none"/>
        </w:rPr>
        <w:t>1</w:t>
      </w:r>
      <w:r>
        <w:rPr>
          <w:rFonts w:hint="eastAsia" w:ascii="宋体" w:hAnsi="宋体" w:cs="宋体"/>
          <w:color w:val="auto"/>
          <w:highlight w:val="none"/>
        </w:rPr>
        <w:t>）、（</w:t>
      </w:r>
      <w:r>
        <w:rPr>
          <w:rFonts w:ascii="Calibri" w:hAnsi="Calibri" w:cs="Calibri"/>
          <w:color w:val="auto"/>
          <w:highlight w:val="none"/>
        </w:rPr>
        <w:t>2</w:t>
      </w:r>
      <w:r>
        <w:rPr>
          <w:rFonts w:hint="eastAsia" w:ascii="宋体" w:hAnsi="宋体" w:cs="宋体"/>
          <w:color w:val="auto"/>
          <w:highlight w:val="none"/>
        </w:rPr>
        <w:t>）款规定执行。</w:t>
      </w:r>
    </w:p>
    <w:p w14:paraId="0DDDC741">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②投标描述与证明材料不一致或多份证明材料之间不一致的：</w:t>
      </w:r>
    </w:p>
    <w:p w14:paraId="72FE5DAF">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a.评标委员会将要求投标人进行书面澄清，并按照不利于投标人的内容进行评标。</w:t>
      </w:r>
    </w:p>
    <w:p w14:paraId="56E31E4E">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718436F0">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632B6677">
      <w:pPr>
        <w:pStyle w:val="19"/>
        <w:widowControl/>
        <w:spacing w:before="75" w:beforeAutospacing="0" w:after="75" w:afterAutospacing="0"/>
        <w:rPr>
          <w:color w:val="auto"/>
          <w:highlight w:val="none"/>
        </w:rPr>
      </w:pPr>
      <w:r>
        <w:rPr>
          <w:rFonts w:hint="eastAsia" w:ascii="宋体" w:hAnsi="宋体" w:cs="宋体"/>
          <w:color w:val="auto"/>
          <w:highlight w:val="none"/>
        </w:rPr>
        <w:t>6.4比较与评价</w:t>
      </w:r>
    </w:p>
    <w:p w14:paraId="0893D27D">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（1）按照本章第</w:t>
      </w:r>
      <w:r>
        <w:rPr>
          <w:rFonts w:ascii="Calibri" w:hAnsi="Calibri" w:cs="Calibri"/>
          <w:color w:val="auto"/>
          <w:highlight w:val="none"/>
        </w:rPr>
        <w:t>7</w:t>
      </w:r>
      <w:r>
        <w:rPr>
          <w:rFonts w:hint="eastAsia" w:ascii="宋体" w:hAnsi="宋体" w:cs="宋体"/>
          <w:color w:val="auto"/>
          <w:highlight w:val="none"/>
        </w:rPr>
        <w:t>条载明的评标方法和标准，对符合性审查合格的投标文件进行比较与评价。</w:t>
      </w:r>
    </w:p>
    <w:p w14:paraId="03767CD9">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（2）关于相同品牌产品</w:t>
      </w:r>
      <w:r>
        <w:rPr>
          <w:rStyle w:val="26"/>
          <w:rFonts w:hint="eastAsia" w:ascii="宋体" w:hAnsi="宋体" w:cs="宋体"/>
          <w:color w:val="auto"/>
          <w:highlight w:val="none"/>
        </w:rPr>
        <w:t>（政府采购服务类项目不适用本条款规定）</w:t>
      </w:r>
    </w:p>
    <w:p w14:paraId="41F4BB75">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54DA1E41">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a.招标文件规定的方式：</w:t>
      </w:r>
      <w:r>
        <w:rPr>
          <w:color w:val="auto"/>
          <w:highlight w:val="none"/>
          <w:u w:val="single"/>
        </w:rPr>
        <w:t>无</w:t>
      </w:r>
      <w:r>
        <w:rPr>
          <w:rFonts w:hint="eastAsia" w:ascii="宋体" w:hAnsi="宋体" w:cs="宋体"/>
          <w:color w:val="auto"/>
          <w:highlight w:val="none"/>
        </w:rPr>
        <w:t>。</w:t>
      </w:r>
    </w:p>
    <w:p w14:paraId="68FCB836">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b.招标文件未规定的，采取随机抽取方式确定，其他</w:t>
      </w:r>
      <w:r>
        <w:rPr>
          <w:rStyle w:val="26"/>
          <w:rFonts w:hint="eastAsia" w:ascii="宋体" w:hAnsi="宋体" w:cs="宋体"/>
          <w:color w:val="auto"/>
          <w:highlight w:val="none"/>
        </w:rPr>
        <w:t>投标无效。</w:t>
      </w:r>
    </w:p>
    <w:p w14:paraId="733BDAE8">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4B847240">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a.招标文件规定的方式：</w:t>
      </w:r>
      <w:r>
        <w:rPr>
          <w:color w:val="auto"/>
          <w:highlight w:val="none"/>
          <w:u w:val="single"/>
        </w:rPr>
        <w:t>无</w:t>
      </w:r>
      <w:r>
        <w:rPr>
          <w:rFonts w:hint="eastAsia" w:ascii="宋体" w:hAnsi="宋体" w:cs="宋体"/>
          <w:color w:val="auto"/>
          <w:highlight w:val="none"/>
        </w:rPr>
        <w:t>。</w:t>
      </w:r>
    </w:p>
    <w:p w14:paraId="5F2D2905">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b.招标文件未规定的，采取随机抽取方式确定，其他同品牌投标人不作为中标候选人。</w:t>
      </w:r>
    </w:p>
    <w:p w14:paraId="4753629F">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③非单一产品采购项目，多家投标人提供的核心产品品牌相同的，按照本章第</w:t>
      </w:r>
      <w:r>
        <w:rPr>
          <w:rFonts w:ascii="Calibri" w:hAnsi="Calibri" w:cs="Calibri"/>
          <w:color w:val="auto"/>
          <w:highlight w:val="none"/>
        </w:rPr>
        <w:t>6.4</w:t>
      </w:r>
      <w:r>
        <w:rPr>
          <w:rFonts w:hint="eastAsia" w:ascii="宋体" w:hAnsi="宋体" w:cs="宋体"/>
          <w:color w:val="auto"/>
          <w:highlight w:val="none"/>
        </w:rPr>
        <w:t>条第（</w:t>
      </w:r>
      <w:r>
        <w:rPr>
          <w:rFonts w:ascii="Calibri" w:hAnsi="Calibri" w:cs="Calibri"/>
          <w:color w:val="auto"/>
          <w:highlight w:val="none"/>
        </w:rPr>
        <w:t>2</w:t>
      </w:r>
      <w:r>
        <w:rPr>
          <w:rFonts w:hint="eastAsia" w:ascii="宋体" w:hAnsi="宋体" w:cs="宋体"/>
          <w:color w:val="auto"/>
          <w:highlight w:val="none"/>
        </w:rPr>
        <w:t>）款第①、②规定处理。</w:t>
      </w:r>
    </w:p>
    <w:p w14:paraId="213D188A">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（3）漏（缺）项</w:t>
      </w:r>
    </w:p>
    <w:p w14:paraId="3D71A8A8">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①招标文件中要求列入报价的费用（含配置、功能），漏（缺）项的报价视为已经包括在投标总价中。</w:t>
      </w:r>
    </w:p>
    <w:p w14:paraId="193DABA9">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②对多报项及赠送项的价格评标时不予核减，全部进入评标价评议。</w:t>
      </w:r>
    </w:p>
    <w:p w14:paraId="7D83EA52">
      <w:pPr>
        <w:pStyle w:val="19"/>
        <w:widowControl/>
        <w:spacing w:before="75" w:beforeAutospacing="0" w:after="75" w:afterAutospacing="0"/>
        <w:rPr>
          <w:color w:val="auto"/>
          <w:highlight w:val="none"/>
        </w:rPr>
      </w:pPr>
      <w:r>
        <w:rPr>
          <w:rFonts w:hint="eastAsia" w:ascii="宋体" w:hAnsi="宋体" w:cs="宋体"/>
          <w:color w:val="auto"/>
          <w:highlight w:val="none"/>
        </w:rPr>
        <w:t>6.5推荐中标候选人：详见本章第</w:t>
      </w:r>
      <w:r>
        <w:rPr>
          <w:rFonts w:ascii="Calibri" w:hAnsi="Calibri" w:cs="Calibri"/>
          <w:color w:val="auto"/>
          <w:highlight w:val="none"/>
        </w:rPr>
        <w:t>7.2</w:t>
      </w:r>
      <w:r>
        <w:rPr>
          <w:rFonts w:hint="eastAsia" w:ascii="宋体" w:hAnsi="宋体" w:cs="宋体"/>
          <w:color w:val="auto"/>
          <w:highlight w:val="none"/>
        </w:rPr>
        <w:t>条规定。</w:t>
      </w:r>
    </w:p>
    <w:p w14:paraId="0F453392">
      <w:pPr>
        <w:pStyle w:val="19"/>
        <w:widowControl/>
        <w:spacing w:before="75" w:beforeAutospacing="0" w:after="75" w:afterAutospacing="0"/>
        <w:rPr>
          <w:color w:val="auto"/>
          <w:highlight w:val="none"/>
        </w:rPr>
      </w:pPr>
      <w:r>
        <w:rPr>
          <w:rFonts w:hint="eastAsia" w:ascii="宋体" w:hAnsi="宋体" w:cs="宋体"/>
          <w:color w:val="auto"/>
          <w:highlight w:val="none"/>
        </w:rPr>
        <w:t>6.6编写评标报告</w:t>
      </w:r>
    </w:p>
    <w:p w14:paraId="1D8F93A8">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（1）评标报告由评标委员会负责编写。</w:t>
      </w:r>
    </w:p>
    <w:p w14:paraId="7E43CAEB">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（2）评标报告应包括下列内容：</w:t>
      </w:r>
    </w:p>
    <w:p w14:paraId="3AC08DF8">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①招标公告刊登的媒体名称、开标日期和地点；</w:t>
      </w:r>
    </w:p>
    <w:p w14:paraId="5719E6C8">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②投标人名单和评标委员会成员名单；</w:t>
      </w:r>
    </w:p>
    <w:p w14:paraId="25AA1F23">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③评标方法和标准；</w:t>
      </w:r>
    </w:p>
    <w:p w14:paraId="15008F77">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④开标记录和评标情况及说明，包括无效投标人名单及原因；</w:t>
      </w:r>
    </w:p>
    <w:p w14:paraId="591D91AE">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⑤评标结果，包括中标候选人名单或确定的中标人；</w:t>
      </w:r>
    </w:p>
    <w:p w14:paraId="1043DC54">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⑥其他需要说明的情况，包括但不限于：评标过程中投标人的澄清、说明或补正，评委更换等。</w:t>
      </w:r>
    </w:p>
    <w:p w14:paraId="5FB39994">
      <w:pPr>
        <w:pStyle w:val="19"/>
        <w:widowControl/>
        <w:spacing w:before="75" w:beforeAutospacing="0" w:after="75" w:afterAutospacing="0"/>
        <w:rPr>
          <w:color w:val="auto"/>
          <w:highlight w:val="none"/>
        </w:rPr>
      </w:pPr>
      <w:r>
        <w:rPr>
          <w:rFonts w:hint="eastAsia" w:ascii="宋体" w:hAnsi="宋体" w:cs="宋体"/>
          <w:color w:val="auto"/>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26"/>
          <w:rFonts w:hint="eastAsia" w:ascii="宋体" w:hAnsi="宋体" w:cs="宋体"/>
          <w:color w:val="auto"/>
          <w:highlight w:val="none"/>
        </w:rPr>
        <w:t>投标无效</w:t>
      </w:r>
      <w:r>
        <w:rPr>
          <w:rFonts w:hint="eastAsia" w:ascii="宋体" w:hAnsi="宋体" w:cs="宋体"/>
          <w:color w:val="auto"/>
          <w:highlight w:val="none"/>
        </w:rPr>
        <w:t>处理。</w:t>
      </w:r>
    </w:p>
    <w:p w14:paraId="4B04764C">
      <w:pPr>
        <w:pStyle w:val="19"/>
        <w:widowControl/>
        <w:spacing w:before="75" w:beforeAutospacing="0" w:after="75" w:afterAutospacing="0"/>
        <w:rPr>
          <w:color w:val="auto"/>
          <w:highlight w:val="none"/>
        </w:rPr>
      </w:pPr>
      <w:r>
        <w:rPr>
          <w:rFonts w:hint="eastAsia" w:ascii="宋体" w:hAnsi="宋体" w:cs="宋体"/>
          <w:color w:val="auto"/>
          <w:highlight w:val="none"/>
        </w:rPr>
        <w:t>6.8评委对需要共同认定的事项存在争议的，应按照少数服从多数的原则进行认定。</w:t>
      </w:r>
      <w:r>
        <w:rPr>
          <w:rStyle w:val="26"/>
          <w:rFonts w:hint="eastAsia" w:ascii="宋体" w:hAnsi="宋体" w:cs="宋体"/>
          <w:color w:val="auto"/>
          <w:highlight w:val="none"/>
        </w:rPr>
        <w:t>持不同意见的评委应在评标报告上签署不同意见及理由，否则视为同意评标报告。</w:t>
      </w:r>
    </w:p>
    <w:p w14:paraId="77AEBA89">
      <w:pPr>
        <w:pStyle w:val="19"/>
        <w:widowControl/>
        <w:spacing w:before="75" w:beforeAutospacing="0" w:after="75" w:afterAutospacing="0"/>
        <w:rPr>
          <w:color w:val="auto"/>
          <w:highlight w:val="none"/>
        </w:rPr>
      </w:pPr>
      <w:r>
        <w:rPr>
          <w:rFonts w:hint="eastAsia" w:ascii="宋体" w:hAnsi="宋体" w:cs="宋体"/>
          <w:color w:val="auto"/>
          <w:highlight w:val="none"/>
        </w:rPr>
        <w:t>6.9在评标过程中发现投标人有下列情形之一的，评标委员会应认定其</w:t>
      </w:r>
      <w:r>
        <w:rPr>
          <w:rStyle w:val="26"/>
          <w:rFonts w:hint="eastAsia" w:ascii="宋体" w:hAnsi="宋体" w:cs="宋体"/>
          <w:color w:val="auto"/>
          <w:highlight w:val="none"/>
        </w:rPr>
        <w:t>投标无效</w:t>
      </w:r>
      <w:r>
        <w:rPr>
          <w:rFonts w:hint="eastAsia" w:ascii="宋体" w:hAnsi="宋体" w:cs="宋体"/>
          <w:color w:val="auto"/>
          <w:highlight w:val="none"/>
        </w:rPr>
        <w:t>，并书面报告本项目监督管理部门：</w:t>
      </w:r>
    </w:p>
    <w:p w14:paraId="76CCAC3C">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（1）恶意串通（包括但不限于招标文件第三章第</w:t>
      </w:r>
      <w:r>
        <w:rPr>
          <w:rFonts w:ascii="Calibri" w:hAnsi="Calibri" w:cs="Calibri"/>
          <w:color w:val="auto"/>
          <w:highlight w:val="none"/>
        </w:rPr>
        <w:t>9.7</w:t>
      </w:r>
      <w:r>
        <w:rPr>
          <w:rFonts w:hint="eastAsia" w:ascii="宋体" w:hAnsi="宋体" w:cs="宋体"/>
          <w:color w:val="auto"/>
          <w:highlight w:val="none"/>
        </w:rPr>
        <w:t>条规定情形）；</w:t>
      </w:r>
    </w:p>
    <w:p w14:paraId="6DF9B80D">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（2）妨碍其他投标人的竞争行为；</w:t>
      </w:r>
    </w:p>
    <w:p w14:paraId="178B46D6">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（3）损害采购人或其他投标人的合法权益。</w:t>
      </w:r>
    </w:p>
    <w:p w14:paraId="50A612B3">
      <w:pPr>
        <w:pStyle w:val="19"/>
        <w:widowControl/>
        <w:spacing w:before="75" w:beforeAutospacing="0" w:after="75" w:afterAutospacing="0"/>
        <w:rPr>
          <w:color w:val="auto"/>
          <w:highlight w:val="none"/>
        </w:rPr>
      </w:pPr>
      <w:r>
        <w:rPr>
          <w:rFonts w:hint="eastAsia" w:ascii="宋体" w:hAnsi="宋体" w:cs="宋体"/>
          <w:color w:val="auto"/>
          <w:highlight w:val="none"/>
        </w:rPr>
        <w:t>6.10评标过程中，有下列情形之一的，应予废标：</w:t>
      </w:r>
    </w:p>
    <w:p w14:paraId="5267A77C">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（1）符合性审查合格的投标人不足三家的；</w:t>
      </w:r>
    </w:p>
    <w:p w14:paraId="79AB7EF8">
      <w:pPr>
        <w:pStyle w:val="19"/>
        <w:widowControl/>
        <w:spacing w:before="75" w:beforeAutospacing="0" w:after="75" w:afterAutospacing="0"/>
        <w:ind w:firstLine="480"/>
        <w:rPr>
          <w:color w:val="auto"/>
          <w:highlight w:val="none"/>
        </w:rPr>
      </w:pPr>
      <w:r>
        <w:rPr>
          <w:rFonts w:hint="eastAsia" w:ascii="宋体" w:hAnsi="宋体" w:cs="宋体"/>
          <w:color w:val="auto"/>
          <w:highlight w:val="none"/>
        </w:rPr>
        <w:t>（2）有关法律、法规和规章规定废标的情形。</w:t>
      </w:r>
    </w:p>
    <w:p w14:paraId="252F84DD">
      <w:pPr>
        <w:pStyle w:val="19"/>
        <w:widowControl/>
        <w:spacing w:before="75" w:beforeAutospacing="0" w:after="75" w:afterAutospacing="0"/>
        <w:ind w:firstLine="480"/>
        <w:rPr>
          <w:color w:val="auto"/>
          <w:highlight w:val="none"/>
        </w:rPr>
      </w:pPr>
      <w:r>
        <w:rPr>
          <w:rStyle w:val="26"/>
          <w:rFonts w:hint="eastAsia" w:ascii="宋体" w:hAnsi="宋体" w:cs="宋体"/>
          <w:color w:val="auto"/>
          <w:highlight w:val="none"/>
        </w:rPr>
        <w:t>※若废标，则本次采购活动结束，</w:t>
      </w:r>
      <w:r>
        <w:rPr>
          <w:rFonts w:hint="eastAsia" w:ascii="宋体" w:hAnsi="宋体" w:cs="宋体"/>
          <w:color w:val="auto"/>
          <w:highlight w:val="none"/>
          <w:u w:val="single"/>
        </w:rPr>
        <w:t>福建亿立项目管理有限公司</w:t>
      </w:r>
      <w:r>
        <w:rPr>
          <w:rStyle w:val="26"/>
          <w:rFonts w:hint="eastAsia" w:ascii="宋体" w:hAnsi="宋体" w:cs="宋体"/>
          <w:color w:val="auto"/>
          <w:highlight w:val="none"/>
        </w:rPr>
        <w:t>将依法组织后续采购活动（包括但不限于：重新招标、采用其他方式采购等）。</w:t>
      </w:r>
    </w:p>
    <w:p w14:paraId="2ACF3413">
      <w:pPr>
        <w:pStyle w:val="19"/>
        <w:widowControl/>
        <w:spacing w:before="75" w:beforeAutospacing="0" w:after="75" w:afterAutospacing="0"/>
        <w:rPr>
          <w:rFonts w:hint="eastAsia" w:ascii="宋体" w:hAnsi="宋体" w:eastAsia="宋体" w:cs="宋体"/>
          <w:color w:val="auto"/>
          <w:highlight w:val="none"/>
        </w:rPr>
      </w:pPr>
      <w:r>
        <w:rPr>
          <w:rFonts w:hint="eastAsia" w:ascii="宋体" w:hAnsi="宋体" w:eastAsia="宋体" w:cs="宋体"/>
          <w:color w:val="auto"/>
          <w:highlight w:val="none"/>
        </w:rPr>
        <w:t>7、评标方法和标准</w:t>
      </w:r>
    </w:p>
    <w:p w14:paraId="59CF0190">
      <w:pPr>
        <w:pStyle w:val="33"/>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7.1评标方法：</w:t>
      </w:r>
    </w:p>
    <w:p w14:paraId="0B500EC0">
      <w:pPr>
        <w:pStyle w:val="33"/>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采购包1：综合评分法</w:t>
      </w:r>
    </w:p>
    <w:p w14:paraId="3E74D6BE">
      <w:pPr>
        <w:pStyle w:val="33"/>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7.2评标标准</w:t>
      </w:r>
    </w:p>
    <w:p w14:paraId="5A70B5BA">
      <w:pPr>
        <w:pStyle w:val="33"/>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采购包1：综合评分法</w:t>
      </w:r>
    </w:p>
    <w:p w14:paraId="5B3B9E29">
      <w:pPr>
        <w:pStyle w:val="33"/>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（1）投标文件满足招标文件全部实质性要求，且按照评审因素的量化指标评审得分（即评标总得分）最高的投标人为中标候选人。</w:t>
      </w:r>
    </w:p>
    <w:p w14:paraId="647D82D9">
      <w:pPr>
        <w:pStyle w:val="33"/>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每个投标人的评标总得分FA＝F1×A1＋F2×A2＋F3×A3，其中：F1指价格项评审因素得分、F2指技术项评审因素得分、F3指商务项评审因素得分，A1指价格项评审因素所占的权重、A2指技术项评审因素所占的权重、A3指商务项评审因素所占的权重，A1+A2+A3=1、F1×A1＋F2×A2＋F3×A3=100分（满分时）。</w:t>
      </w:r>
    </w:p>
    <w:p w14:paraId="6DA1B8BF">
      <w:pPr>
        <w:pStyle w:val="33"/>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各项评审因素的设置如下：</w:t>
      </w:r>
    </w:p>
    <w:p w14:paraId="26CF1B11">
      <w:pPr>
        <w:pStyle w:val="33"/>
        <w:jc w:val="both"/>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价格项（F1×A1）满分为</w:t>
      </w:r>
      <w:r>
        <w:rPr>
          <w:rFonts w:hint="eastAsia" w:ascii="宋体" w:hAnsi="宋体" w:eastAsia="宋体" w:cs="宋体"/>
          <w:b/>
          <w:bCs w:val="0"/>
          <w:color w:val="auto"/>
          <w:sz w:val="24"/>
          <w:szCs w:val="24"/>
          <w:highlight w:val="none"/>
          <w:lang w:val="en-US" w:eastAsia="zh-CN"/>
        </w:rPr>
        <w:t>30</w:t>
      </w:r>
      <w:r>
        <w:rPr>
          <w:rFonts w:hint="eastAsia" w:ascii="宋体" w:hAnsi="宋体" w:eastAsia="宋体" w:cs="宋体"/>
          <w:b/>
          <w:bCs w:val="0"/>
          <w:color w:val="auto"/>
          <w:sz w:val="24"/>
          <w:szCs w:val="24"/>
          <w:highlight w:val="none"/>
        </w:rPr>
        <w:t>.00分</w:t>
      </w:r>
    </w:p>
    <w:p w14:paraId="71F6B105">
      <w:pPr>
        <w:pStyle w:val="33"/>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p w14:paraId="255E17D5">
      <w:pPr>
        <w:pStyle w:val="33"/>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技术项（F2×A2）满分为</w:t>
      </w:r>
      <w:r>
        <w:rPr>
          <w:rFonts w:hint="eastAsia" w:ascii="宋体" w:hAnsi="宋体" w:eastAsia="宋体" w:cs="宋体"/>
          <w:b/>
          <w:color w:val="auto"/>
          <w:sz w:val="24"/>
          <w:szCs w:val="24"/>
          <w:highlight w:val="none"/>
          <w:lang w:val="en-US" w:eastAsia="zh-CN"/>
        </w:rPr>
        <w:t>60.</w:t>
      </w:r>
      <w:r>
        <w:rPr>
          <w:rFonts w:hint="eastAsia" w:ascii="宋体" w:hAnsi="宋体" w:eastAsia="宋体" w:cs="宋体"/>
          <w:b/>
          <w:color w:val="auto"/>
          <w:sz w:val="24"/>
          <w:szCs w:val="24"/>
          <w:highlight w:val="none"/>
        </w:rPr>
        <w:t>00分</w:t>
      </w:r>
    </w:p>
    <w:tbl>
      <w:tblPr>
        <w:tblStyle w:val="23"/>
        <w:tblW w:w="0" w:type="auto"/>
        <w:tblCellSpacing w:w="0" w:type="dxa"/>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6"/>
        <w:gridCol w:w="780"/>
        <w:gridCol w:w="6742"/>
      </w:tblGrid>
      <w:tr w14:paraId="47384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tblCellSpacing w:w="0" w:type="dxa"/>
        </w:trPr>
        <w:tc>
          <w:tcPr>
            <w:tcW w:w="1666" w:type="dxa"/>
            <w:vAlign w:val="center"/>
          </w:tcPr>
          <w:p w14:paraId="19806B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outlineLvl w:val="9"/>
              <w:rPr>
                <w:rFonts w:hint="eastAsia" w:ascii="宋体" w:hAnsi="宋体" w:eastAsia="宋体" w:cs="宋体"/>
                <w:color w:val="auto"/>
                <w:kern w:val="2"/>
                <w:sz w:val="24"/>
                <w:szCs w:val="24"/>
                <w:highlight w:val="none"/>
                <w:lang w:val="en-US" w:eastAsia="zh-Hans"/>
              </w:rPr>
            </w:pPr>
            <w:r>
              <w:rPr>
                <w:rFonts w:hint="eastAsia" w:ascii="宋体" w:hAnsi="宋体" w:eastAsia="宋体" w:cs="宋体"/>
                <w:b/>
                <w:color w:val="auto"/>
                <w:sz w:val="24"/>
                <w:szCs w:val="24"/>
                <w:highlight w:val="none"/>
                <w:lang w:val="en-US" w:eastAsia="zh-CN"/>
              </w:rPr>
              <w:t>评审</w:t>
            </w:r>
            <w:r>
              <w:rPr>
                <w:rFonts w:hint="eastAsia" w:ascii="宋体" w:hAnsi="宋体" w:eastAsia="宋体" w:cs="宋体"/>
                <w:b/>
                <w:color w:val="auto"/>
                <w:sz w:val="24"/>
                <w:szCs w:val="24"/>
                <w:highlight w:val="none"/>
                <w:lang w:val="en-US" w:eastAsia="zh-Hans"/>
              </w:rPr>
              <w:t>项目</w:t>
            </w:r>
          </w:p>
        </w:tc>
        <w:tc>
          <w:tcPr>
            <w:tcW w:w="780" w:type="dxa"/>
            <w:vAlign w:val="center"/>
          </w:tcPr>
          <w:p w14:paraId="64624E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outlineLvl w:val="9"/>
              <w:rPr>
                <w:rFonts w:hint="eastAsia" w:ascii="宋体" w:hAnsi="宋体" w:eastAsia="宋体" w:cs="宋体"/>
                <w:color w:val="auto"/>
                <w:kern w:val="2"/>
                <w:sz w:val="24"/>
                <w:szCs w:val="24"/>
                <w:highlight w:val="none"/>
                <w:lang w:val="en-US" w:eastAsia="zh-Hans"/>
              </w:rPr>
            </w:pPr>
            <w:r>
              <w:rPr>
                <w:rFonts w:hint="eastAsia" w:ascii="宋体" w:hAnsi="宋体" w:eastAsia="宋体" w:cs="宋体"/>
                <w:b/>
                <w:color w:val="auto"/>
                <w:sz w:val="24"/>
                <w:szCs w:val="24"/>
                <w:highlight w:val="none"/>
                <w:lang w:val="en-US" w:eastAsia="zh-Hans"/>
              </w:rPr>
              <w:t>分值</w:t>
            </w:r>
          </w:p>
        </w:tc>
        <w:tc>
          <w:tcPr>
            <w:tcW w:w="6742" w:type="dxa"/>
            <w:vAlign w:val="center"/>
          </w:tcPr>
          <w:p w14:paraId="3D4F4E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outlineLvl w:val="9"/>
              <w:rPr>
                <w:rFonts w:hint="eastAsia" w:ascii="宋体" w:hAnsi="宋体" w:eastAsia="宋体" w:cs="宋体"/>
                <w:color w:val="auto"/>
                <w:kern w:val="2"/>
                <w:sz w:val="24"/>
                <w:szCs w:val="24"/>
                <w:highlight w:val="none"/>
                <w:lang w:val="en-US" w:eastAsia="zh-Hans"/>
              </w:rPr>
            </w:pPr>
            <w:r>
              <w:rPr>
                <w:rFonts w:hint="eastAsia" w:ascii="宋体" w:hAnsi="宋体" w:eastAsia="宋体" w:cs="宋体"/>
                <w:b/>
                <w:color w:val="auto"/>
                <w:sz w:val="24"/>
                <w:szCs w:val="24"/>
                <w:highlight w:val="none"/>
                <w:lang w:val="en-US" w:eastAsia="zh-CN"/>
              </w:rPr>
              <w:t>评审</w:t>
            </w:r>
            <w:r>
              <w:rPr>
                <w:rFonts w:hint="eastAsia" w:ascii="宋体" w:hAnsi="宋体" w:eastAsia="宋体" w:cs="宋体"/>
                <w:b/>
                <w:color w:val="auto"/>
                <w:sz w:val="24"/>
                <w:szCs w:val="24"/>
                <w:highlight w:val="none"/>
                <w:lang w:val="en-US" w:eastAsia="zh-Hans"/>
              </w:rPr>
              <w:t>描述</w:t>
            </w:r>
          </w:p>
        </w:tc>
      </w:tr>
      <w:tr w14:paraId="522EE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666" w:type="dxa"/>
            <w:vAlign w:val="center"/>
          </w:tcPr>
          <w:p w14:paraId="361B97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outlineLvl w:val="9"/>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技术</w:t>
            </w:r>
            <w:r>
              <w:rPr>
                <w:rFonts w:hint="eastAsia" w:ascii="宋体" w:hAnsi="宋体" w:cs="宋体"/>
                <w:b w:val="0"/>
                <w:bCs/>
                <w:color w:val="auto"/>
                <w:kern w:val="0"/>
                <w:sz w:val="24"/>
                <w:szCs w:val="24"/>
                <w:highlight w:val="none"/>
                <w:lang w:val="en-US" w:eastAsia="zh-CN" w:bidi="ar-SA"/>
              </w:rPr>
              <w:t>服务</w:t>
            </w:r>
            <w:r>
              <w:rPr>
                <w:rFonts w:hint="eastAsia" w:ascii="宋体" w:hAnsi="宋体" w:eastAsia="宋体" w:cs="宋体"/>
                <w:b w:val="0"/>
                <w:bCs/>
                <w:color w:val="auto"/>
                <w:kern w:val="0"/>
                <w:sz w:val="24"/>
                <w:szCs w:val="24"/>
                <w:highlight w:val="none"/>
                <w:lang w:val="en-US" w:eastAsia="zh-CN" w:bidi="ar-SA"/>
              </w:rPr>
              <w:t>响应情况</w:t>
            </w:r>
          </w:p>
        </w:tc>
        <w:tc>
          <w:tcPr>
            <w:tcW w:w="780" w:type="dxa"/>
            <w:vAlign w:val="center"/>
          </w:tcPr>
          <w:p w14:paraId="47C792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outlineLvl w:val="9"/>
              <w:rPr>
                <w:rFonts w:hint="default" w:ascii="宋体" w:hAnsi="宋体" w:eastAsia="宋体" w:cs="Times New Roman"/>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2</w:t>
            </w:r>
            <w:r>
              <w:rPr>
                <w:rFonts w:hint="eastAsia" w:ascii="宋体" w:hAnsi="宋体" w:cs="宋体"/>
                <w:b w:val="0"/>
                <w:bCs/>
                <w:color w:val="auto"/>
                <w:kern w:val="0"/>
                <w:sz w:val="24"/>
                <w:szCs w:val="24"/>
                <w:highlight w:val="none"/>
                <w:lang w:val="en-US" w:eastAsia="zh-CN" w:bidi="ar-SA"/>
              </w:rPr>
              <w:t>5</w:t>
            </w:r>
          </w:p>
        </w:tc>
        <w:tc>
          <w:tcPr>
            <w:tcW w:w="6742" w:type="dxa"/>
            <w:vAlign w:val="top"/>
          </w:tcPr>
          <w:p w14:paraId="619CE9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outlineLvl w:val="9"/>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评委根据投标人对招标文件</w:t>
            </w:r>
            <w:r>
              <w:rPr>
                <w:rFonts w:ascii="宋体" w:hAnsi="宋体" w:eastAsia="宋体" w:cs="宋体"/>
                <w:color w:val="auto"/>
                <w:sz w:val="24"/>
                <w:szCs w:val="24"/>
                <w:highlight w:val="none"/>
              </w:rPr>
              <w:t>《</w:t>
            </w:r>
            <w:r>
              <w:rPr>
                <w:rFonts w:hint="eastAsia" w:ascii="宋体" w:hAnsi="宋体" w:eastAsia="宋体" w:cs="Times New Roman"/>
                <w:color w:val="auto"/>
                <w:kern w:val="0"/>
                <w:sz w:val="24"/>
                <w:szCs w:val="24"/>
                <w:highlight w:val="none"/>
                <w:lang w:val="en-US" w:eastAsia="zh-CN" w:bidi="ar-SA"/>
              </w:rPr>
              <w:t>第五章 招标内容及要求</w:t>
            </w:r>
            <w:r>
              <w:rPr>
                <w:rFonts w:ascii="宋体" w:hAnsi="宋体" w:eastAsia="宋体" w:cs="宋体"/>
                <w:color w:val="auto"/>
                <w:sz w:val="24"/>
                <w:szCs w:val="24"/>
                <w:highlight w:val="none"/>
              </w:rPr>
              <w:t>》中“二、</w:t>
            </w:r>
            <w:r>
              <w:rPr>
                <w:rFonts w:hint="eastAsia" w:ascii="宋体" w:hAnsi="宋体" w:eastAsia="宋体" w:cs="Times New Roman"/>
                <w:color w:val="auto"/>
                <w:kern w:val="0"/>
                <w:sz w:val="24"/>
                <w:szCs w:val="24"/>
                <w:highlight w:val="none"/>
                <w:lang w:val="en-US" w:eastAsia="zh-CN" w:bidi="ar-SA"/>
              </w:rPr>
              <w:t>技术和服务要求</w:t>
            </w:r>
            <w:r>
              <w:rPr>
                <w:rFonts w:ascii="宋体" w:hAnsi="宋体" w:eastAsia="宋体" w:cs="宋体"/>
                <w:color w:val="auto"/>
                <w:sz w:val="24"/>
                <w:szCs w:val="24"/>
                <w:highlight w:val="none"/>
              </w:rPr>
              <w:t>”的各项技术要求项作出明确的逐项响应承诺,在《技术和服务要求响应表》中列明是否偏离，并对其真实性负责。完全满足</w:t>
            </w:r>
            <w:r>
              <w:rPr>
                <w:rFonts w:hint="eastAsia" w:ascii="宋体" w:hAnsi="宋体" w:eastAsia="宋体" w:cs="宋体"/>
                <w:color w:val="auto"/>
                <w:sz w:val="24"/>
                <w:szCs w:val="24"/>
                <w:highlight w:val="none"/>
                <w:lang w:eastAsia="zh-CN"/>
              </w:rPr>
              <w:t>招标</w:t>
            </w:r>
            <w:r>
              <w:rPr>
                <w:rFonts w:ascii="宋体" w:hAnsi="宋体" w:eastAsia="宋体" w:cs="宋体"/>
                <w:color w:val="auto"/>
                <w:sz w:val="24"/>
                <w:szCs w:val="24"/>
                <w:highlight w:val="none"/>
              </w:rPr>
              <w:t>文件要求的得</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ascii="宋体" w:hAnsi="宋体" w:eastAsia="宋体" w:cs="宋体"/>
                <w:color w:val="auto"/>
                <w:sz w:val="24"/>
                <w:szCs w:val="24"/>
                <w:highlight w:val="none"/>
              </w:rPr>
              <w:t>分；带“★”标示的技术要求项有任一负偏离视为无效</w:t>
            </w:r>
            <w:r>
              <w:rPr>
                <w:rFonts w:hint="eastAsia" w:ascii="宋体" w:hAnsi="宋体" w:eastAsia="宋体" w:cs="宋体"/>
                <w:color w:val="auto"/>
                <w:sz w:val="24"/>
                <w:szCs w:val="24"/>
                <w:highlight w:val="none"/>
                <w:lang w:eastAsia="zh-CN"/>
              </w:rPr>
              <w:t>投标</w:t>
            </w:r>
            <w:r>
              <w:rPr>
                <w:rFonts w:ascii="宋体" w:hAnsi="宋体" w:eastAsia="宋体" w:cs="宋体"/>
                <w:color w:val="auto"/>
                <w:sz w:val="24"/>
                <w:szCs w:val="24"/>
                <w:highlight w:val="none"/>
              </w:rPr>
              <w:t>；其余技术要求项每负偏离一项扣</w:t>
            </w:r>
            <w:r>
              <w:rPr>
                <w:rFonts w:hint="eastAsia" w:ascii="宋体" w:hAnsi="宋体" w:eastAsia="宋体" w:cs="宋体"/>
                <w:color w:val="auto"/>
                <w:sz w:val="24"/>
                <w:szCs w:val="24"/>
                <w:highlight w:val="none"/>
                <w:lang w:val="en-US" w:eastAsia="zh-CN"/>
              </w:rPr>
              <w:t>1</w:t>
            </w:r>
            <w:r>
              <w:rPr>
                <w:rFonts w:ascii="宋体" w:hAnsi="宋体" w:eastAsia="宋体" w:cs="宋体"/>
                <w:color w:val="auto"/>
                <w:sz w:val="24"/>
                <w:szCs w:val="24"/>
                <w:highlight w:val="none"/>
              </w:rPr>
              <w:t>分（共</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ascii="宋体" w:hAnsi="宋体" w:eastAsia="宋体" w:cs="宋体"/>
                <w:color w:val="auto"/>
                <w:sz w:val="24"/>
                <w:szCs w:val="24"/>
                <w:highlight w:val="none"/>
              </w:rPr>
              <w:t>项），扣完为止。注：（1）</w:t>
            </w:r>
            <w:r>
              <w:rPr>
                <w:rFonts w:hint="eastAsia" w:ascii="宋体" w:hAnsi="宋体" w:eastAsia="宋体" w:cs="宋体"/>
                <w:color w:val="auto"/>
                <w:sz w:val="24"/>
                <w:szCs w:val="24"/>
                <w:highlight w:val="none"/>
                <w:lang w:eastAsia="zh-CN"/>
              </w:rPr>
              <w:t>招标</w:t>
            </w:r>
            <w:r>
              <w:rPr>
                <w:rFonts w:ascii="宋体" w:hAnsi="宋体" w:eastAsia="宋体" w:cs="宋体"/>
                <w:color w:val="auto"/>
                <w:sz w:val="24"/>
                <w:szCs w:val="24"/>
                <w:highlight w:val="none"/>
              </w:rPr>
              <w:t>文件中《技术和服务要求响应表》应答内容与供应商提供的佐证材料不一致时，以供应商提供的佐证材料为判定依据。</w:t>
            </w:r>
          </w:p>
        </w:tc>
      </w:tr>
      <w:tr w14:paraId="2A3E7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666" w:type="dxa"/>
            <w:vAlign w:val="center"/>
          </w:tcPr>
          <w:p w14:paraId="308A64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rPr>
                <w:rFonts w:hint="eastAsia" w:ascii="宋体" w:hAnsi="宋体" w:eastAsia="宋体" w:cs="Times New Roman"/>
                <w:color w:val="auto"/>
                <w:kern w:val="0"/>
                <w:sz w:val="24"/>
                <w:szCs w:val="24"/>
                <w:highlight w:val="none"/>
                <w:lang w:val="en-US" w:eastAsia="zh-Hans"/>
              </w:rPr>
            </w:pPr>
            <w:r>
              <w:rPr>
                <w:rFonts w:hint="eastAsia" w:ascii="宋体" w:hAnsi="宋体" w:eastAsia="宋体" w:cs="宋体"/>
                <w:color w:val="auto"/>
                <w:kern w:val="0"/>
                <w:sz w:val="24"/>
                <w:szCs w:val="24"/>
                <w:highlight w:val="none"/>
                <w:lang w:bidi="ar"/>
              </w:rPr>
              <w:t>食堂经营方案</w:t>
            </w:r>
          </w:p>
        </w:tc>
        <w:tc>
          <w:tcPr>
            <w:tcW w:w="780" w:type="dxa"/>
            <w:vAlign w:val="center"/>
          </w:tcPr>
          <w:p w14:paraId="7C1243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Times New Roman"/>
                <w:color w:val="auto"/>
                <w:kern w:val="0"/>
                <w:sz w:val="24"/>
                <w:szCs w:val="24"/>
                <w:highlight w:val="none"/>
                <w:lang w:val="en-US" w:eastAsia="zh-CN"/>
              </w:rPr>
            </w:pPr>
            <w:r>
              <w:rPr>
                <w:rFonts w:hint="eastAsia" w:ascii="宋体" w:hAnsi="宋体" w:cs="Times New Roman"/>
                <w:color w:val="auto"/>
                <w:kern w:val="0"/>
                <w:sz w:val="24"/>
                <w:szCs w:val="24"/>
                <w:highlight w:val="none"/>
                <w:lang w:val="en-US" w:eastAsia="zh-CN"/>
              </w:rPr>
              <w:t>3</w:t>
            </w:r>
          </w:p>
        </w:tc>
        <w:tc>
          <w:tcPr>
            <w:tcW w:w="6742" w:type="dxa"/>
            <w:vAlign w:val="center"/>
          </w:tcPr>
          <w:p w14:paraId="25002403">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bidi="ar"/>
              </w:rPr>
              <w:t>根据投标人提供的食堂经营方案（含员工管理制度、奖惩制度、卫生管理、验收制度、仓库管理制度、留样制度、备餐及供餐、烹饪加工、日常管理及食品安全操作制度等），由评委进行评议：</w:t>
            </w:r>
            <w:r>
              <w:rPr>
                <w:rFonts w:hint="eastAsia" w:ascii="Calibri" w:hAnsi="Calibri" w:eastAsia="宋体" w:cs="Times New Roman"/>
                <w:color w:val="auto"/>
                <w:sz w:val="24"/>
                <w:szCs w:val="24"/>
                <w:highlight w:val="none"/>
                <w:lang w:val="en-US" w:eastAsia="zh-Hans"/>
              </w:rPr>
              <w:t>提供的方案包含以上全部要点、内容与要点相符、内容详实、各要点内容之间关联性强，逻辑清晰，且按现有客观实际情况可以有效实施的得3分；提供的方案包含以上全部要点、内容与要点相符，但仅有纲要内容简略，未展开阐述的得</w:t>
            </w:r>
            <w:r>
              <w:rPr>
                <w:rFonts w:hint="eastAsia" w:ascii="Calibri" w:hAnsi="Calibri" w:eastAsia="宋体" w:cs="Times New Roman"/>
                <w:color w:val="auto"/>
                <w:sz w:val="24"/>
                <w:szCs w:val="24"/>
                <w:highlight w:val="none"/>
                <w:lang w:val="en-US" w:eastAsia="zh-CN"/>
              </w:rPr>
              <w:t>2.8</w:t>
            </w:r>
            <w:r>
              <w:rPr>
                <w:rFonts w:hint="eastAsia" w:ascii="Calibri" w:hAnsi="Calibri" w:eastAsia="宋体" w:cs="Times New Roman"/>
                <w:color w:val="auto"/>
                <w:sz w:val="24"/>
                <w:szCs w:val="24"/>
                <w:highlight w:val="none"/>
                <w:lang w:val="en-US" w:eastAsia="zh-Hans"/>
              </w:rPr>
              <w:t>分；方案所包含的要点有缺漏的得</w:t>
            </w:r>
            <w:r>
              <w:rPr>
                <w:rFonts w:hint="eastAsia" w:ascii="Calibri" w:hAnsi="Calibri" w:eastAsia="宋体" w:cs="Times New Roman"/>
                <w:color w:val="auto"/>
                <w:sz w:val="24"/>
                <w:szCs w:val="24"/>
                <w:highlight w:val="none"/>
                <w:lang w:val="en-US" w:eastAsia="zh-CN"/>
              </w:rPr>
              <w:t>2.7</w:t>
            </w:r>
            <w:r>
              <w:rPr>
                <w:rFonts w:hint="eastAsia" w:ascii="Calibri" w:hAnsi="Calibri" w:eastAsia="宋体" w:cs="Times New Roman"/>
                <w:color w:val="auto"/>
                <w:sz w:val="24"/>
                <w:szCs w:val="24"/>
                <w:highlight w:val="none"/>
                <w:lang w:val="en-US" w:eastAsia="zh-Hans"/>
              </w:rPr>
              <w:t>分；未提供或内容存在错误的不得分。</w:t>
            </w:r>
          </w:p>
        </w:tc>
      </w:tr>
      <w:tr w14:paraId="05BDE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666" w:type="dxa"/>
            <w:vAlign w:val="center"/>
          </w:tcPr>
          <w:p w14:paraId="0A446D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rPr>
                <w:rFonts w:hint="eastAsia" w:ascii="宋体" w:hAnsi="宋体" w:eastAsia="宋体" w:cs="Times New Roman"/>
                <w:color w:val="auto"/>
                <w:kern w:val="0"/>
                <w:sz w:val="24"/>
                <w:szCs w:val="24"/>
                <w:highlight w:val="none"/>
                <w:lang w:val="en-US" w:eastAsia="zh-Hans"/>
              </w:rPr>
            </w:pPr>
            <w:r>
              <w:rPr>
                <w:rFonts w:hint="eastAsia" w:ascii="宋体" w:hAnsi="宋体" w:eastAsia="宋体" w:cs="宋体"/>
                <w:color w:val="auto"/>
                <w:kern w:val="0"/>
                <w:sz w:val="24"/>
                <w:szCs w:val="24"/>
                <w:highlight w:val="none"/>
                <w:lang w:bidi="ar"/>
              </w:rPr>
              <w:t>食堂消防安全处置应急预案</w:t>
            </w:r>
          </w:p>
        </w:tc>
        <w:tc>
          <w:tcPr>
            <w:tcW w:w="780" w:type="dxa"/>
            <w:vAlign w:val="center"/>
          </w:tcPr>
          <w:p w14:paraId="413498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Times New Roman"/>
                <w:color w:val="auto"/>
                <w:kern w:val="0"/>
                <w:sz w:val="24"/>
                <w:szCs w:val="24"/>
                <w:highlight w:val="none"/>
                <w:lang w:val="en-US" w:eastAsia="zh-CN"/>
              </w:rPr>
            </w:pPr>
            <w:r>
              <w:rPr>
                <w:rFonts w:hint="eastAsia" w:ascii="宋体" w:hAnsi="宋体" w:cs="Times New Roman"/>
                <w:color w:val="auto"/>
                <w:kern w:val="0"/>
                <w:sz w:val="24"/>
                <w:szCs w:val="24"/>
                <w:highlight w:val="none"/>
                <w:lang w:val="en-US" w:eastAsia="zh-CN"/>
              </w:rPr>
              <w:t>2</w:t>
            </w:r>
          </w:p>
        </w:tc>
        <w:tc>
          <w:tcPr>
            <w:tcW w:w="6742" w:type="dxa"/>
            <w:vAlign w:val="center"/>
          </w:tcPr>
          <w:p w14:paraId="22CB380F">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bidi="ar"/>
              </w:rPr>
              <w:t>根据投标人提供的食堂消防安全处置应急预案，按消防要求明确工作人员消防职责组织必要的培训、服从消防安全检查、学会使用消防器材、确保食堂消防安全达标情况，由评委进行评议：</w:t>
            </w:r>
            <w:r>
              <w:rPr>
                <w:rFonts w:hint="eastAsia" w:ascii="Calibri" w:hAnsi="Calibri" w:eastAsia="宋体" w:cs="Times New Roman"/>
                <w:color w:val="auto"/>
                <w:sz w:val="24"/>
                <w:szCs w:val="24"/>
                <w:highlight w:val="none"/>
                <w:lang w:val="en-US" w:eastAsia="zh-Hans"/>
              </w:rPr>
              <w:t>提供的方案包含以上全部要点、内容与要点相符、内容详实、各要点内容之间关联性强，逻辑清晰，且按现有客观实际情况可以有效实施的得</w:t>
            </w:r>
            <w:r>
              <w:rPr>
                <w:rFonts w:hint="eastAsia" w:ascii="Calibri" w:hAnsi="Calibri" w:eastAsia="宋体" w:cs="Times New Roman"/>
                <w:color w:val="auto"/>
                <w:sz w:val="24"/>
                <w:szCs w:val="24"/>
                <w:highlight w:val="none"/>
                <w:lang w:val="en-US" w:eastAsia="zh-CN"/>
              </w:rPr>
              <w:t>2</w:t>
            </w:r>
            <w:r>
              <w:rPr>
                <w:rFonts w:hint="eastAsia" w:ascii="Calibri" w:hAnsi="Calibri" w:eastAsia="宋体" w:cs="Times New Roman"/>
                <w:color w:val="auto"/>
                <w:sz w:val="24"/>
                <w:szCs w:val="24"/>
                <w:highlight w:val="none"/>
                <w:lang w:val="en-US" w:eastAsia="zh-Hans"/>
              </w:rPr>
              <w:t>分；提供的方案包含以上全部要点、内容与要点相符，但仅有纲要内容简略，未展开阐述的得</w:t>
            </w:r>
            <w:r>
              <w:rPr>
                <w:rFonts w:hint="eastAsia" w:ascii="Calibri" w:hAnsi="Calibri" w:eastAsia="宋体" w:cs="Times New Roman"/>
                <w:color w:val="auto"/>
                <w:sz w:val="24"/>
                <w:szCs w:val="24"/>
                <w:highlight w:val="none"/>
                <w:lang w:val="en-US" w:eastAsia="zh-CN"/>
              </w:rPr>
              <w:t>1.8</w:t>
            </w:r>
            <w:r>
              <w:rPr>
                <w:rFonts w:hint="eastAsia" w:ascii="Calibri" w:hAnsi="Calibri" w:eastAsia="宋体" w:cs="Times New Roman"/>
                <w:color w:val="auto"/>
                <w:sz w:val="24"/>
                <w:szCs w:val="24"/>
                <w:highlight w:val="none"/>
                <w:lang w:val="en-US" w:eastAsia="zh-Hans"/>
              </w:rPr>
              <w:t>分；方案所包含的要点有缺漏的得</w:t>
            </w:r>
            <w:r>
              <w:rPr>
                <w:rFonts w:hint="eastAsia" w:ascii="Calibri" w:hAnsi="Calibri" w:eastAsia="宋体" w:cs="Times New Roman"/>
                <w:color w:val="auto"/>
                <w:sz w:val="24"/>
                <w:szCs w:val="24"/>
                <w:highlight w:val="none"/>
                <w:lang w:val="en-US" w:eastAsia="zh-CN"/>
              </w:rPr>
              <w:t>1.7</w:t>
            </w:r>
            <w:r>
              <w:rPr>
                <w:rFonts w:hint="eastAsia" w:ascii="Calibri" w:hAnsi="Calibri" w:eastAsia="宋体" w:cs="Times New Roman"/>
                <w:color w:val="auto"/>
                <w:sz w:val="24"/>
                <w:szCs w:val="24"/>
                <w:highlight w:val="none"/>
                <w:lang w:val="en-US" w:eastAsia="zh-Hans"/>
              </w:rPr>
              <w:t>分；未提供或内容存在错误的不得分。</w:t>
            </w:r>
          </w:p>
        </w:tc>
      </w:tr>
      <w:tr w14:paraId="1B006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666" w:type="dxa"/>
            <w:vAlign w:val="center"/>
          </w:tcPr>
          <w:p w14:paraId="224126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rPr>
                <w:rFonts w:hint="eastAsia" w:ascii="宋体" w:hAnsi="宋体" w:eastAsia="宋体" w:cs="Times New Roman"/>
                <w:color w:val="auto"/>
                <w:kern w:val="0"/>
                <w:sz w:val="24"/>
                <w:szCs w:val="24"/>
                <w:highlight w:val="none"/>
                <w:lang w:val="en-US" w:eastAsia="zh-Hans"/>
              </w:rPr>
            </w:pPr>
            <w:r>
              <w:rPr>
                <w:rFonts w:hint="eastAsia" w:ascii="宋体" w:hAnsi="宋体" w:eastAsia="宋体" w:cs="宋体"/>
                <w:color w:val="auto"/>
                <w:kern w:val="0"/>
                <w:sz w:val="24"/>
                <w:szCs w:val="24"/>
                <w:highlight w:val="none"/>
                <w:lang w:bidi="ar"/>
              </w:rPr>
              <w:t>食品安全卫生控制预防实施方案及师生满意率低于80%的落实整改方案</w:t>
            </w:r>
          </w:p>
        </w:tc>
        <w:tc>
          <w:tcPr>
            <w:tcW w:w="780" w:type="dxa"/>
            <w:vAlign w:val="center"/>
          </w:tcPr>
          <w:p w14:paraId="7FC4E7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Times New Roman"/>
                <w:color w:val="auto"/>
                <w:kern w:val="0"/>
                <w:sz w:val="24"/>
                <w:szCs w:val="24"/>
                <w:highlight w:val="none"/>
                <w:lang w:val="en-US" w:eastAsia="zh-CN"/>
              </w:rPr>
            </w:pPr>
            <w:r>
              <w:rPr>
                <w:rFonts w:hint="eastAsia" w:ascii="宋体" w:hAnsi="宋体" w:cs="Times New Roman"/>
                <w:color w:val="auto"/>
                <w:kern w:val="0"/>
                <w:sz w:val="24"/>
                <w:szCs w:val="24"/>
                <w:highlight w:val="none"/>
                <w:lang w:val="en-US" w:eastAsia="zh-CN"/>
              </w:rPr>
              <w:t>3</w:t>
            </w:r>
          </w:p>
        </w:tc>
        <w:tc>
          <w:tcPr>
            <w:tcW w:w="6742" w:type="dxa"/>
            <w:vAlign w:val="center"/>
          </w:tcPr>
          <w:p w14:paraId="7F376099">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kern w:val="0"/>
                <w:sz w:val="24"/>
                <w:szCs w:val="24"/>
                <w:highlight w:val="none"/>
                <w:lang w:val="en-US" w:eastAsia="zh-Hans"/>
              </w:rPr>
            </w:pPr>
            <w:r>
              <w:rPr>
                <w:rFonts w:hint="eastAsia" w:ascii="宋体" w:hAnsi="宋体" w:eastAsia="宋体" w:cs="宋体"/>
                <w:color w:val="auto"/>
                <w:kern w:val="0"/>
                <w:sz w:val="24"/>
                <w:szCs w:val="24"/>
                <w:highlight w:val="none"/>
                <w:lang w:bidi="ar"/>
              </w:rPr>
              <w:t>根据投标人提供的食品安全卫生控制预防实施方案及师生满意率低于80%的落实整改方案，由评委进行评议：</w:t>
            </w:r>
            <w:r>
              <w:rPr>
                <w:rFonts w:hint="eastAsia" w:ascii="宋体" w:hAnsi="宋体" w:eastAsia="宋体" w:cs="宋体"/>
                <w:color w:val="auto"/>
                <w:sz w:val="24"/>
                <w:szCs w:val="24"/>
                <w:highlight w:val="none"/>
              </w:rPr>
              <w:t>方案规范合理且切合实际的得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分；方案说明基本全面合理满足需求的得</w:t>
            </w: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highlight w:val="none"/>
              </w:rPr>
              <w:t>分；方案说明部分满足需要求的得</w:t>
            </w:r>
            <w:r>
              <w:rPr>
                <w:rFonts w:hint="eastAsia" w:ascii="宋体" w:hAnsi="宋体" w:eastAsia="宋体" w:cs="宋体"/>
                <w:color w:val="auto"/>
                <w:sz w:val="24"/>
                <w:szCs w:val="24"/>
                <w:highlight w:val="none"/>
                <w:lang w:val="en-US" w:eastAsia="zh-CN"/>
              </w:rPr>
              <w:t>2.7</w:t>
            </w:r>
            <w:r>
              <w:rPr>
                <w:rFonts w:hint="eastAsia" w:ascii="宋体" w:hAnsi="宋体" w:eastAsia="宋体" w:cs="宋体"/>
                <w:color w:val="auto"/>
                <w:sz w:val="24"/>
                <w:szCs w:val="24"/>
                <w:highlight w:val="none"/>
              </w:rPr>
              <w:t>分；方案不完整或未提供的本项不得分。</w:t>
            </w:r>
          </w:p>
        </w:tc>
      </w:tr>
      <w:tr w14:paraId="5C27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666" w:type="dxa"/>
            <w:vAlign w:val="center"/>
          </w:tcPr>
          <w:p w14:paraId="30D34E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rPr>
                <w:rFonts w:hint="eastAsia" w:ascii="宋体" w:hAnsi="宋体" w:eastAsia="宋体" w:cs="Times New Roman"/>
                <w:color w:val="auto"/>
                <w:kern w:val="0"/>
                <w:sz w:val="24"/>
                <w:szCs w:val="24"/>
                <w:highlight w:val="none"/>
                <w:lang w:val="en-US" w:eastAsia="zh-Hans"/>
              </w:rPr>
            </w:pPr>
            <w:r>
              <w:rPr>
                <w:rFonts w:hint="eastAsia" w:ascii="宋体" w:hAnsi="宋体" w:eastAsia="宋体" w:cs="宋体"/>
                <w:color w:val="auto"/>
                <w:kern w:val="0"/>
                <w:sz w:val="24"/>
                <w:szCs w:val="24"/>
                <w:highlight w:val="none"/>
                <w:lang w:bidi="ar"/>
              </w:rPr>
              <w:t>设备和设施维护、保养、修复、保全的详细计划</w:t>
            </w:r>
          </w:p>
        </w:tc>
        <w:tc>
          <w:tcPr>
            <w:tcW w:w="780" w:type="dxa"/>
            <w:vAlign w:val="center"/>
          </w:tcPr>
          <w:p w14:paraId="430902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Times New Roman"/>
                <w:color w:val="auto"/>
                <w:kern w:val="0"/>
                <w:sz w:val="24"/>
                <w:szCs w:val="24"/>
                <w:highlight w:val="none"/>
                <w:lang w:val="en-US" w:eastAsia="zh-CN"/>
              </w:rPr>
            </w:pPr>
            <w:r>
              <w:rPr>
                <w:rFonts w:hint="eastAsia" w:ascii="宋体" w:hAnsi="宋体" w:cs="Times New Roman"/>
                <w:color w:val="auto"/>
                <w:kern w:val="0"/>
                <w:sz w:val="24"/>
                <w:szCs w:val="24"/>
                <w:highlight w:val="none"/>
                <w:lang w:val="en-US" w:eastAsia="zh-CN"/>
              </w:rPr>
              <w:t>3</w:t>
            </w:r>
          </w:p>
        </w:tc>
        <w:tc>
          <w:tcPr>
            <w:tcW w:w="6742" w:type="dxa"/>
            <w:vAlign w:val="center"/>
          </w:tcPr>
          <w:p w14:paraId="43F50EE2">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kern w:val="0"/>
                <w:sz w:val="24"/>
                <w:szCs w:val="24"/>
                <w:highlight w:val="none"/>
                <w:lang w:val="en-US" w:eastAsia="zh-Hans"/>
              </w:rPr>
            </w:pPr>
            <w:r>
              <w:rPr>
                <w:rFonts w:hint="eastAsia" w:ascii="宋体" w:hAnsi="宋体" w:eastAsia="宋体" w:cs="宋体"/>
                <w:color w:val="auto"/>
                <w:kern w:val="0"/>
                <w:sz w:val="24"/>
                <w:szCs w:val="24"/>
                <w:highlight w:val="none"/>
                <w:lang w:bidi="ar"/>
              </w:rPr>
              <w:t>根据投标人提供对现有设备和设施维护、保养、修复、保全的详细计划，现场操作场所按6T管理（天天处理、天天整合、天天清扫、天天规范、天天检查、 天天改进）情况，由评委进行评议：计划详细具体可行性高的得</w:t>
            </w:r>
            <w:r>
              <w:rPr>
                <w:rFonts w:hint="eastAsia" w:ascii="宋体" w:hAnsi="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分，计划基本可行，但不够全面的得</w:t>
            </w:r>
            <w:r>
              <w:rPr>
                <w:rFonts w:hint="eastAsia" w:ascii="宋体"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en-US" w:eastAsia="zh-CN" w:bidi="ar"/>
              </w:rPr>
              <w:t>.8</w:t>
            </w:r>
            <w:r>
              <w:rPr>
                <w:rFonts w:hint="eastAsia" w:ascii="宋体" w:hAnsi="宋体" w:eastAsia="宋体" w:cs="宋体"/>
                <w:color w:val="auto"/>
                <w:kern w:val="0"/>
                <w:sz w:val="24"/>
                <w:szCs w:val="24"/>
                <w:highlight w:val="none"/>
                <w:lang w:bidi="ar"/>
              </w:rPr>
              <w:t>分，计划可行性</w:t>
            </w:r>
            <w:r>
              <w:rPr>
                <w:rFonts w:hint="eastAsia" w:ascii="宋体" w:hAnsi="宋体" w:eastAsia="宋体" w:cs="宋体"/>
                <w:color w:val="auto"/>
                <w:kern w:val="0"/>
                <w:sz w:val="24"/>
                <w:szCs w:val="24"/>
                <w:highlight w:val="none"/>
                <w:lang w:val="en-US" w:eastAsia="zh-CN" w:bidi="ar"/>
              </w:rPr>
              <w:t>有缺漏但能部分满足实施</w:t>
            </w:r>
            <w:r>
              <w:rPr>
                <w:rFonts w:hint="eastAsia" w:ascii="宋体" w:hAnsi="宋体" w:eastAsia="宋体" w:cs="宋体"/>
                <w:color w:val="auto"/>
                <w:kern w:val="0"/>
                <w:sz w:val="24"/>
                <w:szCs w:val="24"/>
                <w:highlight w:val="none"/>
                <w:lang w:bidi="ar"/>
              </w:rPr>
              <w:t>的得</w:t>
            </w:r>
            <w:r>
              <w:rPr>
                <w:rFonts w:hint="eastAsia" w:ascii="宋体"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en-US" w:eastAsia="zh-CN" w:bidi="ar"/>
              </w:rPr>
              <w:t>.7</w:t>
            </w:r>
            <w:r>
              <w:rPr>
                <w:rFonts w:hint="eastAsia" w:ascii="宋体" w:hAnsi="宋体" w:eastAsia="宋体" w:cs="宋体"/>
                <w:color w:val="auto"/>
                <w:kern w:val="0"/>
                <w:sz w:val="24"/>
                <w:szCs w:val="24"/>
                <w:highlight w:val="none"/>
                <w:lang w:bidi="ar"/>
              </w:rPr>
              <w:t>分，没有应答或未提供的不得分。</w:t>
            </w:r>
          </w:p>
        </w:tc>
      </w:tr>
      <w:tr w14:paraId="2AE35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666" w:type="dxa"/>
            <w:vAlign w:val="center"/>
          </w:tcPr>
          <w:p w14:paraId="5CAAE4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rPr>
                <w:rFonts w:hint="eastAsia" w:ascii="宋体" w:hAnsi="宋体" w:eastAsia="宋体" w:cs="Times New Roman"/>
                <w:color w:val="auto"/>
                <w:kern w:val="0"/>
                <w:sz w:val="24"/>
                <w:szCs w:val="24"/>
                <w:highlight w:val="none"/>
                <w:lang w:val="en-US" w:eastAsia="zh-Hans"/>
              </w:rPr>
            </w:pPr>
            <w:r>
              <w:rPr>
                <w:rFonts w:hint="eastAsia" w:ascii="宋体" w:hAnsi="宋体" w:eastAsia="宋体" w:cs="宋体"/>
                <w:color w:val="auto"/>
                <w:kern w:val="0"/>
                <w:sz w:val="24"/>
                <w:szCs w:val="24"/>
                <w:highlight w:val="none"/>
                <w:lang w:bidi="ar"/>
              </w:rPr>
              <w:t>服务优势与成本控制方案</w:t>
            </w:r>
          </w:p>
        </w:tc>
        <w:tc>
          <w:tcPr>
            <w:tcW w:w="780" w:type="dxa"/>
            <w:vAlign w:val="center"/>
          </w:tcPr>
          <w:p w14:paraId="58DBE1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Times New Roman"/>
                <w:color w:val="auto"/>
                <w:kern w:val="0"/>
                <w:sz w:val="24"/>
                <w:szCs w:val="24"/>
                <w:highlight w:val="none"/>
                <w:lang w:val="en-US" w:eastAsia="zh-CN"/>
              </w:rPr>
            </w:pPr>
            <w:r>
              <w:rPr>
                <w:rFonts w:hint="eastAsia" w:ascii="宋体" w:hAnsi="宋体" w:cs="Times New Roman"/>
                <w:color w:val="auto"/>
                <w:kern w:val="0"/>
                <w:sz w:val="24"/>
                <w:szCs w:val="24"/>
                <w:highlight w:val="none"/>
                <w:lang w:val="en-US" w:eastAsia="zh-CN"/>
              </w:rPr>
              <w:t>3</w:t>
            </w:r>
          </w:p>
        </w:tc>
        <w:tc>
          <w:tcPr>
            <w:tcW w:w="6742" w:type="dxa"/>
            <w:vAlign w:val="center"/>
          </w:tcPr>
          <w:p w14:paraId="3AD86D8C">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kern w:val="0"/>
                <w:sz w:val="24"/>
                <w:szCs w:val="24"/>
                <w:highlight w:val="none"/>
                <w:lang w:val="en-US" w:eastAsia="zh-Hans"/>
              </w:rPr>
            </w:pPr>
            <w:r>
              <w:rPr>
                <w:rFonts w:hint="eastAsia" w:ascii="宋体" w:hAnsi="宋体" w:eastAsia="宋体" w:cs="宋体"/>
                <w:color w:val="auto"/>
                <w:kern w:val="0"/>
                <w:sz w:val="24"/>
                <w:szCs w:val="24"/>
                <w:highlight w:val="none"/>
                <w:lang w:bidi="ar"/>
              </w:rPr>
              <w:t>根据投标人在采购人预算内，面对日益高涨的物价为了确能保证饭菜质量所提供的服务优势与成本控制方案，由评委进行评议：</w:t>
            </w:r>
            <w:r>
              <w:rPr>
                <w:rFonts w:hint="eastAsia" w:ascii="宋体" w:hAnsi="宋体" w:eastAsia="宋体" w:cs="宋体"/>
                <w:color w:val="auto"/>
                <w:sz w:val="24"/>
                <w:szCs w:val="24"/>
                <w:highlight w:val="none"/>
              </w:rPr>
              <w:t>方案规范合理且切合实际的得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分；方案说明基本全面合理满足需求的得</w:t>
            </w: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highlight w:val="none"/>
              </w:rPr>
              <w:t>分；方案说明部分满足需要求的得</w:t>
            </w:r>
            <w:r>
              <w:rPr>
                <w:rFonts w:hint="eastAsia" w:ascii="宋体" w:hAnsi="宋体" w:eastAsia="宋体" w:cs="宋体"/>
                <w:color w:val="auto"/>
                <w:sz w:val="24"/>
                <w:szCs w:val="24"/>
                <w:highlight w:val="none"/>
                <w:lang w:val="en-US" w:eastAsia="zh-CN"/>
              </w:rPr>
              <w:t>2.7</w:t>
            </w:r>
            <w:r>
              <w:rPr>
                <w:rFonts w:hint="eastAsia" w:ascii="宋体" w:hAnsi="宋体" w:eastAsia="宋体" w:cs="宋体"/>
                <w:color w:val="auto"/>
                <w:sz w:val="24"/>
                <w:szCs w:val="24"/>
                <w:highlight w:val="none"/>
              </w:rPr>
              <w:t>分；方案不完整或未提供的本项不得分。</w:t>
            </w:r>
          </w:p>
        </w:tc>
      </w:tr>
      <w:tr w14:paraId="43468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666" w:type="dxa"/>
            <w:vAlign w:val="center"/>
          </w:tcPr>
          <w:p w14:paraId="1158C6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rPr>
                <w:rFonts w:hint="eastAsia" w:ascii="宋体" w:hAnsi="宋体" w:eastAsia="宋体" w:cs="Times New Roman"/>
                <w:color w:val="auto"/>
                <w:kern w:val="0"/>
                <w:sz w:val="24"/>
                <w:szCs w:val="24"/>
                <w:highlight w:val="none"/>
                <w:lang w:val="en-US" w:eastAsia="zh-CN"/>
              </w:rPr>
            </w:pPr>
            <w:r>
              <w:rPr>
                <w:rFonts w:hint="eastAsia" w:ascii="宋体" w:hAnsi="宋体" w:eastAsia="宋体" w:cs="宋体"/>
                <w:color w:val="auto"/>
                <w:kern w:val="0"/>
                <w:sz w:val="24"/>
                <w:szCs w:val="24"/>
                <w:highlight w:val="none"/>
                <w:lang w:bidi="ar"/>
              </w:rPr>
              <w:t>人员配备数量、岗位细分表及管理方案</w:t>
            </w:r>
          </w:p>
        </w:tc>
        <w:tc>
          <w:tcPr>
            <w:tcW w:w="780" w:type="dxa"/>
            <w:vAlign w:val="center"/>
          </w:tcPr>
          <w:p w14:paraId="4A658F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宋体" w:hAnsi="宋体" w:eastAsia="宋体" w:cs="Times New Roman"/>
                <w:color w:val="auto"/>
                <w:kern w:val="0"/>
                <w:sz w:val="24"/>
                <w:szCs w:val="24"/>
                <w:highlight w:val="none"/>
                <w:lang w:val="en-US" w:eastAsia="zh-CN"/>
              </w:rPr>
            </w:pPr>
            <w:r>
              <w:rPr>
                <w:rFonts w:hint="eastAsia" w:ascii="宋体" w:hAnsi="宋体" w:cs="Times New Roman"/>
                <w:color w:val="auto"/>
                <w:kern w:val="0"/>
                <w:sz w:val="24"/>
                <w:szCs w:val="24"/>
                <w:highlight w:val="none"/>
                <w:lang w:val="en-US" w:eastAsia="zh-CN"/>
              </w:rPr>
              <w:t>3</w:t>
            </w:r>
          </w:p>
        </w:tc>
        <w:tc>
          <w:tcPr>
            <w:tcW w:w="6742" w:type="dxa"/>
            <w:vAlign w:val="center"/>
          </w:tcPr>
          <w:p w14:paraId="3371FE9A">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bidi="ar"/>
              </w:rPr>
              <w:t>根据投标人结合食堂的平面布局和功能需求，提供针对本项目提供人员配备数量、岗位细分表及管理方案，由评委进行评议：</w:t>
            </w:r>
            <w:r>
              <w:rPr>
                <w:rFonts w:hint="eastAsia" w:ascii="宋体" w:hAnsi="宋体" w:eastAsia="宋体" w:cs="宋体"/>
                <w:color w:val="auto"/>
                <w:sz w:val="24"/>
                <w:szCs w:val="24"/>
                <w:highlight w:val="none"/>
              </w:rPr>
              <w:t>方案规范合理且切合实际的得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分；方案说明基本全面合理满足需求的得</w:t>
            </w: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highlight w:val="none"/>
              </w:rPr>
              <w:t>分；方案说明部分满足需要求的得</w:t>
            </w:r>
            <w:r>
              <w:rPr>
                <w:rFonts w:hint="eastAsia" w:ascii="宋体" w:hAnsi="宋体" w:eastAsia="宋体" w:cs="宋体"/>
                <w:color w:val="auto"/>
                <w:sz w:val="24"/>
                <w:szCs w:val="24"/>
                <w:highlight w:val="none"/>
                <w:lang w:val="en-US" w:eastAsia="zh-CN"/>
              </w:rPr>
              <w:t>2.7</w:t>
            </w:r>
            <w:r>
              <w:rPr>
                <w:rFonts w:hint="eastAsia" w:ascii="宋体" w:hAnsi="宋体" w:eastAsia="宋体" w:cs="宋体"/>
                <w:color w:val="auto"/>
                <w:sz w:val="24"/>
                <w:szCs w:val="24"/>
                <w:highlight w:val="none"/>
              </w:rPr>
              <w:t>分；方案不完整或未提供的本项不得分。</w:t>
            </w:r>
          </w:p>
        </w:tc>
      </w:tr>
      <w:tr w14:paraId="72375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666" w:type="dxa"/>
            <w:vAlign w:val="center"/>
          </w:tcPr>
          <w:p w14:paraId="37CAD8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rPr>
                <w:rFonts w:hint="eastAsia" w:ascii="宋体" w:hAnsi="宋体" w:eastAsia="宋体" w:cs="Times New Roman"/>
                <w:color w:val="auto"/>
                <w:kern w:val="0"/>
                <w:sz w:val="24"/>
                <w:szCs w:val="24"/>
                <w:highlight w:val="none"/>
                <w:lang w:val="en-US" w:eastAsia="zh-CN"/>
              </w:rPr>
            </w:pPr>
            <w:r>
              <w:rPr>
                <w:rFonts w:hint="eastAsia" w:ascii="宋体" w:hAnsi="宋体" w:eastAsia="宋体" w:cs="宋体"/>
                <w:color w:val="auto"/>
                <w:kern w:val="0"/>
                <w:sz w:val="24"/>
                <w:szCs w:val="24"/>
                <w:highlight w:val="none"/>
                <w:lang w:bidi="ar"/>
              </w:rPr>
              <w:t>控制方案</w:t>
            </w:r>
          </w:p>
        </w:tc>
        <w:tc>
          <w:tcPr>
            <w:tcW w:w="780" w:type="dxa"/>
            <w:vAlign w:val="center"/>
          </w:tcPr>
          <w:p w14:paraId="3FCF18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宋体" w:hAnsi="宋体" w:eastAsia="宋体" w:cs="Times New Roman"/>
                <w:color w:val="auto"/>
                <w:kern w:val="0"/>
                <w:sz w:val="24"/>
                <w:szCs w:val="24"/>
                <w:highlight w:val="none"/>
                <w:lang w:val="en-US" w:eastAsia="zh-CN"/>
              </w:rPr>
            </w:pPr>
            <w:r>
              <w:rPr>
                <w:rFonts w:hint="eastAsia" w:ascii="宋体" w:hAnsi="宋体" w:cs="Times New Roman"/>
                <w:color w:val="auto"/>
                <w:kern w:val="0"/>
                <w:sz w:val="24"/>
                <w:szCs w:val="24"/>
                <w:highlight w:val="none"/>
                <w:lang w:val="en-US" w:eastAsia="zh-CN"/>
              </w:rPr>
              <w:t>3</w:t>
            </w:r>
          </w:p>
        </w:tc>
        <w:tc>
          <w:tcPr>
            <w:tcW w:w="6742" w:type="dxa"/>
            <w:vAlign w:val="center"/>
          </w:tcPr>
          <w:p w14:paraId="70184ACE">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bidi="ar"/>
              </w:rPr>
              <w:t>根据投标人结合食堂的平面布局和功能需求，提供针对本项目提供原材料管理、食品储存、卫生管理、服务质量控制方案，由评委进行评议：</w:t>
            </w:r>
            <w:r>
              <w:rPr>
                <w:rFonts w:hint="eastAsia" w:ascii="Calibri" w:hAnsi="Calibri" w:eastAsia="宋体" w:cs="Times New Roman"/>
                <w:color w:val="auto"/>
                <w:sz w:val="24"/>
                <w:szCs w:val="24"/>
                <w:highlight w:val="none"/>
                <w:lang w:val="en-US" w:eastAsia="zh-Hans"/>
              </w:rPr>
              <w:t>提供的方案包含以上全部要点、内容与要点相符、内容详实、各要点内容之间关联性强，逻辑清晰，且按现有客观实际情况可以有效实施的得3分；提供的方案包含以上全部要点、内容与要点相符，但仅有纲要内容简略，未展开阐述的得</w:t>
            </w:r>
            <w:r>
              <w:rPr>
                <w:rFonts w:hint="eastAsia" w:ascii="Calibri" w:hAnsi="Calibri" w:eastAsia="宋体" w:cs="Times New Roman"/>
                <w:color w:val="auto"/>
                <w:sz w:val="24"/>
                <w:szCs w:val="24"/>
                <w:highlight w:val="none"/>
                <w:lang w:val="en-US" w:eastAsia="zh-CN"/>
              </w:rPr>
              <w:t>2.8</w:t>
            </w:r>
            <w:r>
              <w:rPr>
                <w:rFonts w:hint="eastAsia" w:ascii="Calibri" w:hAnsi="Calibri" w:eastAsia="宋体" w:cs="Times New Roman"/>
                <w:color w:val="auto"/>
                <w:sz w:val="24"/>
                <w:szCs w:val="24"/>
                <w:highlight w:val="none"/>
                <w:lang w:val="en-US" w:eastAsia="zh-Hans"/>
              </w:rPr>
              <w:t>分；方案所包含的要点有缺漏的得</w:t>
            </w:r>
            <w:r>
              <w:rPr>
                <w:rFonts w:hint="eastAsia" w:ascii="Calibri" w:hAnsi="Calibri" w:eastAsia="宋体" w:cs="Times New Roman"/>
                <w:color w:val="auto"/>
                <w:sz w:val="24"/>
                <w:szCs w:val="24"/>
                <w:highlight w:val="none"/>
                <w:lang w:val="en-US" w:eastAsia="zh-CN"/>
              </w:rPr>
              <w:t>2.7</w:t>
            </w:r>
            <w:r>
              <w:rPr>
                <w:rFonts w:hint="eastAsia" w:ascii="Calibri" w:hAnsi="Calibri" w:eastAsia="宋体" w:cs="Times New Roman"/>
                <w:color w:val="auto"/>
                <w:sz w:val="24"/>
                <w:szCs w:val="24"/>
                <w:highlight w:val="none"/>
                <w:lang w:val="en-US" w:eastAsia="zh-Hans"/>
              </w:rPr>
              <w:t>分；未提供或内容存在错误的不得分。</w:t>
            </w:r>
          </w:p>
        </w:tc>
      </w:tr>
      <w:tr w14:paraId="7940A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666" w:type="dxa"/>
            <w:vAlign w:val="center"/>
          </w:tcPr>
          <w:p w14:paraId="35946A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rPr>
                <w:rFonts w:hint="eastAsia" w:ascii="宋体" w:hAnsi="宋体" w:eastAsia="宋体" w:cs="Times New Roman"/>
                <w:color w:val="auto"/>
                <w:kern w:val="0"/>
                <w:sz w:val="24"/>
                <w:szCs w:val="24"/>
                <w:highlight w:val="none"/>
                <w:lang w:val="en-US" w:eastAsia="zh-CN"/>
              </w:rPr>
            </w:pPr>
            <w:r>
              <w:rPr>
                <w:rFonts w:hint="eastAsia" w:ascii="宋体" w:hAnsi="宋体" w:eastAsia="宋体" w:cs="宋体"/>
                <w:color w:val="auto"/>
                <w:kern w:val="0"/>
                <w:sz w:val="24"/>
                <w:szCs w:val="24"/>
                <w:highlight w:val="none"/>
                <w:lang w:bidi="ar"/>
              </w:rPr>
              <w:t>食品留样</w:t>
            </w:r>
            <w:r>
              <w:rPr>
                <w:rFonts w:hint="eastAsia" w:ascii="宋体" w:hAnsi="宋体" w:eastAsia="宋体" w:cs="宋体"/>
                <w:color w:val="auto"/>
                <w:kern w:val="0"/>
                <w:sz w:val="24"/>
                <w:szCs w:val="24"/>
                <w:highlight w:val="none"/>
                <w:lang w:val="en-US" w:eastAsia="zh-CN" w:bidi="ar"/>
              </w:rPr>
              <w:t>控制方案</w:t>
            </w:r>
          </w:p>
        </w:tc>
        <w:tc>
          <w:tcPr>
            <w:tcW w:w="780" w:type="dxa"/>
            <w:vAlign w:val="center"/>
          </w:tcPr>
          <w:p w14:paraId="08FFEC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宋体" w:hAnsi="宋体" w:eastAsia="宋体" w:cs="Times New Roman"/>
                <w:color w:val="auto"/>
                <w:kern w:val="0"/>
                <w:sz w:val="24"/>
                <w:szCs w:val="24"/>
                <w:highlight w:val="none"/>
                <w:lang w:val="en-US" w:eastAsia="zh-CN"/>
              </w:rPr>
            </w:pPr>
            <w:r>
              <w:rPr>
                <w:rFonts w:hint="eastAsia" w:ascii="宋体" w:hAnsi="宋体" w:cs="Times New Roman"/>
                <w:color w:val="auto"/>
                <w:kern w:val="0"/>
                <w:sz w:val="24"/>
                <w:szCs w:val="24"/>
                <w:highlight w:val="none"/>
                <w:lang w:val="en-US" w:eastAsia="zh-CN"/>
              </w:rPr>
              <w:t>3</w:t>
            </w:r>
          </w:p>
        </w:tc>
        <w:tc>
          <w:tcPr>
            <w:tcW w:w="6742" w:type="dxa"/>
            <w:vAlign w:val="center"/>
          </w:tcPr>
          <w:p w14:paraId="7B127F67">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bidi="ar"/>
              </w:rPr>
              <w:t>根据投标人对食品留样的具体办法进行评分，由评委进行评议：</w:t>
            </w:r>
            <w:r>
              <w:rPr>
                <w:rFonts w:hint="eastAsia" w:ascii="宋体" w:hAnsi="宋体" w:eastAsia="宋体" w:cs="宋体"/>
                <w:color w:val="auto"/>
                <w:sz w:val="24"/>
                <w:szCs w:val="24"/>
                <w:highlight w:val="none"/>
              </w:rPr>
              <w:t>方案规范合理且切合实际的得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分；方案说明基本全面合理满足需求的得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分；方案说明部分满足需要求的得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分；方案不完整或未提供的本项不得分。</w:t>
            </w:r>
          </w:p>
        </w:tc>
      </w:tr>
      <w:tr w14:paraId="2779F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666" w:type="dxa"/>
            <w:vAlign w:val="center"/>
          </w:tcPr>
          <w:p w14:paraId="669125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rPr>
                <w:rFonts w:hint="eastAsia" w:ascii="宋体" w:hAnsi="宋体" w:eastAsia="宋体" w:cs="Times New Roman"/>
                <w:color w:val="auto"/>
                <w:kern w:val="0"/>
                <w:sz w:val="24"/>
                <w:szCs w:val="24"/>
                <w:highlight w:val="none"/>
                <w:lang w:val="en-US" w:eastAsia="zh-CN"/>
              </w:rPr>
            </w:pPr>
            <w:r>
              <w:rPr>
                <w:rFonts w:hint="eastAsia" w:ascii="宋体" w:hAnsi="宋体" w:eastAsia="宋体" w:cs="宋体"/>
                <w:color w:val="auto"/>
                <w:kern w:val="0"/>
                <w:sz w:val="24"/>
                <w:szCs w:val="24"/>
                <w:highlight w:val="none"/>
                <w:lang w:bidi="ar"/>
              </w:rPr>
              <w:t>仓库进出管理制度</w:t>
            </w:r>
          </w:p>
        </w:tc>
        <w:tc>
          <w:tcPr>
            <w:tcW w:w="780" w:type="dxa"/>
            <w:vAlign w:val="center"/>
          </w:tcPr>
          <w:p w14:paraId="4A8BD0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宋体" w:hAnsi="宋体" w:eastAsia="宋体" w:cs="Times New Roman"/>
                <w:color w:val="auto"/>
                <w:kern w:val="0"/>
                <w:sz w:val="24"/>
                <w:szCs w:val="24"/>
                <w:highlight w:val="none"/>
                <w:lang w:val="en-US" w:eastAsia="zh-CN"/>
              </w:rPr>
            </w:pPr>
            <w:r>
              <w:rPr>
                <w:rFonts w:hint="eastAsia" w:ascii="宋体" w:hAnsi="宋体" w:cs="Times New Roman"/>
                <w:color w:val="auto"/>
                <w:kern w:val="0"/>
                <w:sz w:val="24"/>
                <w:szCs w:val="24"/>
                <w:highlight w:val="none"/>
                <w:lang w:val="en-US" w:eastAsia="zh-CN"/>
              </w:rPr>
              <w:t>3</w:t>
            </w:r>
          </w:p>
        </w:tc>
        <w:tc>
          <w:tcPr>
            <w:tcW w:w="6742" w:type="dxa"/>
            <w:vAlign w:val="center"/>
          </w:tcPr>
          <w:p w14:paraId="1B212DB5">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bidi="ar"/>
              </w:rPr>
              <w:t>根据投标人所提供的仓库进出管理制度是否齐全、合理是否等情况（含登记出入账，仓库盘点等）进行评议：</w:t>
            </w:r>
            <w:r>
              <w:rPr>
                <w:rFonts w:hint="eastAsia" w:ascii="Calibri" w:hAnsi="Calibri" w:eastAsia="宋体" w:cs="Times New Roman"/>
                <w:color w:val="auto"/>
                <w:sz w:val="24"/>
                <w:szCs w:val="24"/>
                <w:highlight w:val="none"/>
                <w:lang w:val="en-US" w:eastAsia="zh-Hans"/>
              </w:rPr>
              <w:t>提供的方案包含以上全部要点、内容与要点相符、内容详实、各要点内容之间关联性强，逻辑清晰，且按现有客观实际情况可以有效实施的得3分；提供的方案包含以上全部要点、内容与要点相符，但仅有纲要内容简略，未展开阐述的得</w:t>
            </w:r>
            <w:r>
              <w:rPr>
                <w:rFonts w:hint="eastAsia" w:ascii="Calibri" w:hAnsi="Calibri" w:eastAsia="宋体" w:cs="Times New Roman"/>
                <w:color w:val="auto"/>
                <w:sz w:val="24"/>
                <w:szCs w:val="24"/>
                <w:highlight w:val="none"/>
                <w:lang w:val="en-US" w:eastAsia="zh-CN"/>
              </w:rPr>
              <w:t>2.8</w:t>
            </w:r>
            <w:r>
              <w:rPr>
                <w:rFonts w:hint="eastAsia" w:ascii="Calibri" w:hAnsi="Calibri" w:eastAsia="宋体" w:cs="Times New Roman"/>
                <w:color w:val="auto"/>
                <w:sz w:val="24"/>
                <w:szCs w:val="24"/>
                <w:highlight w:val="none"/>
                <w:lang w:val="en-US" w:eastAsia="zh-Hans"/>
              </w:rPr>
              <w:t>分；方案所包含的要点有缺漏的得</w:t>
            </w:r>
            <w:r>
              <w:rPr>
                <w:rFonts w:hint="eastAsia" w:ascii="Calibri" w:hAnsi="Calibri" w:eastAsia="宋体" w:cs="Times New Roman"/>
                <w:color w:val="auto"/>
                <w:sz w:val="24"/>
                <w:szCs w:val="24"/>
                <w:highlight w:val="none"/>
                <w:lang w:val="en-US" w:eastAsia="zh-CN"/>
              </w:rPr>
              <w:t>2.7</w:t>
            </w:r>
            <w:r>
              <w:rPr>
                <w:rFonts w:hint="eastAsia" w:ascii="Calibri" w:hAnsi="Calibri" w:eastAsia="宋体" w:cs="Times New Roman"/>
                <w:color w:val="auto"/>
                <w:sz w:val="24"/>
                <w:szCs w:val="24"/>
                <w:highlight w:val="none"/>
                <w:lang w:val="en-US" w:eastAsia="zh-Hans"/>
              </w:rPr>
              <w:t>分；未提供或内容存在错误的不得分。</w:t>
            </w:r>
          </w:p>
        </w:tc>
      </w:tr>
      <w:tr w14:paraId="012A3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trPr>
        <w:tc>
          <w:tcPr>
            <w:tcW w:w="1666" w:type="dxa"/>
            <w:vAlign w:val="center"/>
          </w:tcPr>
          <w:p w14:paraId="0B249D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bidi="ar"/>
              </w:rPr>
              <w:t>应急预备方案</w:t>
            </w:r>
          </w:p>
        </w:tc>
        <w:tc>
          <w:tcPr>
            <w:tcW w:w="780" w:type="dxa"/>
            <w:vAlign w:val="center"/>
          </w:tcPr>
          <w:p w14:paraId="7C2EBD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3</w:t>
            </w:r>
          </w:p>
        </w:tc>
        <w:tc>
          <w:tcPr>
            <w:tcW w:w="6742" w:type="dxa"/>
            <w:vAlign w:val="center"/>
          </w:tcPr>
          <w:p w14:paraId="611DE0F5">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bidi="ar"/>
              </w:rPr>
              <w:t>根据投标人所提供的在遇到各类突发事件（自然灾害、停水、停电、疫情防控、食物中毒、投诉等）、法定节假日、春节期间、视察评比等情况下的应急预备方案情况，由评标委员会进行评议并评分：</w:t>
            </w:r>
            <w:r>
              <w:rPr>
                <w:rFonts w:hint="eastAsia" w:ascii="宋体" w:hAnsi="宋体" w:eastAsia="宋体" w:cs="宋体"/>
                <w:color w:val="auto"/>
                <w:sz w:val="24"/>
                <w:szCs w:val="24"/>
                <w:highlight w:val="none"/>
                <w:lang w:val="en-US" w:eastAsia="zh-Hans"/>
              </w:rPr>
              <w:t>提供的方案包含以上全部要点、内容与要点相符、内容详实、各要点内容之间关联性强，逻辑清晰，且按现有客观实际情况可以有效实施的得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Hans"/>
              </w:rPr>
              <w:t>分；提供的方案包含以上全部要点、内容与要点相符，但仅有纲要内容简略，未展开阐述的得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Hans"/>
              </w:rPr>
              <w:t>分；方案所包含的要点有缺漏的得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Hans"/>
              </w:rPr>
              <w:t>分；未提供或内容存在错误的不得分。</w:t>
            </w:r>
          </w:p>
        </w:tc>
      </w:tr>
      <w:tr w14:paraId="04C62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trPr>
        <w:tc>
          <w:tcPr>
            <w:tcW w:w="1666" w:type="dxa"/>
            <w:vAlign w:val="center"/>
          </w:tcPr>
          <w:p w14:paraId="1B3C30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项目经理</w:t>
            </w:r>
          </w:p>
        </w:tc>
        <w:tc>
          <w:tcPr>
            <w:tcW w:w="780" w:type="dxa"/>
            <w:vAlign w:val="center"/>
          </w:tcPr>
          <w:p w14:paraId="20FFB1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rPr>
                <w:rFonts w:hint="eastAsia" w:ascii="宋体" w:hAnsi="宋体" w:cs="宋体"/>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rPr>
              <w:t>2</w:t>
            </w:r>
          </w:p>
        </w:tc>
        <w:tc>
          <w:tcPr>
            <w:tcW w:w="6742" w:type="dxa"/>
            <w:vAlign w:val="center"/>
          </w:tcPr>
          <w:p w14:paraId="4809FD82">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投标人拟派遣的项目经理服务经验：（1）项目经理具有餐饮职业经理人培训相关证书的得1分；（2）项目经理具有政府部门、企事业单位食堂服务两年（含）以上管理经验的得1分。满分2分，须提供相关食堂服务合同复印件（应能体现服务时间及项目经理名字，如合同中未有体现的，还应提供该项目采购人盖章确认以上内容的证明文件复印件）以及投标人为该人员缴交的</w:t>
            </w:r>
            <w:r>
              <w:rPr>
                <w:rFonts w:hint="eastAsia" w:ascii="宋体" w:hAnsi="宋体" w:eastAsia="宋体" w:cs="宋体"/>
                <w:color w:val="auto"/>
                <w:kern w:val="0"/>
                <w:sz w:val="24"/>
                <w:szCs w:val="24"/>
                <w:highlight w:val="none"/>
              </w:rPr>
              <w:t>投标截止时间前六个月（不含投标截止时间的当月）中任一月份的社会保险凭据复印件</w:t>
            </w:r>
            <w:r>
              <w:rPr>
                <w:rFonts w:hint="eastAsia" w:ascii="宋体" w:hAnsi="宋体" w:eastAsia="宋体" w:cs="宋体"/>
                <w:color w:val="auto"/>
                <w:kern w:val="0"/>
                <w:sz w:val="24"/>
                <w:szCs w:val="24"/>
                <w:highlight w:val="none"/>
                <w:lang w:bidi="ar"/>
              </w:rPr>
              <w:t>，注：未完整提供以上证明材料复印件的本项不得分。</w:t>
            </w:r>
          </w:p>
        </w:tc>
      </w:tr>
      <w:tr w14:paraId="00B0E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trPr>
        <w:tc>
          <w:tcPr>
            <w:tcW w:w="1666" w:type="dxa"/>
            <w:vMerge w:val="restart"/>
            <w:vAlign w:val="center"/>
          </w:tcPr>
          <w:p w14:paraId="1370B5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rPr>
                <w:rFonts w:hint="eastAsia" w:ascii="宋体" w:hAnsi="宋体" w:eastAsia="宋体" w:cs="宋体"/>
                <w:color w:val="auto"/>
                <w:kern w:val="0"/>
                <w:sz w:val="24"/>
                <w:szCs w:val="24"/>
                <w:highlight w:val="none"/>
                <w:lang w:bidi="ar"/>
              </w:rPr>
            </w:pPr>
            <w:r>
              <w:rPr>
                <w:rStyle w:val="39"/>
                <w:rFonts w:hint="eastAsia" w:ascii="宋体" w:hAnsi="宋体" w:eastAsia="宋体" w:cs="宋体"/>
                <w:color w:val="auto"/>
                <w:sz w:val="24"/>
                <w:szCs w:val="24"/>
                <w:highlight w:val="none"/>
                <w:lang w:val="en-US" w:eastAsia="zh-CN" w:bidi="ar"/>
              </w:rPr>
              <w:t>人员配备</w:t>
            </w:r>
          </w:p>
        </w:tc>
        <w:tc>
          <w:tcPr>
            <w:tcW w:w="780" w:type="dxa"/>
            <w:vAlign w:val="center"/>
          </w:tcPr>
          <w:p w14:paraId="471D25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rPr>
                <w:rFonts w:hint="eastAsia" w:ascii="宋体" w:hAnsi="宋体" w:cs="宋体"/>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rPr>
              <w:t>2</w:t>
            </w:r>
          </w:p>
        </w:tc>
        <w:tc>
          <w:tcPr>
            <w:tcW w:w="6742" w:type="dxa"/>
            <w:vAlign w:val="center"/>
          </w:tcPr>
          <w:p w14:paraId="462E8483">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kern w:val="0"/>
                <w:sz w:val="24"/>
                <w:szCs w:val="24"/>
                <w:highlight w:val="none"/>
                <w:lang w:bidi="ar"/>
              </w:rPr>
            </w:pPr>
            <w:r>
              <w:rPr>
                <w:rStyle w:val="39"/>
                <w:rFonts w:hint="eastAsia" w:ascii="宋体" w:hAnsi="宋体" w:eastAsia="宋体" w:cs="宋体"/>
                <w:color w:val="auto"/>
                <w:sz w:val="24"/>
                <w:szCs w:val="24"/>
                <w:highlight w:val="none"/>
                <w:lang w:bidi="ar"/>
              </w:rPr>
              <w:t>投标人为本项目配备中式烹调师高级技师(国家职业资格一级)的每一名得1</w:t>
            </w:r>
            <w:r>
              <w:rPr>
                <w:rStyle w:val="40"/>
                <w:rFonts w:hint="eastAsia" w:ascii="宋体" w:hAnsi="宋体" w:eastAsia="宋体" w:cs="宋体"/>
                <w:color w:val="auto"/>
                <w:sz w:val="24"/>
                <w:szCs w:val="24"/>
                <w:highlight w:val="none"/>
                <w:lang w:bidi="ar"/>
              </w:rPr>
              <w:t>分，中式烹调师技师(国家职业资格二级)的每一名得</w:t>
            </w:r>
            <w:r>
              <w:rPr>
                <w:rStyle w:val="39"/>
                <w:rFonts w:hint="eastAsia" w:ascii="宋体" w:hAnsi="宋体" w:eastAsia="宋体" w:cs="宋体"/>
                <w:color w:val="auto"/>
                <w:sz w:val="24"/>
                <w:szCs w:val="24"/>
                <w:highlight w:val="none"/>
                <w:lang w:bidi="ar"/>
              </w:rPr>
              <w:t>0.5</w:t>
            </w:r>
            <w:r>
              <w:rPr>
                <w:rStyle w:val="40"/>
                <w:rFonts w:hint="eastAsia" w:ascii="宋体" w:hAnsi="宋体" w:eastAsia="宋体" w:cs="宋体"/>
                <w:color w:val="auto"/>
                <w:sz w:val="24"/>
                <w:szCs w:val="24"/>
                <w:highlight w:val="none"/>
                <w:lang w:bidi="ar"/>
              </w:rPr>
              <w:t>分。持证人应为投标人的正式在册员工，</w:t>
            </w:r>
            <w:r>
              <w:rPr>
                <w:rStyle w:val="40"/>
                <w:rFonts w:hint="eastAsia" w:ascii="宋体" w:hAnsi="宋体" w:eastAsia="宋体" w:cs="宋体"/>
                <w:color w:val="auto"/>
                <w:sz w:val="24"/>
                <w:szCs w:val="24"/>
                <w:highlight w:val="none"/>
                <w:lang w:val="en-US" w:eastAsia="zh-CN" w:bidi="ar"/>
              </w:rPr>
              <w:t>提供</w:t>
            </w:r>
            <w:r>
              <w:rPr>
                <w:rStyle w:val="40"/>
                <w:rFonts w:hint="eastAsia" w:ascii="宋体" w:hAnsi="宋体" w:eastAsia="宋体" w:cs="宋体"/>
                <w:color w:val="auto"/>
                <w:sz w:val="24"/>
                <w:szCs w:val="24"/>
                <w:highlight w:val="none"/>
                <w:lang w:bidi="ar"/>
              </w:rPr>
              <w:t>投标人为该人员缴交的</w:t>
            </w:r>
            <w:r>
              <w:rPr>
                <w:rFonts w:hint="eastAsia" w:ascii="宋体" w:hAnsi="宋体" w:eastAsia="宋体" w:cs="宋体"/>
                <w:color w:val="auto"/>
                <w:kern w:val="0"/>
                <w:sz w:val="24"/>
                <w:szCs w:val="24"/>
                <w:highlight w:val="none"/>
              </w:rPr>
              <w:t>投标截止时间前六个月（不含投标截止时间的当月）中任一月份的社会保险凭据</w:t>
            </w:r>
            <w:r>
              <w:rPr>
                <w:rStyle w:val="40"/>
                <w:rFonts w:hint="eastAsia" w:ascii="宋体" w:hAnsi="宋体" w:eastAsia="宋体" w:cs="宋体"/>
                <w:color w:val="auto"/>
                <w:sz w:val="24"/>
                <w:szCs w:val="24"/>
                <w:highlight w:val="none"/>
                <w:lang w:bidi="ar"/>
              </w:rPr>
              <w:t>并提供劳动合同、个人有效的健康证、身份证、相应证书等复印件及网上查询截屏，否则不得分。</w:t>
            </w:r>
          </w:p>
        </w:tc>
      </w:tr>
      <w:tr w14:paraId="031E6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trPr>
        <w:tc>
          <w:tcPr>
            <w:tcW w:w="1666" w:type="dxa"/>
            <w:vMerge w:val="continue"/>
            <w:vAlign w:val="center"/>
          </w:tcPr>
          <w:p w14:paraId="271BE5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rPr>
                <w:rFonts w:hint="eastAsia" w:ascii="宋体" w:hAnsi="宋体" w:eastAsia="宋体" w:cs="宋体"/>
                <w:color w:val="auto"/>
                <w:kern w:val="0"/>
                <w:sz w:val="24"/>
                <w:szCs w:val="24"/>
                <w:highlight w:val="none"/>
                <w:lang w:bidi="ar"/>
              </w:rPr>
            </w:pPr>
          </w:p>
        </w:tc>
        <w:tc>
          <w:tcPr>
            <w:tcW w:w="780" w:type="dxa"/>
            <w:vAlign w:val="center"/>
          </w:tcPr>
          <w:p w14:paraId="4CD624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rPr>
                <w:rFonts w:hint="eastAsia" w:ascii="宋体" w:hAnsi="宋体" w:cs="宋体"/>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rPr>
              <w:t>2</w:t>
            </w:r>
          </w:p>
        </w:tc>
        <w:tc>
          <w:tcPr>
            <w:tcW w:w="6742" w:type="dxa"/>
            <w:vAlign w:val="center"/>
          </w:tcPr>
          <w:p w14:paraId="7726515A">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投标人拟派遣为本项目服务的团队中具有公共营养师资格证的每1名得1分，具有高级公共营养师证的每1名得2分，满分2分，须提供有效资格证书复印件、投标人为该人员缴交的</w:t>
            </w:r>
            <w:r>
              <w:rPr>
                <w:rFonts w:hint="eastAsia" w:ascii="宋体" w:hAnsi="宋体" w:eastAsia="宋体" w:cs="宋体"/>
                <w:color w:val="auto"/>
                <w:kern w:val="0"/>
                <w:sz w:val="24"/>
                <w:szCs w:val="24"/>
                <w:highlight w:val="none"/>
              </w:rPr>
              <w:t>投标截止时间前六个月（不含投标截止时间的当月）中任一月份的社会保险凭据</w:t>
            </w:r>
            <w:r>
              <w:rPr>
                <w:rFonts w:hint="eastAsia" w:ascii="宋体" w:hAnsi="宋体" w:eastAsia="宋体" w:cs="宋体"/>
                <w:color w:val="auto"/>
                <w:kern w:val="0"/>
                <w:sz w:val="24"/>
                <w:szCs w:val="24"/>
                <w:highlight w:val="none"/>
                <w:lang w:bidi="ar"/>
              </w:rPr>
              <w:t>，未提供以上证明材料复印件的本项不得分。</w:t>
            </w:r>
          </w:p>
        </w:tc>
      </w:tr>
      <w:tr w14:paraId="343E0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trPr>
        <w:tc>
          <w:tcPr>
            <w:tcW w:w="9188" w:type="dxa"/>
            <w:gridSpan w:val="3"/>
            <w:vAlign w:val="center"/>
          </w:tcPr>
          <w:p w14:paraId="7EA56546">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注意：以上人员配备（含项目经理）围同一人员得不得重复得分。</w:t>
            </w:r>
          </w:p>
        </w:tc>
      </w:tr>
    </w:tbl>
    <w:p w14:paraId="63B497C3">
      <w:pPr>
        <w:pStyle w:val="33"/>
        <w:jc w:val="both"/>
        <w:rPr>
          <w:rFonts w:hint="default"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rPr>
        <w:t>商务项（F3×A3）满分为1</w:t>
      </w:r>
      <w:r>
        <w:rPr>
          <w:rFonts w:hint="eastAsia" w:ascii="宋体" w:hAnsi="宋体" w:eastAsia="宋体" w:cs="宋体"/>
          <w:b/>
          <w:color w:val="auto"/>
          <w:sz w:val="24"/>
          <w:szCs w:val="24"/>
          <w:highlight w:val="none"/>
          <w:lang w:val="en-US" w:eastAsia="zh-CN"/>
        </w:rPr>
        <w:t>0</w:t>
      </w:r>
      <w:r>
        <w:rPr>
          <w:rFonts w:hint="eastAsia" w:ascii="宋体" w:hAnsi="宋体" w:eastAsia="宋体" w:cs="宋体"/>
          <w:b/>
          <w:color w:val="auto"/>
          <w:sz w:val="24"/>
          <w:szCs w:val="24"/>
          <w:highlight w:val="none"/>
        </w:rPr>
        <w:t>.00分</w:t>
      </w:r>
    </w:p>
    <w:tbl>
      <w:tblPr>
        <w:tblStyle w:val="23"/>
        <w:tblW w:w="0" w:type="auto"/>
        <w:tblCellSpacing w:w="0" w:type="dxa"/>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80"/>
        <w:gridCol w:w="764"/>
        <w:gridCol w:w="6761"/>
      </w:tblGrid>
      <w:tr w14:paraId="0DBED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681" w:type="dxa"/>
            <w:vAlign w:val="top"/>
          </w:tcPr>
          <w:p w14:paraId="0E1E2792">
            <w:pPr>
              <w:keepNext w:val="0"/>
              <w:keepLines w:val="0"/>
              <w:widowControl w:val="0"/>
              <w:suppressLineNumbers w:val="0"/>
              <w:wordWrap/>
              <w:adjustRightInd/>
              <w:snapToGrid/>
              <w:spacing w:before="0" w:beforeAutospacing="0" w:after="0" w:afterAutospacing="0" w:line="360" w:lineRule="exact"/>
              <w:ind w:left="0" w:right="0"/>
              <w:jc w:val="left"/>
              <w:textAlignment w:val="auto"/>
              <w:outlineLvl w:val="9"/>
              <w:rPr>
                <w:rFonts w:hint="eastAsia" w:ascii="宋体" w:hAnsi="宋体" w:eastAsia="宋体" w:cs="宋体"/>
                <w:color w:val="auto"/>
                <w:kern w:val="2"/>
                <w:sz w:val="20"/>
                <w:szCs w:val="20"/>
                <w:highlight w:val="none"/>
                <w:lang w:val="en-US" w:eastAsia="zh-Hans"/>
              </w:rPr>
            </w:pPr>
            <w:r>
              <w:rPr>
                <w:rFonts w:hint="eastAsia" w:ascii="宋体" w:hAnsi="宋体" w:eastAsia="宋体" w:cs="宋体"/>
                <w:b/>
                <w:color w:val="auto"/>
                <w:kern w:val="2"/>
                <w:sz w:val="24"/>
                <w:szCs w:val="24"/>
                <w:highlight w:val="none"/>
                <w:lang w:val="en-US" w:eastAsia="zh-CN"/>
              </w:rPr>
              <w:t>评审</w:t>
            </w:r>
            <w:r>
              <w:rPr>
                <w:rFonts w:hint="eastAsia" w:ascii="宋体" w:hAnsi="宋体" w:eastAsia="宋体" w:cs="宋体"/>
                <w:b/>
                <w:color w:val="auto"/>
                <w:kern w:val="2"/>
                <w:sz w:val="24"/>
                <w:szCs w:val="24"/>
                <w:highlight w:val="none"/>
                <w:lang w:val="en-US" w:eastAsia="zh-Hans"/>
              </w:rPr>
              <w:t>项目</w:t>
            </w:r>
          </w:p>
        </w:tc>
        <w:tc>
          <w:tcPr>
            <w:tcW w:w="765" w:type="dxa"/>
            <w:vAlign w:val="top"/>
          </w:tcPr>
          <w:p w14:paraId="7DD84B45">
            <w:pPr>
              <w:keepNext w:val="0"/>
              <w:keepLines w:val="0"/>
              <w:widowControl w:val="0"/>
              <w:suppressLineNumbers w:val="0"/>
              <w:wordWrap/>
              <w:adjustRightInd/>
              <w:snapToGrid/>
              <w:spacing w:before="0" w:beforeAutospacing="0" w:after="0" w:afterAutospacing="0" w:line="360" w:lineRule="exact"/>
              <w:ind w:left="0" w:right="0"/>
              <w:jc w:val="center"/>
              <w:textAlignment w:val="auto"/>
              <w:outlineLvl w:val="9"/>
              <w:rPr>
                <w:rFonts w:hint="eastAsia" w:ascii="宋体" w:hAnsi="宋体" w:eastAsia="宋体" w:cs="宋体"/>
                <w:color w:val="auto"/>
                <w:kern w:val="2"/>
                <w:sz w:val="20"/>
                <w:szCs w:val="20"/>
                <w:highlight w:val="none"/>
                <w:lang w:val="en-US" w:eastAsia="zh-Hans"/>
              </w:rPr>
            </w:pPr>
            <w:r>
              <w:rPr>
                <w:rFonts w:hint="eastAsia" w:ascii="宋体" w:hAnsi="宋体" w:eastAsia="宋体" w:cs="宋体"/>
                <w:b/>
                <w:color w:val="auto"/>
                <w:kern w:val="2"/>
                <w:sz w:val="24"/>
                <w:szCs w:val="24"/>
                <w:highlight w:val="none"/>
                <w:lang w:val="en-US" w:eastAsia="zh-Hans"/>
              </w:rPr>
              <w:t>分值</w:t>
            </w:r>
          </w:p>
        </w:tc>
        <w:tc>
          <w:tcPr>
            <w:tcW w:w="6764" w:type="dxa"/>
            <w:vAlign w:val="top"/>
          </w:tcPr>
          <w:p w14:paraId="718DCA91">
            <w:pPr>
              <w:keepNext w:val="0"/>
              <w:keepLines w:val="0"/>
              <w:widowControl w:val="0"/>
              <w:suppressLineNumbers w:val="0"/>
              <w:wordWrap/>
              <w:adjustRightInd/>
              <w:snapToGrid/>
              <w:spacing w:before="0" w:beforeAutospacing="0" w:after="0" w:afterAutospacing="0" w:line="360" w:lineRule="exact"/>
              <w:ind w:left="0" w:right="0"/>
              <w:jc w:val="left"/>
              <w:textAlignment w:val="auto"/>
              <w:outlineLvl w:val="9"/>
              <w:rPr>
                <w:rFonts w:hint="eastAsia" w:ascii="宋体" w:hAnsi="宋体" w:eastAsia="宋体" w:cs="宋体"/>
                <w:color w:val="auto"/>
                <w:kern w:val="2"/>
                <w:sz w:val="20"/>
                <w:szCs w:val="20"/>
                <w:highlight w:val="none"/>
                <w:lang w:val="en-US" w:eastAsia="zh-Hans"/>
              </w:rPr>
            </w:pPr>
            <w:r>
              <w:rPr>
                <w:rFonts w:hint="eastAsia" w:ascii="宋体" w:hAnsi="宋体" w:eastAsia="宋体" w:cs="宋体"/>
                <w:b/>
                <w:color w:val="auto"/>
                <w:kern w:val="2"/>
                <w:sz w:val="24"/>
                <w:szCs w:val="24"/>
                <w:highlight w:val="none"/>
                <w:lang w:val="en-US" w:eastAsia="zh-CN"/>
              </w:rPr>
              <w:t>评审</w:t>
            </w:r>
            <w:r>
              <w:rPr>
                <w:rFonts w:hint="eastAsia" w:ascii="宋体" w:hAnsi="宋体" w:eastAsia="宋体" w:cs="宋体"/>
                <w:b/>
                <w:color w:val="auto"/>
                <w:kern w:val="2"/>
                <w:sz w:val="24"/>
                <w:szCs w:val="24"/>
                <w:highlight w:val="none"/>
                <w:lang w:val="en-US" w:eastAsia="zh-Hans"/>
              </w:rPr>
              <w:t>描述</w:t>
            </w:r>
          </w:p>
        </w:tc>
      </w:tr>
      <w:tr w14:paraId="56F3B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681" w:type="dxa"/>
            <w:vAlign w:val="center"/>
          </w:tcPr>
          <w:p w14:paraId="0F1798CA">
            <w:pPr>
              <w:keepNext w:val="0"/>
              <w:keepLines w:val="0"/>
              <w:widowControl/>
              <w:suppressLineNumbers w:val="0"/>
              <w:spacing w:before="0" w:beforeAutospacing="0" w:after="0" w:afterAutospacing="0"/>
              <w:ind w:left="0" w:right="0"/>
              <w:jc w:val="both"/>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服务满意度</w:t>
            </w:r>
          </w:p>
        </w:tc>
        <w:tc>
          <w:tcPr>
            <w:tcW w:w="765" w:type="dxa"/>
            <w:vAlign w:val="center"/>
          </w:tcPr>
          <w:p w14:paraId="4DF3A798">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w:t>
            </w:r>
          </w:p>
        </w:tc>
        <w:tc>
          <w:tcPr>
            <w:tcW w:w="6764" w:type="dxa"/>
            <w:vAlign w:val="center"/>
          </w:tcPr>
          <w:p w14:paraId="2D353A31">
            <w:pPr>
              <w:widowControl/>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bidi="ar"/>
              </w:rPr>
              <w:t>根据投标人提供自20</w:t>
            </w:r>
            <w:r>
              <w:rPr>
                <w:rFonts w:hint="eastAsia" w:ascii="宋体" w:hAnsi="宋体" w:cs="宋体"/>
                <w:color w:val="auto"/>
                <w:kern w:val="0"/>
                <w:sz w:val="24"/>
                <w:szCs w:val="24"/>
                <w:highlight w:val="none"/>
                <w:lang w:val="en-US" w:eastAsia="zh-CN" w:bidi="ar"/>
              </w:rPr>
              <w:t>20</w:t>
            </w:r>
            <w:r>
              <w:rPr>
                <w:rFonts w:hint="eastAsia" w:ascii="宋体" w:hAnsi="宋体" w:cs="宋体"/>
                <w:color w:val="auto"/>
                <w:kern w:val="0"/>
                <w:sz w:val="24"/>
                <w:szCs w:val="24"/>
                <w:highlight w:val="none"/>
                <w:lang w:bidi="ar"/>
              </w:rPr>
              <w:t>年1月1日以来相应服务客户的客户满意评价（</w:t>
            </w:r>
            <w:r>
              <w:rPr>
                <w:rFonts w:hint="eastAsia" w:ascii="宋体" w:hAnsi="宋体" w:cs="宋体"/>
                <w:b/>
                <w:bCs/>
                <w:color w:val="auto"/>
                <w:kern w:val="0"/>
                <w:sz w:val="24"/>
                <w:szCs w:val="24"/>
                <w:highlight w:val="none"/>
                <w:lang w:bidi="ar"/>
              </w:rPr>
              <w:t>须为政府机关单位</w:t>
            </w:r>
            <w:r>
              <w:rPr>
                <w:rFonts w:hint="eastAsia" w:ascii="宋体" w:hAnsi="宋体" w:cs="宋体"/>
                <w:b/>
                <w:bCs/>
                <w:color w:val="auto"/>
                <w:kern w:val="0"/>
                <w:sz w:val="24"/>
                <w:szCs w:val="24"/>
                <w:highlight w:val="none"/>
                <w:lang w:eastAsia="zh-CN" w:bidi="ar"/>
              </w:rPr>
              <w:t>或</w:t>
            </w:r>
            <w:r>
              <w:rPr>
                <w:rFonts w:hint="eastAsia" w:ascii="宋体" w:hAnsi="宋体" w:cs="宋体"/>
                <w:b/>
                <w:bCs/>
                <w:color w:val="auto"/>
                <w:kern w:val="0"/>
                <w:sz w:val="24"/>
                <w:szCs w:val="24"/>
                <w:highlight w:val="none"/>
                <w:lang w:bidi="ar"/>
              </w:rPr>
              <w:t>事业单位或高校食堂</w:t>
            </w:r>
            <w:r>
              <w:rPr>
                <w:rFonts w:hint="eastAsia" w:ascii="宋体" w:hAnsi="宋体" w:cs="宋体"/>
                <w:color w:val="auto"/>
                <w:kern w:val="0"/>
                <w:sz w:val="24"/>
                <w:szCs w:val="24"/>
                <w:highlight w:val="none"/>
                <w:lang w:bidi="ar"/>
              </w:rPr>
              <w:t>）证明进行评分，每提供1份服务客户满意度评价证明为优秀的得1分，满意度评价不是优秀的或未提供的不得分，最高可得3分。客户满意评价须提供服务客户合同复印件及相应合同的发票证明材料、客户名称、联系方式，未提供或材料提供不全不得分。原件核查。</w:t>
            </w:r>
          </w:p>
        </w:tc>
      </w:tr>
      <w:tr w14:paraId="03A45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681" w:type="dxa"/>
            <w:vAlign w:val="center"/>
          </w:tcPr>
          <w:p w14:paraId="6275AD70">
            <w:pPr>
              <w:keepNext w:val="0"/>
              <w:keepLines w:val="0"/>
              <w:widowControl/>
              <w:suppressLineNumbers w:val="0"/>
              <w:spacing w:before="0" w:beforeAutospacing="0" w:after="0" w:afterAutospacing="0"/>
              <w:ind w:left="0" w:right="0"/>
              <w:jc w:val="both"/>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团队能力</w:t>
            </w:r>
          </w:p>
        </w:tc>
        <w:tc>
          <w:tcPr>
            <w:tcW w:w="765" w:type="dxa"/>
            <w:vAlign w:val="center"/>
          </w:tcPr>
          <w:p w14:paraId="0757C4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w:t>
            </w:r>
          </w:p>
        </w:tc>
        <w:tc>
          <w:tcPr>
            <w:tcW w:w="6764" w:type="dxa"/>
            <w:vAlign w:val="center"/>
          </w:tcPr>
          <w:p w14:paraId="180317EA">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投标人拟派遣为本项目服务的团队</w:t>
            </w:r>
            <w:r>
              <w:rPr>
                <w:rFonts w:hint="eastAsia" w:ascii="宋体" w:hAnsi="宋体" w:cs="宋体"/>
                <w:color w:val="auto"/>
                <w:kern w:val="0"/>
                <w:sz w:val="24"/>
                <w:szCs w:val="24"/>
                <w:highlight w:val="none"/>
                <w:lang w:val="en-US" w:eastAsia="zh-CN" w:bidi="ar"/>
              </w:rPr>
              <w:t>人员具有</w:t>
            </w:r>
            <w:r>
              <w:rPr>
                <w:rFonts w:hint="eastAsia" w:ascii="宋体" w:hAnsi="宋体" w:cs="宋体"/>
                <w:color w:val="auto"/>
                <w:kern w:val="0"/>
                <w:sz w:val="24"/>
                <w:szCs w:val="24"/>
                <w:highlight w:val="none"/>
                <w:lang w:bidi="ar"/>
              </w:rPr>
              <w:t>大专（或以上）学历</w:t>
            </w:r>
            <w:r>
              <w:rPr>
                <w:rFonts w:hint="eastAsia" w:ascii="宋体" w:hAnsi="宋体" w:cs="宋体"/>
                <w:color w:val="auto"/>
                <w:kern w:val="0"/>
                <w:sz w:val="24"/>
                <w:szCs w:val="24"/>
                <w:highlight w:val="none"/>
                <w:lang w:val="en-US" w:eastAsia="zh-CN" w:bidi="ar"/>
              </w:rPr>
              <w:t>并持有</w:t>
            </w:r>
            <w:r>
              <w:rPr>
                <w:rFonts w:hint="eastAsia" w:ascii="宋体" w:hAnsi="宋体" w:cs="宋体"/>
                <w:color w:val="auto"/>
                <w:kern w:val="0"/>
                <w:sz w:val="24"/>
                <w:szCs w:val="24"/>
                <w:highlight w:val="none"/>
                <w:lang w:bidi="ar"/>
              </w:rPr>
              <w:t>食品安全管理员（餐饮服务类）资格证的得1分，满分1分，提供①身份证复印件；②有效的健康证复印件；③学历证书复印件及学信网查询截图；④有效资格证书复印件；⑤投标人为该人员缴交的投标截止时间前六个月（不含投标截止时间的当月）中任一个月的社会保险凭据，未按要求提供以上证明材料复印件的本项不得分。</w:t>
            </w:r>
          </w:p>
        </w:tc>
      </w:tr>
      <w:tr w14:paraId="037C8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681" w:type="dxa"/>
            <w:vAlign w:val="center"/>
          </w:tcPr>
          <w:p w14:paraId="1D9831DB">
            <w:pPr>
              <w:keepNext w:val="0"/>
              <w:keepLines w:val="0"/>
              <w:widowControl/>
              <w:suppressLineNumbers w:val="0"/>
              <w:spacing w:before="0" w:beforeAutospacing="0" w:after="0" w:afterAutospacing="0"/>
              <w:ind w:left="0" w:right="0"/>
              <w:jc w:val="both"/>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相关荣誉</w:t>
            </w:r>
          </w:p>
        </w:tc>
        <w:tc>
          <w:tcPr>
            <w:tcW w:w="765" w:type="dxa"/>
            <w:vAlign w:val="center"/>
          </w:tcPr>
          <w:p w14:paraId="46A71863">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w:t>
            </w:r>
          </w:p>
        </w:tc>
        <w:tc>
          <w:tcPr>
            <w:tcW w:w="6764" w:type="dxa"/>
            <w:vAlign w:val="center"/>
          </w:tcPr>
          <w:p w14:paraId="7E25A199">
            <w:pPr>
              <w:widowControl/>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bidi="ar"/>
              </w:rPr>
              <w:t>投标人所提供自20</w:t>
            </w:r>
            <w:r>
              <w:rPr>
                <w:rFonts w:hint="eastAsia" w:ascii="宋体" w:hAnsi="宋体" w:cs="宋体"/>
                <w:color w:val="auto"/>
                <w:kern w:val="0"/>
                <w:sz w:val="24"/>
                <w:szCs w:val="24"/>
                <w:highlight w:val="none"/>
                <w:lang w:val="en-US" w:eastAsia="zh-CN" w:bidi="ar"/>
              </w:rPr>
              <w:t>20</w:t>
            </w:r>
            <w:r>
              <w:rPr>
                <w:rFonts w:hint="eastAsia" w:ascii="宋体" w:hAnsi="宋体" w:cs="宋体"/>
                <w:color w:val="auto"/>
                <w:kern w:val="0"/>
                <w:sz w:val="24"/>
                <w:szCs w:val="24"/>
                <w:highlight w:val="none"/>
                <w:lang w:bidi="ar"/>
              </w:rPr>
              <w:t>年1月1日起至本次投标截止时间止（日期以合同签订时间为准）由投标人自身经营（或管理）的餐饮服务项目获得由</w:t>
            </w:r>
            <w:r>
              <w:rPr>
                <w:rFonts w:hint="eastAsia" w:ascii="宋体" w:hAnsi="宋体" w:cs="宋体"/>
                <w:color w:val="auto"/>
                <w:kern w:val="0"/>
                <w:sz w:val="24"/>
                <w:szCs w:val="24"/>
                <w:highlight w:val="none"/>
                <w:lang w:val="en-US" w:eastAsia="zh-CN" w:bidi="ar"/>
              </w:rPr>
              <w:t>市场</w:t>
            </w:r>
            <w:r>
              <w:rPr>
                <w:rFonts w:hint="eastAsia" w:ascii="宋体" w:hAnsi="宋体" w:cs="宋体"/>
                <w:color w:val="auto"/>
                <w:kern w:val="0"/>
                <w:sz w:val="24"/>
                <w:szCs w:val="24"/>
                <w:highlight w:val="none"/>
                <w:lang w:bidi="ar"/>
              </w:rPr>
              <w:t>监督管理部门出具餐饮服务食品安全量化等级为A级食堂（</w:t>
            </w:r>
            <w:r>
              <w:rPr>
                <w:rFonts w:hint="eastAsia" w:ascii="宋体" w:hAnsi="宋体" w:cs="宋体"/>
                <w:b/>
                <w:bCs/>
                <w:color w:val="auto"/>
                <w:kern w:val="0"/>
                <w:sz w:val="24"/>
                <w:szCs w:val="24"/>
                <w:highlight w:val="none"/>
                <w:lang w:bidi="ar"/>
              </w:rPr>
              <w:t>须为政府机关单位</w:t>
            </w:r>
            <w:r>
              <w:rPr>
                <w:rFonts w:hint="eastAsia" w:ascii="宋体" w:hAnsi="宋体" w:cs="宋体"/>
                <w:b/>
                <w:bCs/>
                <w:color w:val="auto"/>
                <w:kern w:val="0"/>
                <w:sz w:val="24"/>
                <w:szCs w:val="24"/>
                <w:highlight w:val="none"/>
                <w:lang w:eastAsia="zh-CN" w:bidi="ar"/>
              </w:rPr>
              <w:t>或</w:t>
            </w:r>
            <w:r>
              <w:rPr>
                <w:rFonts w:hint="eastAsia" w:ascii="宋体" w:hAnsi="宋体" w:cs="宋体"/>
                <w:b/>
                <w:bCs/>
                <w:color w:val="auto"/>
                <w:kern w:val="0"/>
                <w:sz w:val="24"/>
                <w:szCs w:val="24"/>
                <w:highlight w:val="none"/>
                <w:lang w:bidi="ar"/>
              </w:rPr>
              <w:t>事业单位或高校食堂</w:t>
            </w:r>
            <w:r>
              <w:rPr>
                <w:rFonts w:hint="eastAsia" w:ascii="宋体" w:hAnsi="宋体" w:cs="宋体"/>
                <w:color w:val="auto"/>
                <w:kern w:val="0"/>
                <w:sz w:val="24"/>
                <w:szCs w:val="24"/>
                <w:highlight w:val="none"/>
                <w:lang w:bidi="ar"/>
              </w:rPr>
              <w:t>）的</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bidi="ar"/>
              </w:rPr>
              <w:t>获得“明厨亮灶”示范单位证书的</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获得</w:t>
            </w:r>
            <w:r>
              <w:rPr>
                <w:rFonts w:hint="eastAsia" w:ascii="宋体" w:hAnsi="宋体" w:cs="宋体"/>
                <w:color w:val="auto"/>
                <w:kern w:val="0"/>
                <w:sz w:val="24"/>
                <w:szCs w:val="24"/>
                <w:highlight w:val="none"/>
                <w:lang w:bidi="ar"/>
              </w:rPr>
              <w:t>食堂</w:t>
            </w:r>
            <w:r>
              <w:rPr>
                <w:rFonts w:hint="eastAsia" w:ascii="宋体" w:hAnsi="宋体" w:cs="宋体"/>
                <w:color w:val="auto"/>
                <w:kern w:val="0"/>
                <w:sz w:val="24"/>
                <w:szCs w:val="24"/>
                <w:highlight w:val="none"/>
                <w:lang w:val="en-US" w:eastAsia="zh-CN" w:bidi="ar"/>
              </w:rPr>
              <w:t>服务</w:t>
            </w:r>
            <w:r>
              <w:rPr>
                <w:rFonts w:hint="eastAsia" w:ascii="宋体" w:hAnsi="宋体" w:cs="宋体"/>
                <w:color w:val="auto"/>
                <w:kern w:val="0"/>
                <w:sz w:val="24"/>
                <w:szCs w:val="24"/>
                <w:highlight w:val="none"/>
                <w:lang w:bidi="ar"/>
              </w:rPr>
              <w:t>“6T管理示范单位”的</w:t>
            </w:r>
            <w:r>
              <w:rPr>
                <w:rFonts w:hint="eastAsia" w:ascii="宋体" w:hAnsi="宋体" w:cs="宋体"/>
                <w:color w:val="auto"/>
                <w:kern w:val="0"/>
                <w:sz w:val="24"/>
                <w:szCs w:val="24"/>
                <w:highlight w:val="none"/>
                <w:lang w:eastAsia="zh-CN" w:bidi="ar"/>
              </w:rPr>
              <w:t>，以上每缺少一项扣</w:t>
            </w:r>
            <w:r>
              <w:rPr>
                <w:rFonts w:hint="eastAsia" w:ascii="宋体" w:hAnsi="宋体" w:cs="宋体"/>
                <w:color w:val="auto"/>
                <w:kern w:val="0"/>
                <w:sz w:val="24"/>
                <w:szCs w:val="24"/>
                <w:highlight w:val="none"/>
                <w:lang w:val="en-US" w:eastAsia="zh-CN" w:bidi="ar"/>
              </w:rPr>
              <w:t>1分，</w:t>
            </w:r>
            <w:r>
              <w:rPr>
                <w:rFonts w:hint="eastAsia" w:ascii="宋体" w:hAnsi="宋体" w:cs="宋体"/>
                <w:color w:val="auto"/>
                <w:kern w:val="0"/>
                <w:sz w:val="24"/>
                <w:szCs w:val="24"/>
                <w:highlight w:val="none"/>
                <w:lang w:bidi="ar"/>
              </w:rPr>
              <w:t>满分</w:t>
            </w:r>
            <w:r>
              <w:rPr>
                <w:rFonts w:hint="eastAsia" w:ascii="宋体" w:hAnsi="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bidi="ar"/>
              </w:rPr>
              <w:t>分</w:t>
            </w:r>
            <w:r>
              <w:rPr>
                <w:rFonts w:hint="eastAsia" w:ascii="宋体" w:hAnsi="宋体" w:cs="宋体"/>
                <w:color w:val="auto"/>
                <w:kern w:val="0"/>
                <w:sz w:val="24"/>
                <w:szCs w:val="24"/>
                <w:highlight w:val="none"/>
                <w:lang w:eastAsia="zh-CN" w:bidi="ar"/>
              </w:rPr>
              <w:t>，扣完为止</w:t>
            </w:r>
            <w:r>
              <w:rPr>
                <w:rFonts w:hint="eastAsia" w:ascii="宋体" w:hAnsi="宋体" w:cs="宋体"/>
                <w:color w:val="auto"/>
                <w:kern w:val="0"/>
                <w:sz w:val="24"/>
                <w:szCs w:val="24"/>
                <w:highlight w:val="none"/>
                <w:lang w:bidi="ar"/>
              </w:rPr>
              <w:t>。投标人须提供采购合同文本复印件及市场监督管理部门出具的相关证明材料，未提供不得分。</w:t>
            </w:r>
          </w:p>
        </w:tc>
      </w:tr>
      <w:tr w14:paraId="1D579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681" w:type="dxa"/>
            <w:vAlign w:val="center"/>
          </w:tcPr>
          <w:p w14:paraId="3CEDF517">
            <w:pPr>
              <w:keepNext w:val="0"/>
              <w:keepLines w:val="0"/>
              <w:widowControl/>
              <w:suppressLineNumbers w:val="0"/>
              <w:spacing w:before="0" w:beforeAutospacing="0" w:after="0" w:afterAutospacing="0"/>
              <w:ind w:left="0" w:right="0"/>
              <w:jc w:val="both"/>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系统认证</w:t>
            </w:r>
          </w:p>
        </w:tc>
        <w:tc>
          <w:tcPr>
            <w:tcW w:w="765" w:type="dxa"/>
            <w:vAlign w:val="center"/>
          </w:tcPr>
          <w:p w14:paraId="181558D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w:t>
            </w:r>
          </w:p>
        </w:tc>
        <w:tc>
          <w:tcPr>
            <w:tcW w:w="6764" w:type="dxa"/>
            <w:vAlign w:val="center"/>
          </w:tcPr>
          <w:p w14:paraId="1E2F8879">
            <w:pPr>
              <w:pStyle w:val="9"/>
              <w:rPr>
                <w:rFonts w:hint="eastAsia" w:ascii="宋体" w:hAnsi="宋体" w:eastAsia="宋体" w:cs="宋体"/>
                <w:color w:val="auto"/>
                <w:kern w:val="0"/>
                <w:sz w:val="24"/>
                <w:szCs w:val="24"/>
                <w:highlight w:val="none"/>
                <w:lang w:val="en-US" w:eastAsia="zh-Hans"/>
              </w:rPr>
            </w:pPr>
            <w:r>
              <w:rPr>
                <w:rFonts w:hint="eastAsia" w:ascii="宋体" w:hAnsi="宋体" w:cs="宋体"/>
                <w:color w:val="auto"/>
                <w:kern w:val="0"/>
                <w:sz w:val="24"/>
                <w:szCs w:val="24"/>
                <w:highlight w:val="none"/>
                <w:lang w:bidi="ar"/>
              </w:rPr>
              <w:t>投标人具备有效的ISO9001质量管理体系认证、ISO14001环境管理体系认证、ISO45001职业健康管理体系认证、ISO22000食品安全管理体系认证、HACCP危害分析与关键点控制体系认证证书的（以上</w:t>
            </w:r>
            <w:r>
              <w:rPr>
                <w:rFonts w:ascii="宋体" w:hAnsi="宋体" w:cs="宋体"/>
                <w:color w:val="auto"/>
                <w:kern w:val="0"/>
                <w:sz w:val="24"/>
                <w:szCs w:val="24"/>
                <w:highlight w:val="none"/>
                <w:lang w:bidi="ar"/>
              </w:rPr>
              <w:t>证书</w:t>
            </w:r>
            <w:r>
              <w:rPr>
                <w:rFonts w:hint="eastAsia" w:ascii="宋体" w:hAnsi="宋体" w:cs="宋体"/>
                <w:color w:val="auto"/>
                <w:kern w:val="0"/>
                <w:sz w:val="24"/>
                <w:szCs w:val="24"/>
                <w:highlight w:val="none"/>
                <w:lang w:bidi="ar"/>
              </w:rPr>
              <w:t>的</w:t>
            </w:r>
            <w:r>
              <w:rPr>
                <w:rFonts w:ascii="宋体" w:hAnsi="宋体" w:cs="宋体"/>
                <w:color w:val="auto"/>
                <w:kern w:val="0"/>
                <w:sz w:val="24"/>
                <w:szCs w:val="24"/>
                <w:highlight w:val="none"/>
                <w:lang w:bidi="ar"/>
              </w:rPr>
              <w:t>认证范围需包含</w:t>
            </w:r>
            <w:r>
              <w:rPr>
                <w:rFonts w:hint="eastAsia" w:ascii="宋体" w:hAnsi="宋体" w:cs="宋体"/>
                <w:color w:val="auto"/>
                <w:kern w:val="0"/>
                <w:sz w:val="24"/>
                <w:szCs w:val="24"/>
                <w:highlight w:val="none"/>
                <w:lang w:bidi="ar"/>
              </w:rPr>
              <w:t>与食品相关的内容），</w:t>
            </w:r>
            <w:r>
              <w:rPr>
                <w:rFonts w:hint="eastAsia"/>
                <w:b/>
                <w:bCs/>
                <w:color w:val="auto"/>
                <w:sz w:val="24"/>
                <w:szCs w:val="24"/>
                <w:highlight w:val="none"/>
                <w:lang w:val="en-US" w:eastAsia="zh-CN"/>
              </w:rPr>
              <w:t>以上证书每缺少一项扣一分，扣完为止</w:t>
            </w:r>
            <w:r>
              <w:rPr>
                <w:rFonts w:hint="eastAsia" w:ascii="宋体" w:hAnsi="宋体" w:cs="宋体"/>
                <w:color w:val="auto"/>
                <w:kern w:val="0"/>
                <w:sz w:val="24"/>
                <w:szCs w:val="24"/>
                <w:highlight w:val="none"/>
                <w:lang w:bidi="ar"/>
              </w:rPr>
              <w:t xml:space="preserve">，满分3分。（须提供在年检有效期内的证书复印件，并在中国合格评定国家认可委员会(https://www.cnas.org.cn或中国国家认证认可监督管理委员会(http://www.cnca.gov.cn)）网站的下载网页并注明网址，否则不得分。） </w:t>
            </w:r>
          </w:p>
        </w:tc>
      </w:tr>
      <w:tr w14:paraId="074AC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5" w:hRule="atLeast"/>
          <w:tblCellSpacing w:w="0" w:type="dxa"/>
        </w:trPr>
        <w:tc>
          <w:tcPr>
            <w:tcW w:w="1681" w:type="dxa"/>
            <w:vAlign w:val="center"/>
          </w:tcPr>
          <w:p w14:paraId="4A060948">
            <w:pPr>
              <w:keepNext w:val="0"/>
              <w:keepLines w:val="0"/>
              <w:widowControl/>
              <w:suppressLineNumbers w:val="0"/>
              <w:spacing w:before="0" w:beforeAutospacing="0" w:after="0" w:afterAutospacing="0"/>
              <w:ind w:left="0" w:right="0"/>
              <w:jc w:val="both"/>
              <w:rPr>
                <w:rFonts w:hint="default"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服务保障</w:t>
            </w:r>
          </w:p>
        </w:tc>
        <w:tc>
          <w:tcPr>
            <w:tcW w:w="765" w:type="dxa"/>
            <w:vAlign w:val="center"/>
          </w:tcPr>
          <w:p w14:paraId="4FB3B53F">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1</w:t>
            </w:r>
          </w:p>
        </w:tc>
        <w:tc>
          <w:tcPr>
            <w:tcW w:w="6764" w:type="dxa"/>
            <w:vAlign w:val="center"/>
          </w:tcPr>
          <w:p w14:paraId="1174B436">
            <w:pPr>
              <w:widowControl/>
              <w:jc w:val="left"/>
              <w:textAlignment w:val="center"/>
              <w:rPr>
                <w:rFonts w:hint="eastAsia" w:ascii="宋体" w:hAnsi="宋体" w:eastAsia="宋体" w:cs="宋体"/>
                <w:color w:val="auto"/>
                <w:kern w:val="2"/>
                <w:sz w:val="20"/>
                <w:szCs w:val="20"/>
                <w:highlight w:val="none"/>
                <w:lang w:val="en-US" w:eastAsia="zh-Hans"/>
              </w:rPr>
            </w:pPr>
            <w:r>
              <w:rPr>
                <w:rFonts w:hint="eastAsia" w:ascii="宋体" w:hAnsi="宋体" w:cs="宋体"/>
                <w:color w:val="auto"/>
                <w:kern w:val="0"/>
                <w:sz w:val="24"/>
                <w:szCs w:val="24"/>
                <w:highlight w:val="none"/>
                <w:lang w:bidi="ar"/>
              </w:rPr>
              <w:t>投标人承诺中标后为食堂购买公众责任险或食品安全责任险等保险，投保公众责任险包含附加险（食品、饮料责任险，火灾、爆炸责任险）保额达到1000万以上（含1000 万）的得1分，须提供加盖投标人公章的承诺书</w:t>
            </w:r>
            <w:r>
              <w:rPr>
                <w:rFonts w:hint="eastAsia" w:ascii="宋体" w:hAnsi="宋体" w:cs="宋体"/>
                <w:color w:val="auto"/>
                <w:kern w:val="0"/>
                <w:sz w:val="24"/>
                <w:szCs w:val="24"/>
                <w:highlight w:val="none"/>
                <w:lang w:eastAsia="zh-CN" w:bidi="ar"/>
              </w:rPr>
              <w:t>，</w:t>
            </w:r>
            <w:r>
              <w:rPr>
                <w:rFonts w:hint="eastAsia" w:ascii="宋体" w:hAnsi="宋体" w:cs="宋体"/>
                <w:b/>
                <w:bCs/>
                <w:color w:val="auto"/>
                <w:kern w:val="0"/>
                <w:sz w:val="24"/>
                <w:szCs w:val="24"/>
                <w:highlight w:val="none"/>
                <w:lang w:val="en-US" w:eastAsia="zh-CN" w:bidi="ar"/>
              </w:rPr>
              <w:t>承诺保险期限须涵盖本项目合同期限</w:t>
            </w:r>
            <w:r>
              <w:rPr>
                <w:rFonts w:hint="eastAsia" w:ascii="宋体" w:hAnsi="宋体" w:cs="宋体"/>
                <w:b/>
                <w:bCs/>
                <w:color w:val="auto"/>
                <w:kern w:val="0"/>
                <w:sz w:val="24"/>
                <w:szCs w:val="24"/>
                <w:highlight w:val="none"/>
                <w:lang w:bidi="ar"/>
              </w:rPr>
              <w:t>，</w:t>
            </w:r>
            <w:r>
              <w:rPr>
                <w:rFonts w:hint="eastAsia" w:ascii="宋体" w:hAnsi="宋体" w:cs="宋体"/>
                <w:color w:val="auto"/>
                <w:kern w:val="0"/>
                <w:sz w:val="24"/>
                <w:szCs w:val="24"/>
                <w:highlight w:val="none"/>
                <w:lang w:bidi="ar"/>
              </w:rPr>
              <w:t>未承诺</w:t>
            </w:r>
            <w:r>
              <w:rPr>
                <w:rFonts w:hint="eastAsia" w:ascii="宋体" w:hAnsi="宋体" w:cs="宋体"/>
                <w:color w:val="auto"/>
                <w:kern w:val="0"/>
                <w:sz w:val="24"/>
                <w:szCs w:val="24"/>
                <w:highlight w:val="none"/>
                <w:lang w:val="en-US" w:eastAsia="zh-CN" w:bidi="ar"/>
              </w:rPr>
              <w:t>或承诺不符合要求得</w:t>
            </w:r>
            <w:r>
              <w:rPr>
                <w:rFonts w:hint="eastAsia" w:ascii="宋体" w:hAnsi="宋体" w:cs="宋体"/>
                <w:color w:val="auto"/>
                <w:kern w:val="0"/>
                <w:sz w:val="24"/>
                <w:szCs w:val="24"/>
                <w:highlight w:val="none"/>
                <w:lang w:bidi="ar"/>
              </w:rPr>
              <w:t>不得分。（履约过程中若中标人无法履行该承诺，采购人将严肃追究中标人违约责任）</w:t>
            </w:r>
          </w:p>
        </w:tc>
      </w:tr>
    </w:tbl>
    <w:p w14:paraId="60897FA5">
      <w:pPr>
        <w:jc w:val="both"/>
        <w:rPr>
          <w:rFonts w:hint="eastAsia" w:ascii="Calibri" w:hAnsi="Calibri" w:eastAsia="宋体" w:cs="Times New Roman"/>
          <w:color w:val="auto"/>
          <w:sz w:val="24"/>
          <w:szCs w:val="24"/>
          <w:highlight w:val="none"/>
          <w:lang w:val="en-US" w:eastAsia="zh-Hans"/>
        </w:rPr>
      </w:pPr>
      <w:r>
        <w:rPr>
          <w:rFonts w:hint="eastAsia" w:ascii="Calibri" w:hAnsi="Calibri" w:eastAsia="宋体" w:cs="Times New Roman"/>
          <w:color w:val="auto"/>
          <w:sz w:val="24"/>
          <w:szCs w:val="24"/>
          <w:highlight w:val="none"/>
          <w:lang w:val="en-US" w:eastAsia="zh-Hans"/>
        </w:rPr>
        <w:t>※除本章第6.3条第（3）款规定情形和落实政府采购政策需进行的价格扣除情形外，不能对投标人的投标报价进行任何调整。</w:t>
      </w:r>
    </w:p>
    <w:p w14:paraId="28C04635">
      <w:pPr>
        <w:jc w:val="both"/>
        <w:rPr>
          <w:rFonts w:hint="eastAsia" w:ascii="Calibri" w:hAnsi="Calibri" w:eastAsia="宋体" w:cs="Times New Roman"/>
          <w:color w:val="auto"/>
          <w:sz w:val="24"/>
          <w:szCs w:val="24"/>
          <w:highlight w:val="none"/>
          <w:lang w:val="en-US" w:eastAsia="zh-Hans"/>
        </w:rPr>
      </w:pPr>
      <w:r>
        <w:rPr>
          <w:rFonts w:hint="eastAsia" w:ascii="Calibri" w:hAnsi="Calibri" w:eastAsia="宋体" w:cs="Times New Roman"/>
          <w:color w:val="auto"/>
          <w:sz w:val="24"/>
          <w:szCs w:val="24"/>
          <w:highlight w:val="none"/>
          <w:lang w:val="en-US" w:eastAsia="zh-Hans"/>
        </w:rPr>
        <w:t>（3）中标候选人排列规则顺序如下：</w:t>
      </w:r>
    </w:p>
    <w:p w14:paraId="7BD54A0A">
      <w:pPr>
        <w:jc w:val="both"/>
        <w:rPr>
          <w:rFonts w:hint="eastAsia" w:ascii="Calibri" w:hAnsi="Calibri" w:eastAsia="宋体" w:cs="Times New Roman"/>
          <w:color w:val="auto"/>
          <w:sz w:val="24"/>
          <w:szCs w:val="24"/>
          <w:highlight w:val="none"/>
          <w:lang w:val="en-US" w:eastAsia="zh-Hans"/>
        </w:rPr>
      </w:pPr>
      <w:r>
        <w:rPr>
          <w:rFonts w:hint="eastAsia" w:ascii="Calibri" w:hAnsi="Calibri" w:eastAsia="宋体" w:cs="Times New Roman"/>
          <w:color w:val="auto"/>
          <w:sz w:val="24"/>
          <w:szCs w:val="24"/>
          <w:highlight w:val="none"/>
          <w:lang w:val="en-US" w:eastAsia="zh-Hans"/>
        </w:rPr>
        <w:t>a.按照评标总得分（FA）由高到低顺序排列。</w:t>
      </w:r>
    </w:p>
    <w:p w14:paraId="6C0B10C0">
      <w:pPr>
        <w:jc w:val="both"/>
        <w:rPr>
          <w:rFonts w:hint="eastAsia" w:ascii="Calibri" w:hAnsi="Calibri" w:eastAsia="宋体" w:cs="Times New Roman"/>
          <w:color w:val="auto"/>
          <w:sz w:val="24"/>
          <w:szCs w:val="24"/>
          <w:highlight w:val="none"/>
          <w:lang w:val="en-US" w:eastAsia="zh-Hans"/>
        </w:rPr>
      </w:pPr>
      <w:r>
        <w:rPr>
          <w:rFonts w:hint="eastAsia" w:ascii="Calibri" w:hAnsi="Calibri" w:eastAsia="宋体" w:cs="Times New Roman"/>
          <w:color w:val="auto"/>
          <w:sz w:val="24"/>
          <w:szCs w:val="24"/>
          <w:highlight w:val="none"/>
          <w:lang w:val="en-US" w:eastAsia="zh-Hans"/>
        </w:rPr>
        <w:t>b.评标总得分（FA）相同的，按照评标价（即价格扣除后的投标报价）由低到高顺序排列。</w:t>
      </w:r>
    </w:p>
    <w:p w14:paraId="07625D20">
      <w:pPr>
        <w:jc w:val="both"/>
        <w:rPr>
          <w:rFonts w:hint="eastAsia" w:ascii="Calibri" w:hAnsi="Calibri" w:eastAsia="宋体" w:cs="Times New Roman"/>
          <w:color w:val="auto"/>
          <w:sz w:val="24"/>
          <w:szCs w:val="24"/>
          <w:highlight w:val="none"/>
          <w:lang w:val="en-US" w:eastAsia="zh-Hans"/>
        </w:rPr>
      </w:pPr>
      <w:r>
        <w:rPr>
          <w:rFonts w:hint="eastAsia" w:ascii="Calibri" w:hAnsi="Calibri" w:eastAsia="宋体" w:cs="Times New Roman"/>
          <w:color w:val="auto"/>
          <w:sz w:val="24"/>
          <w:szCs w:val="24"/>
          <w:highlight w:val="none"/>
          <w:lang w:val="en-US" w:eastAsia="zh-Hans"/>
        </w:rPr>
        <w:t>c.评标总得分（FA）且评标价（即价格扣除后的投标报价）相同的并列。</w:t>
      </w:r>
    </w:p>
    <w:p w14:paraId="675C039E">
      <w:pPr>
        <w:pStyle w:val="33"/>
        <w:keepNext w:val="0"/>
        <w:keepLines w:val="0"/>
        <w:pageBreakBefore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8、其他规定</w:t>
      </w:r>
    </w:p>
    <w:p w14:paraId="00502C92">
      <w:pPr>
        <w:pStyle w:val="33"/>
        <w:keepNext w:val="0"/>
        <w:keepLines w:val="0"/>
        <w:pageBreakBefore w:val="0"/>
        <w:kinsoku/>
        <w:wordWrap/>
        <w:overflowPunct/>
        <w:topLinePunct w:val="0"/>
        <w:autoSpaceDE/>
        <w:autoSpaceDN/>
        <w:bidi w:val="0"/>
        <w:adjustRightInd/>
        <w:snapToGrid/>
        <w:spacing w:line="42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8.1评标应全程保密且不得透露给任一投标人或与评标工作无关的人员。</w:t>
      </w:r>
    </w:p>
    <w:p w14:paraId="491D5F43">
      <w:pPr>
        <w:pStyle w:val="33"/>
        <w:keepNext w:val="0"/>
        <w:keepLines w:val="0"/>
        <w:pageBreakBefore w:val="0"/>
        <w:kinsoku/>
        <w:wordWrap/>
        <w:overflowPunct/>
        <w:topLinePunct w:val="0"/>
        <w:autoSpaceDE/>
        <w:autoSpaceDN/>
        <w:bidi w:val="0"/>
        <w:adjustRightInd/>
        <w:snapToGrid/>
        <w:spacing w:line="42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8.2评标将进行全程实时录音录像，录音录像资料随采购文件一并存档。</w:t>
      </w:r>
    </w:p>
    <w:p w14:paraId="04FC2CB5">
      <w:pPr>
        <w:pStyle w:val="33"/>
        <w:keepNext w:val="0"/>
        <w:keepLines w:val="0"/>
        <w:pageBreakBefore w:val="0"/>
        <w:kinsoku/>
        <w:wordWrap/>
        <w:overflowPunct/>
        <w:topLinePunct w:val="0"/>
        <w:autoSpaceDE/>
        <w:autoSpaceDN/>
        <w:bidi w:val="0"/>
        <w:adjustRightInd/>
        <w:snapToGrid/>
        <w:spacing w:line="42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8.3若投标人有任何试图干扰具体评标事务，影响评标委员会独立履行职责的行为，其投标无效且不予退还投标保证金或通过投标保函进行索赔。情节严重的，由财政部门列入不良行为记录。</w:t>
      </w:r>
    </w:p>
    <w:p w14:paraId="358D8F56">
      <w:pPr>
        <w:pStyle w:val="33"/>
        <w:keepNext w:val="0"/>
        <w:keepLines w:val="0"/>
        <w:pageBreakBefore w:val="0"/>
        <w:kinsoku/>
        <w:wordWrap/>
        <w:overflowPunct/>
        <w:topLinePunct w:val="0"/>
        <w:autoSpaceDE/>
        <w:autoSpaceDN/>
        <w:bidi w:val="0"/>
        <w:adjustRightInd/>
        <w:snapToGrid/>
        <w:spacing w:line="42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8.4其他：无。</w:t>
      </w:r>
    </w:p>
    <w:p w14:paraId="0F6BDB57">
      <w:pPr>
        <w:pStyle w:val="19"/>
        <w:keepNext w:val="0"/>
        <w:keepLines w:val="0"/>
        <w:pageBreakBefore w:val="0"/>
        <w:widowControl/>
        <w:kinsoku/>
        <w:wordWrap/>
        <w:overflowPunct/>
        <w:topLinePunct w:val="0"/>
        <w:autoSpaceDE/>
        <w:autoSpaceDN/>
        <w:bidi w:val="0"/>
        <w:adjustRightInd/>
        <w:snapToGrid/>
        <w:spacing w:before="75" w:beforeAutospacing="0" w:after="75" w:afterAutospacing="0" w:line="420" w:lineRule="exact"/>
        <w:jc w:val="center"/>
        <w:textAlignment w:val="auto"/>
        <w:rPr>
          <w:rStyle w:val="26"/>
          <w:rFonts w:hint="eastAsia" w:ascii="宋体" w:hAnsi="宋体" w:cs="宋体"/>
          <w:color w:val="auto"/>
          <w:sz w:val="31"/>
          <w:szCs w:val="31"/>
          <w:highlight w:val="none"/>
        </w:rPr>
      </w:pPr>
    </w:p>
    <w:p w14:paraId="501A10FF">
      <w:pPr>
        <w:pStyle w:val="19"/>
        <w:widowControl/>
        <w:spacing w:before="75" w:beforeAutospacing="0" w:after="75" w:afterAutospacing="0"/>
        <w:jc w:val="center"/>
        <w:rPr>
          <w:rStyle w:val="26"/>
          <w:rFonts w:hint="eastAsia" w:ascii="宋体" w:hAnsi="宋体" w:cs="宋体"/>
          <w:color w:val="auto"/>
          <w:sz w:val="31"/>
          <w:szCs w:val="31"/>
          <w:highlight w:val="none"/>
        </w:rPr>
      </w:pPr>
    </w:p>
    <w:p w14:paraId="2ED7280C">
      <w:pPr>
        <w:pStyle w:val="19"/>
        <w:widowControl/>
        <w:spacing w:before="75" w:beforeAutospacing="0" w:after="75" w:afterAutospacing="0"/>
        <w:jc w:val="center"/>
        <w:rPr>
          <w:rStyle w:val="26"/>
          <w:rFonts w:hint="eastAsia" w:ascii="宋体" w:hAnsi="宋体" w:cs="宋体"/>
          <w:color w:val="auto"/>
          <w:sz w:val="31"/>
          <w:szCs w:val="31"/>
          <w:highlight w:val="none"/>
        </w:rPr>
      </w:pPr>
    </w:p>
    <w:p w14:paraId="2258D154">
      <w:pPr>
        <w:pStyle w:val="19"/>
        <w:widowControl/>
        <w:spacing w:before="75" w:beforeAutospacing="0" w:after="75" w:afterAutospacing="0"/>
        <w:jc w:val="center"/>
        <w:rPr>
          <w:rStyle w:val="26"/>
          <w:rFonts w:hint="eastAsia" w:ascii="宋体" w:hAnsi="宋体" w:cs="宋体"/>
          <w:color w:val="auto"/>
          <w:sz w:val="31"/>
          <w:szCs w:val="31"/>
          <w:highlight w:val="none"/>
        </w:rPr>
      </w:pPr>
    </w:p>
    <w:p w14:paraId="5CC4DAD3">
      <w:pPr>
        <w:pStyle w:val="19"/>
        <w:widowControl/>
        <w:spacing w:before="75" w:beforeAutospacing="0" w:after="75" w:afterAutospacing="0"/>
        <w:jc w:val="center"/>
        <w:rPr>
          <w:rStyle w:val="26"/>
          <w:rFonts w:hint="eastAsia" w:ascii="宋体" w:hAnsi="宋体" w:cs="宋体"/>
          <w:color w:val="auto"/>
          <w:sz w:val="31"/>
          <w:szCs w:val="31"/>
          <w:highlight w:val="none"/>
        </w:rPr>
      </w:pPr>
    </w:p>
    <w:p w14:paraId="44E6430D">
      <w:pPr>
        <w:pStyle w:val="19"/>
        <w:widowControl/>
        <w:spacing w:before="75" w:beforeAutospacing="0" w:after="75" w:afterAutospacing="0"/>
        <w:jc w:val="center"/>
        <w:rPr>
          <w:rStyle w:val="26"/>
          <w:rFonts w:hint="eastAsia" w:ascii="宋体" w:hAnsi="宋体" w:cs="宋体"/>
          <w:color w:val="auto"/>
          <w:sz w:val="31"/>
          <w:szCs w:val="31"/>
          <w:highlight w:val="none"/>
        </w:rPr>
      </w:pPr>
    </w:p>
    <w:p w14:paraId="7E3B0085">
      <w:pPr>
        <w:pStyle w:val="19"/>
        <w:widowControl/>
        <w:spacing w:before="75" w:beforeAutospacing="0" w:after="75" w:afterAutospacing="0"/>
        <w:jc w:val="center"/>
        <w:rPr>
          <w:rStyle w:val="26"/>
          <w:rFonts w:hint="eastAsia" w:ascii="宋体" w:hAnsi="宋体" w:cs="宋体"/>
          <w:color w:val="auto"/>
          <w:sz w:val="31"/>
          <w:szCs w:val="31"/>
          <w:highlight w:val="none"/>
        </w:rPr>
      </w:pPr>
    </w:p>
    <w:p w14:paraId="4DDE88C6">
      <w:pPr>
        <w:pStyle w:val="19"/>
        <w:widowControl/>
        <w:spacing w:before="75" w:beforeAutospacing="0" w:after="75" w:afterAutospacing="0"/>
        <w:jc w:val="center"/>
        <w:rPr>
          <w:rStyle w:val="26"/>
          <w:rFonts w:hint="eastAsia" w:ascii="宋体" w:hAnsi="宋体" w:cs="宋体"/>
          <w:color w:val="auto"/>
          <w:sz w:val="31"/>
          <w:szCs w:val="31"/>
          <w:highlight w:val="none"/>
        </w:rPr>
      </w:pPr>
    </w:p>
    <w:p w14:paraId="53CDB7F2">
      <w:pPr>
        <w:pStyle w:val="19"/>
        <w:widowControl/>
        <w:spacing w:before="75" w:beforeAutospacing="0" w:after="75" w:afterAutospacing="0"/>
        <w:jc w:val="center"/>
        <w:rPr>
          <w:rStyle w:val="26"/>
          <w:rFonts w:hint="eastAsia" w:ascii="宋体" w:hAnsi="宋体" w:cs="宋体"/>
          <w:color w:val="auto"/>
          <w:sz w:val="31"/>
          <w:szCs w:val="31"/>
          <w:highlight w:val="none"/>
        </w:rPr>
      </w:pPr>
    </w:p>
    <w:p w14:paraId="19391591">
      <w:pPr>
        <w:pStyle w:val="19"/>
        <w:widowControl/>
        <w:spacing w:before="75" w:beforeAutospacing="0" w:after="75" w:afterAutospacing="0"/>
        <w:jc w:val="center"/>
        <w:rPr>
          <w:rStyle w:val="26"/>
          <w:rFonts w:hint="eastAsia" w:ascii="宋体" w:hAnsi="宋体" w:cs="宋体"/>
          <w:color w:val="auto"/>
          <w:sz w:val="31"/>
          <w:szCs w:val="31"/>
          <w:highlight w:val="none"/>
        </w:rPr>
      </w:pPr>
    </w:p>
    <w:p w14:paraId="14101B97">
      <w:pPr>
        <w:pStyle w:val="19"/>
        <w:widowControl/>
        <w:spacing w:before="75" w:beforeAutospacing="0" w:after="75" w:afterAutospacing="0"/>
        <w:jc w:val="center"/>
        <w:rPr>
          <w:rStyle w:val="26"/>
          <w:rFonts w:hint="eastAsia" w:ascii="宋体" w:hAnsi="宋体" w:cs="宋体"/>
          <w:color w:val="auto"/>
          <w:sz w:val="31"/>
          <w:szCs w:val="31"/>
          <w:highlight w:val="none"/>
        </w:rPr>
      </w:pPr>
    </w:p>
    <w:p w14:paraId="75AFE106">
      <w:pPr>
        <w:pStyle w:val="19"/>
        <w:widowControl/>
        <w:spacing w:before="75" w:beforeAutospacing="0" w:after="75" w:afterAutospacing="0"/>
        <w:jc w:val="center"/>
        <w:rPr>
          <w:rStyle w:val="26"/>
          <w:rFonts w:hint="eastAsia" w:ascii="宋体" w:hAnsi="宋体" w:cs="宋体"/>
          <w:color w:val="auto"/>
          <w:sz w:val="31"/>
          <w:szCs w:val="31"/>
          <w:highlight w:val="none"/>
        </w:rPr>
      </w:pPr>
    </w:p>
    <w:p w14:paraId="651F08F2">
      <w:pPr>
        <w:pStyle w:val="19"/>
        <w:widowControl/>
        <w:spacing w:before="75" w:beforeAutospacing="0" w:after="75" w:afterAutospacing="0"/>
        <w:jc w:val="center"/>
        <w:rPr>
          <w:rStyle w:val="26"/>
          <w:rFonts w:hint="eastAsia" w:ascii="宋体" w:hAnsi="宋体" w:cs="宋体"/>
          <w:color w:val="auto"/>
          <w:sz w:val="31"/>
          <w:szCs w:val="31"/>
          <w:highlight w:val="none"/>
        </w:rPr>
      </w:pPr>
    </w:p>
    <w:p w14:paraId="4334A208">
      <w:pPr>
        <w:pStyle w:val="19"/>
        <w:widowControl/>
        <w:spacing w:before="75" w:beforeAutospacing="0" w:after="75" w:afterAutospacing="0"/>
        <w:jc w:val="center"/>
        <w:rPr>
          <w:rStyle w:val="26"/>
          <w:rFonts w:hint="eastAsia" w:ascii="宋体" w:hAnsi="宋体" w:cs="宋体"/>
          <w:color w:val="auto"/>
          <w:sz w:val="31"/>
          <w:szCs w:val="31"/>
          <w:highlight w:val="none"/>
        </w:rPr>
      </w:pPr>
    </w:p>
    <w:p w14:paraId="50027331">
      <w:pPr>
        <w:pStyle w:val="19"/>
        <w:widowControl/>
        <w:spacing w:before="75" w:beforeAutospacing="0" w:after="75" w:afterAutospacing="0"/>
        <w:jc w:val="center"/>
        <w:rPr>
          <w:rStyle w:val="26"/>
          <w:rFonts w:hint="eastAsia" w:ascii="宋体" w:hAnsi="宋体" w:cs="宋体"/>
          <w:color w:val="auto"/>
          <w:sz w:val="31"/>
          <w:szCs w:val="31"/>
          <w:highlight w:val="none"/>
        </w:rPr>
      </w:pPr>
    </w:p>
    <w:p w14:paraId="16CE1FD1">
      <w:pPr>
        <w:pStyle w:val="19"/>
        <w:widowControl/>
        <w:spacing w:before="75" w:beforeAutospacing="0" w:after="75" w:afterAutospacing="0"/>
        <w:jc w:val="center"/>
        <w:rPr>
          <w:color w:val="auto"/>
          <w:highlight w:val="none"/>
        </w:rPr>
      </w:pPr>
      <w:r>
        <w:rPr>
          <w:rStyle w:val="26"/>
          <w:rFonts w:hint="eastAsia" w:ascii="宋体" w:hAnsi="宋体" w:cs="宋体"/>
          <w:color w:val="auto"/>
          <w:sz w:val="31"/>
          <w:szCs w:val="31"/>
          <w:highlight w:val="none"/>
        </w:rPr>
        <w:t>第五章</w:t>
      </w:r>
      <w:r>
        <w:rPr>
          <w:rStyle w:val="26"/>
          <w:color w:val="auto"/>
          <w:sz w:val="31"/>
          <w:szCs w:val="31"/>
          <w:highlight w:val="none"/>
        </w:rPr>
        <w:t>   </w:t>
      </w:r>
      <w:r>
        <w:rPr>
          <w:rStyle w:val="26"/>
          <w:rFonts w:hint="eastAsia" w:ascii="宋体" w:hAnsi="宋体" w:cs="宋体"/>
          <w:color w:val="auto"/>
          <w:sz w:val="31"/>
          <w:szCs w:val="31"/>
          <w:highlight w:val="none"/>
        </w:rPr>
        <w:t>招标内容及要求</w:t>
      </w:r>
    </w:p>
    <w:p w14:paraId="22B59C6D">
      <w:pPr>
        <w:pStyle w:val="19"/>
        <w:widowControl/>
        <w:numPr>
          <w:ilvl w:val="0"/>
          <w:numId w:val="2"/>
        </w:numPr>
        <w:spacing w:before="75" w:beforeAutospacing="0" w:after="75" w:afterAutospacing="0"/>
        <w:rPr>
          <w:b/>
          <w:bCs/>
          <w:color w:val="auto"/>
          <w:highlight w:val="none"/>
        </w:rPr>
      </w:pPr>
      <w:r>
        <w:rPr>
          <w:rFonts w:hint="eastAsia" w:ascii="华文中宋" w:hAnsi="华文中宋" w:eastAsia="华文中宋" w:cs="华文中宋"/>
          <w:color w:val="auto"/>
          <w:sz w:val="36"/>
          <w:szCs w:val="36"/>
          <w:highlight w:val="none"/>
        </w:rPr>
        <w:t>★</w:t>
      </w:r>
      <w:r>
        <w:rPr>
          <w:b/>
          <w:bCs/>
          <w:color w:val="auto"/>
          <w:highlight w:val="none"/>
        </w:rPr>
        <w:t>项目概况（采购标的）</w:t>
      </w:r>
    </w:p>
    <w:p w14:paraId="4A9BBB59">
      <w:pPr>
        <w:keepNext w:val="0"/>
        <w:keepLines w:val="0"/>
        <w:pageBreakBefore w:val="0"/>
        <w:numPr>
          <w:ilvl w:val="0"/>
          <w:numId w:val="0"/>
        </w:numPr>
        <w:kinsoku/>
        <w:wordWrap/>
        <w:overflowPunct/>
        <w:topLinePunct w:val="0"/>
        <w:autoSpaceDE/>
        <w:autoSpaceDN/>
        <w:bidi w:val="0"/>
        <w:spacing w:beforeAutospacing="0" w:afterAutospacing="0" w:line="400" w:lineRule="exact"/>
        <w:ind w:firstLine="482" w:firstLineChars="20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lang w:eastAsia="zh-CN"/>
        </w:rPr>
        <w:t>项目简况</w:t>
      </w:r>
    </w:p>
    <w:p w14:paraId="2B3ADBB0">
      <w:pPr>
        <w:pStyle w:val="38"/>
        <w:keepNext w:val="0"/>
        <w:keepLines w:val="0"/>
        <w:pageBreakBefore w:val="0"/>
        <w:kinsoku/>
        <w:wordWrap/>
        <w:overflowPunct/>
        <w:topLinePunct w:val="0"/>
        <w:autoSpaceDE/>
        <w:autoSpaceDN/>
        <w:bidi w:val="0"/>
        <w:spacing w:beforeAutospacing="0" w:afterAutospacing="0" w:line="400" w:lineRule="exact"/>
        <w:ind w:firstLine="480"/>
        <w:textAlignment w:val="auto"/>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本项目为湄洲湾职业技术学院荔园餐厅一层经营管理服务团队托管项目，面积约2200平方米，食堂座位数为800位。通过招标引入服务团队，负责食堂一日三餐的加工制作和清洁卫生、现场管理等劳务。</w:t>
      </w:r>
    </w:p>
    <w:p w14:paraId="64B656EC">
      <w:pPr>
        <w:pStyle w:val="38"/>
        <w:keepNext w:val="0"/>
        <w:keepLines w:val="0"/>
        <w:pageBreakBefore w:val="0"/>
        <w:kinsoku/>
        <w:wordWrap/>
        <w:overflowPunct/>
        <w:topLinePunct w:val="0"/>
        <w:autoSpaceDE/>
        <w:autoSpaceDN/>
        <w:bidi w:val="0"/>
        <w:spacing w:beforeAutospacing="0" w:afterAutospacing="0" w:line="400" w:lineRule="exact"/>
        <w:ind w:firstLine="480"/>
        <w:textAlignment w:val="auto"/>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业务委托：食堂的日常经营管理运作，协助采购人交办的其他工作。包括人员聘用、管理、工资、福利、加班费、</w:t>
      </w:r>
      <w:r>
        <w:rPr>
          <w:rFonts w:hint="eastAsia" w:ascii="宋体" w:hAnsi="宋体" w:cs="宋体"/>
          <w:b w:val="0"/>
          <w:bCs/>
          <w:color w:val="auto"/>
          <w:kern w:val="0"/>
          <w:sz w:val="24"/>
          <w:szCs w:val="24"/>
          <w:highlight w:val="none"/>
          <w:lang w:val="en-US" w:eastAsia="zh-CN"/>
        </w:rPr>
        <w:t>伙食费、</w:t>
      </w:r>
      <w:r>
        <w:rPr>
          <w:rFonts w:hint="eastAsia" w:ascii="宋体" w:hAnsi="宋体" w:cs="宋体"/>
          <w:bCs/>
          <w:color w:val="auto"/>
          <w:kern w:val="0"/>
          <w:sz w:val="24"/>
          <w:szCs w:val="24"/>
          <w:highlight w:val="none"/>
        </w:rPr>
        <w:t>保险费用、税费等服务人员相关事项，日常办公电脑的配备及日常耗材采购，</w:t>
      </w:r>
      <w:r>
        <w:rPr>
          <w:rFonts w:hint="eastAsia" w:ascii="宋体" w:hAnsi="宋体" w:cs="宋体"/>
          <w:bCs/>
          <w:color w:val="auto"/>
          <w:kern w:val="0"/>
          <w:sz w:val="24"/>
          <w:szCs w:val="24"/>
          <w:highlight w:val="none"/>
          <w:u w:val="single"/>
        </w:rPr>
        <w:t>食堂</w:t>
      </w:r>
      <w:r>
        <w:rPr>
          <w:rFonts w:hint="eastAsia" w:ascii="宋体" w:hAnsi="宋体" w:cs="宋体"/>
          <w:bCs/>
          <w:color w:val="auto"/>
          <w:kern w:val="0"/>
          <w:sz w:val="24"/>
          <w:szCs w:val="24"/>
          <w:highlight w:val="none"/>
          <w:u w:val="single"/>
          <w:lang w:val="en-US" w:eastAsia="zh-CN"/>
        </w:rPr>
        <w:t>文化</w:t>
      </w:r>
      <w:r>
        <w:rPr>
          <w:rFonts w:hint="eastAsia" w:ascii="宋体" w:hAnsi="宋体" w:cs="宋体"/>
          <w:bCs/>
          <w:color w:val="auto"/>
          <w:kern w:val="0"/>
          <w:sz w:val="24"/>
          <w:szCs w:val="24"/>
          <w:highlight w:val="none"/>
          <w:u w:val="single"/>
        </w:rPr>
        <w:t>宣传</w:t>
      </w:r>
      <w:r>
        <w:rPr>
          <w:rFonts w:hint="eastAsia" w:ascii="宋体" w:hAnsi="宋体" w:cs="宋体"/>
          <w:bCs/>
          <w:color w:val="auto"/>
          <w:kern w:val="0"/>
          <w:sz w:val="24"/>
          <w:szCs w:val="24"/>
          <w:highlight w:val="none"/>
          <w:u w:val="single"/>
          <w:lang w:val="en-US" w:eastAsia="zh-CN"/>
        </w:rPr>
        <w:t>氛围</w:t>
      </w:r>
      <w:r>
        <w:rPr>
          <w:rFonts w:hint="eastAsia" w:ascii="宋体" w:hAnsi="宋体" w:cs="宋体"/>
          <w:bCs/>
          <w:color w:val="auto"/>
          <w:kern w:val="0"/>
          <w:sz w:val="24"/>
          <w:szCs w:val="24"/>
          <w:highlight w:val="none"/>
          <w:u w:val="single"/>
        </w:rPr>
        <w:t>的制作</w:t>
      </w:r>
      <w:r>
        <w:rPr>
          <w:rFonts w:hint="eastAsia" w:ascii="宋体" w:hAnsi="宋体" w:cs="宋体"/>
          <w:bCs/>
          <w:color w:val="auto"/>
          <w:kern w:val="0"/>
          <w:sz w:val="24"/>
          <w:szCs w:val="24"/>
          <w:highlight w:val="none"/>
        </w:rPr>
        <w:t>，</w:t>
      </w:r>
      <w:r>
        <w:rPr>
          <w:rFonts w:hint="eastAsia" w:ascii="宋体" w:hAnsi="宋体" w:cs="宋体"/>
          <w:bCs/>
          <w:color w:val="auto"/>
          <w:kern w:val="0"/>
          <w:sz w:val="24"/>
          <w:szCs w:val="24"/>
          <w:highlight w:val="none"/>
          <w:u w:val="single"/>
        </w:rPr>
        <w:t>个人劳保用品（服装、手套、口罩、帽子等）</w:t>
      </w:r>
      <w:r>
        <w:rPr>
          <w:rFonts w:hint="eastAsia" w:ascii="宋体" w:hAnsi="宋体" w:cs="宋体"/>
          <w:bCs/>
          <w:color w:val="auto"/>
          <w:kern w:val="0"/>
          <w:sz w:val="24"/>
          <w:szCs w:val="24"/>
          <w:highlight w:val="none"/>
        </w:rPr>
        <w:t>、</w:t>
      </w:r>
      <w:r>
        <w:rPr>
          <w:rFonts w:hint="eastAsia" w:ascii="宋体" w:hAnsi="宋体" w:cs="宋体"/>
          <w:bCs/>
          <w:color w:val="auto"/>
          <w:kern w:val="0"/>
          <w:sz w:val="24"/>
          <w:szCs w:val="24"/>
          <w:highlight w:val="none"/>
          <w:u w:val="single"/>
        </w:rPr>
        <w:t>企业为改进工作效率而使用的各类工用具</w:t>
      </w:r>
      <w:r>
        <w:rPr>
          <w:rFonts w:hint="eastAsia" w:ascii="宋体" w:hAnsi="宋体" w:cs="宋体"/>
          <w:bCs/>
          <w:color w:val="auto"/>
          <w:kern w:val="0"/>
          <w:sz w:val="24"/>
          <w:szCs w:val="24"/>
          <w:highlight w:val="none"/>
        </w:rPr>
        <w:t>、</w:t>
      </w:r>
      <w:r>
        <w:rPr>
          <w:rFonts w:hint="eastAsia" w:ascii="宋体" w:hAnsi="宋体" w:cs="宋体"/>
          <w:bCs/>
          <w:color w:val="auto"/>
          <w:kern w:val="0"/>
          <w:sz w:val="24"/>
          <w:szCs w:val="24"/>
          <w:highlight w:val="none"/>
          <w:u w:val="single"/>
        </w:rPr>
        <w:t>日常保洁器材、食堂日常洗消用品（消毒液、洗洁精、碱粉、烧碱等</w:t>
      </w:r>
      <w:r>
        <w:rPr>
          <w:rFonts w:hint="eastAsia" w:ascii="宋体" w:hAnsi="宋体" w:cs="宋体"/>
          <w:color w:val="auto"/>
          <w:sz w:val="24"/>
          <w:szCs w:val="24"/>
          <w:highlight w:val="none"/>
          <w:u w:val="single"/>
        </w:rPr>
        <w:t>，必须符合国家标准）</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食堂企业文化宣传布置</w:t>
      </w:r>
      <w:r>
        <w:rPr>
          <w:rFonts w:hint="eastAsia" w:ascii="宋体" w:hAnsi="宋体" w:cs="宋体"/>
          <w:bCs/>
          <w:color w:val="auto"/>
          <w:kern w:val="0"/>
          <w:sz w:val="24"/>
          <w:szCs w:val="24"/>
          <w:highlight w:val="none"/>
        </w:rPr>
        <w:t>等食堂日常运营所需的各类辅材以及设施设备的</w:t>
      </w:r>
      <w:r>
        <w:rPr>
          <w:rFonts w:hint="eastAsia" w:ascii="宋体" w:hAnsi="宋体" w:cs="宋体"/>
          <w:color w:val="auto"/>
          <w:sz w:val="24"/>
          <w:szCs w:val="24"/>
          <w:highlight w:val="none"/>
          <w:u w:val="single"/>
        </w:rPr>
        <w:t>因人为损坏引起的损坏维修</w:t>
      </w:r>
      <w:r>
        <w:rPr>
          <w:rFonts w:hint="eastAsia" w:ascii="宋体" w:hAnsi="宋体" w:cs="宋体"/>
          <w:bCs/>
          <w:color w:val="auto"/>
          <w:kern w:val="0"/>
          <w:sz w:val="24"/>
          <w:szCs w:val="24"/>
          <w:highlight w:val="none"/>
        </w:rPr>
        <w:t>等；不包括食品采购、水电费、设施设备的新增或维修（非人为损坏)等其它场地硬件设施改造。</w:t>
      </w:r>
    </w:p>
    <w:p w14:paraId="2FAA1640">
      <w:pPr>
        <w:keepNext w:val="0"/>
        <w:keepLines w:val="0"/>
        <w:pageBreakBefore w:val="0"/>
        <w:numPr>
          <w:ilvl w:val="0"/>
          <w:numId w:val="0"/>
        </w:numPr>
        <w:kinsoku/>
        <w:wordWrap/>
        <w:overflowPunct/>
        <w:topLinePunct w:val="0"/>
        <w:autoSpaceDE/>
        <w:autoSpaceDN/>
        <w:bidi w:val="0"/>
        <w:spacing w:beforeAutospacing="0" w:afterAutospacing="0" w:line="4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项目内容</w:t>
      </w:r>
    </w:p>
    <w:p w14:paraId="161C978D">
      <w:pPr>
        <w:keepNext w:val="0"/>
        <w:keepLines w:val="0"/>
        <w:pageBreakBefore w:val="0"/>
        <w:numPr>
          <w:ilvl w:val="0"/>
          <w:numId w:val="3"/>
        </w:numPr>
        <w:kinsoku/>
        <w:wordWrap/>
        <w:overflowPunct/>
        <w:topLinePunct w:val="0"/>
        <w:autoSpaceDE/>
        <w:autoSpaceDN/>
        <w:bidi w:val="0"/>
        <w:spacing w:beforeAutospacing="0" w:afterAutospacing="0"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按照</w:t>
      </w:r>
      <w:r>
        <w:rPr>
          <w:rFonts w:hint="eastAsia" w:ascii="宋体" w:hAnsi="宋体" w:cs="宋体"/>
          <w:bCs/>
          <w:color w:val="auto"/>
          <w:sz w:val="24"/>
          <w:szCs w:val="24"/>
          <w:highlight w:val="none"/>
          <w:lang w:eastAsia="zh-CN"/>
        </w:rPr>
        <w:t>采购人</w:t>
      </w:r>
      <w:r>
        <w:rPr>
          <w:rFonts w:hint="eastAsia" w:ascii="宋体" w:hAnsi="宋体" w:eastAsia="宋体" w:cs="宋体"/>
          <w:bCs/>
          <w:color w:val="auto"/>
          <w:sz w:val="24"/>
          <w:szCs w:val="24"/>
          <w:highlight w:val="none"/>
        </w:rPr>
        <w:t>提出的菜品质量和花样品种总体要求，根据学生用餐的特点，加工制作满足营养需求的餐食等。</w:t>
      </w:r>
    </w:p>
    <w:p w14:paraId="3C8ED693">
      <w:pPr>
        <w:keepNext w:val="0"/>
        <w:keepLines w:val="0"/>
        <w:pageBreakBefore w:val="0"/>
        <w:numPr>
          <w:ilvl w:val="0"/>
          <w:numId w:val="3"/>
        </w:numPr>
        <w:kinsoku/>
        <w:wordWrap/>
        <w:overflowPunct/>
        <w:topLinePunct w:val="0"/>
        <w:autoSpaceDE/>
        <w:autoSpaceDN/>
        <w:bidi w:val="0"/>
        <w:spacing w:beforeAutospacing="0" w:afterAutospacing="0"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按照</w:t>
      </w:r>
      <w:r>
        <w:rPr>
          <w:rFonts w:hint="eastAsia" w:ascii="宋体" w:hAnsi="宋体" w:cs="宋体"/>
          <w:bCs/>
          <w:color w:val="auto"/>
          <w:sz w:val="24"/>
          <w:szCs w:val="24"/>
          <w:highlight w:val="none"/>
          <w:lang w:eastAsia="zh-CN"/>
        </w:rPr>
        <w:t>采购人</w:t>
      </w:r>
      <w:r>
        <w:rPr>
          <w:rFonts w:hint="eastAsia" w:ascii="宋体" w:hAnsi="宋体" w:eastAsia="宋体" w:cs="宋体"/>
          <w:bCs/>
          <w:color w:val="auto"/>
          <w:sz w:val="24"/>
          <w:szCs w:val="24"/>
          <w:highlight w:val="none"/>
        </w:rPr>
        <w:t>规定的时间进行加工售卖，保障师生的伙食。</w:t>
      </w:r>
    </w:p>
    <w:p w14:paraId="738D7EF6">
      <w:pPr>
        <w:keepNext w:val="0"/>
        <w:keepLines w:val="0"/>
        <w:pageBreakBefore w:val="0"/>
        <w:numPr>
          <w:ilvl w:val="0"/>
          <w:numId w:val="3"/>
        </w:numPr>
        <w:kinsoku/>
        <w:wordWrap/>
        <w:overflowPunct/>
        <w:topLinePunct w:val="0"/>
        <w:autoSpaceDE/>
        <w:autoSpaceDN/>
        <w:bidi w:val="0"/>
        <w:spacing w:beforeAutospacing="0" w:afterAutospacing="0"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服务团队工作内容包括但不限于以下事项：配合</w:t>
      </w:r>
      <w:r>
        <w:rPr>
          <w:rFonts w:hint="eastAsia" w:ascii="宋体" w:hAnsi="宋体" w:cs="宋体"/>
          <w:bCs/>
          <w:color w:val="auto"/>
          <w:sz w:val="24"/>
          <w:szCs w:val="24"/>
          <w:highlight w:val="none"/>
          <w:lang w:eastAsia="zh-CN"/>
        </w:rPr>
        <w:t>采购人</w:t>
      </w:r>
      <w:r>
        <w:rPr>
          <w:rFonts w:hint="eastAsia" w:ascii="宋体" w:hAnsi="宋体" w:eastAsia="宋体" w:cs="宋体"/>
          <w:bCs/>
          <w:color w:val="auto"/>
          <w:sz w:val="24"/>
          <w:szCs w:val="24"/>
          <w:highlight w:val="none"/>
        </w:rPr>
        <w:t>接收食材及食材验收工作，烹饪制作饭菜、售卖、收银、洗碗、餐厅卫生、食堂相关卫生安全检查资料等服务。</w:t>
      </w:r>
    </w:p>
    <w:p w14:paraId="1541740D">
      <w:pPr>
        <w:keepNext w:val="0"/>
        <w:keepLines w:val="0"/>
        <w:pageBreakBefore w:val="0"/>
        <w:numPr>
          <w:ilvl w:val="0"/>
          <w:numId w:val="3"/>
        </w:numPr>
        <w:kinsoku/>
        <w:wordWrap/>
        <w:overflowPunct/>
        <w:topLinePunct w:val="0"/>
        <w:autoSpaceDE/>
        <w:autoSpaceDN/>
        <w:bidi w:val="0"/>
        <w:spacing w:beforeAutospacing="0" w:afterAutospacing="0"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按照《食品安全法》、《餐饮服务食品安全操作规范》等相关法律法规和各级部门的要求进行操作，保证食品安全。</w:t>
      </w:r>
    </w:p>
    <w:p w14:paraId="73DB61A4">
      <w:pPr>
        <w:pStyle w:val="38"/>
        <w:keepNext w:val="0"/>
        <w:keepLines w:val="0"/>
        <w:pageBreakBefore w:val="0"/>
        <w:numPr>
          <w:ilvl w:val="0"/>
          <w:numId w:val="0"/>
        </w:numPr>
        <w:kinsoku/>
        <w:wordWrap/>
        <w:overflowPunct/>
        <w:topLinePunct w:val="0"/>
        <w:autoSpaceDE/>
        <w:autoSpaceDN/>
        <w:bidi w:val="0"/>
        <w:spacing w:beforeAutospacing="0" w:afterAutospacing="0" w:line="400" w:lineRule="exact"/>
        <w:ind w:firstLine="482" w:firstLineChars="200"/>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3.</w:t>
      </w:r>
      <w:r>
        <w:rPr>
          <w:rFonts w:hint="eastAsia" w:ascii="宋体" w:hAnsi="宋体" w:cs="宋体"/>
          <w:b/>
          <w:color w:val="auto"/>
          <w:sz w:val="24"/>
          <w:szCs w:val="24"/>
          <w:highlight w:val="none"/>
        </w:rPr>
        <w:t>项目限价</w:t>
      </w:r>
    </w:p>
    <w:p w14:paraId="6E03C68F">
      <w:pPr>
        <w:pStyle w:val="38"/>
        <w:keepNext w:val="0"/>
        <w:keepLines w:val="0"/>
        <w:pageBreakBefore w:val="0"/>
        <w:kinsoku/>
        <w:wordWrap/>
        <w:overflowPunct/>
        <w:topLinePunct w:val="0"/>
        <w:autoSpaceDE/>
        <w:autoSpaceDN/>
        <w:bidi w:val="0"/>
        <w:spacing w:beforeAutospacing="0" w:afterAutospacing="0" w:line="400" w:lineRule="exact"/>
        <w:ind w:firstLine="420" w:firstLineChars="175"/>
        <w:textAlignment w:val="auto"/>
        <w:rPr>
          <w:rFonts w:hint="eastAsia" w:ascii="宋体" w:hAnsi="宋体" w:cs="宋体"/>
          <w:b w:val="0"/>
          <w:bCs/>
          <w:color w:val="auto"/>
          <w:kern w:val="0"/>
          <w:sz w:val="24"/>
          <w:szCs w:val="24"/>
          <w:highlight w:val="none"/>
        </w:rPr>
      </w:pPr>
      <w:r>
        <w:rPr>
          <w:rFonts w:hint="eastAsia" w:ascii="宋体" w:hAnsi="宋体" w:cs="宋体"/>
          <w:b w:val="0"/>
          <w:bCs/>
          <w:color w:val="auto"/>
          <w:kern w:val="0"/>
          <w:sz w:val="24"/>
          <w:szCs w:val="24"/>
          <w:highlight w:val="none"/>
        </w:rPr>
        <w:t>本项目设单价最高限价15万元/月</w:t>
      </w:r>
      <w:r>
        <w:rPr>
          <w:rFonts w:hint="eastAsia" w:ascii="宋体" w:hAnsi="宋体" w:cs="宋体"/>
          <w:b w:val="0"/>
          <w:bCs/>
          <w:color w:val="auto"/>
          <w:kern w:val="0"/>
          <w:sz w:val="24"/>
          <w:szCs w:val="24"/>
          <w:highlight w:val="none"/>
          <w:lang w:eastAsia="zh-CN"/>
        </w:rPr>
        <w:t>（</w:t>
      </w:r>
      <w:r>
        <w:rPr>
          <w:rFonts w:hint="eastAsia" w:ascii="宋体" w:hAnsi="宋体" w:cs="宋体"/>
          <w:b w:val="0"/>
          <w:bCs/>
          <w:color w:val="auto"/>
          <w:kern w:val="0"/>
          <w:sz w:val="24"/>
          <w:szCs w:val="24"/>
          <w:highlight w:val="none"/>
          <w:lang w:val="en-US" w:eastAsia="zh-CN"/>
        </w:rPr>
        <w:t>报价为每月</w:t>
      </w:r>
      <w:r>
        <w:rPr>
          <w:rFonts w:hint="eastAsia" w:ascii="宋体" w:hAnsi="宋体" w:cs="宋体"/>
          <w:b w:val="0"/>
          <w:bCs/>
          <w:color w:val="auto"/>
          <w:kern w:val="0"/>
          <w:sz w:val="24"/>
          <w:szCs w:val="24"/>
          <w:highlight w:val="none"/>
        </w:rPr>
        <w:t>基本</w:t>
      </w:r>
      <w:r>
        <w:rPr>
          <w:rFonts w:hint="eastAsia" w:ascii="宋体" w:hAnsi="宋体" w:cs="宋体"/>
          <w:b w:val="0"/>
          <w:bCs/>
          <w:color w:val="auto"/>
          <w:kern w:val="0"/>
          <w:sz w:val="24"/>
          <w:szCs w:val="24"/>
          <w:highlight w:val="none"/>
          <w:lang w:val="en-US" w:eastAsia="zh-CN"/>
        </w:rPr>
        <w:t>费用</w:t>
      </w:r>
      <w:r>
        <w:rPr>
          <w:rFonts w:hint="eastAsia" w:ascii="宋体" w:hAnsi="宋体" w:cs="宋体"/>
          <w:b w:val="0"/>
          <w:bCs/>
          <w:color w:val="auto"/>
          <w:kern w:val="0"/>
          <w:sz w:val="24"/>
          <w:szCs w:val="24"/>
          <w:highlight w:val="none"/>
        </w:rPr>
        <w:t>，不</w:t>
      </w:r>
      <w:r>
        <w:rPr>
          <w:rFonts w:hint="eastAsia" w:ascii="宋体" w:hAnsi="宋体" w:cs="宋体"/>
          <w:b w:val="0"/>
          <w:bCs/>
          <w:color w:val="auto"/>
          <w:kern w:val="0"/>
          <w:sz w:val="24"/>
          <w:szCs w:val="24"/>
          <w:highlight w:val="none"/>
          <w:lang w:val="en-US" w:eastAsia="zh-CN"/>
        </w:rPr>
        <w:t>包括</w:t>
      </w:r>
      <w:r>
        <w:rPr>
          <w:rFonts w:hint="eastAsia" w:ascii="宋体" w:hAnsi="宋体" w:cs="宋体"/>
          <w:b w:val="0"/>
          <w:bCs/>
          <w:color w:val="auto"/>
          <w:kern w:val="0"/>
          <w:sz w:val="24"/>
          <w:szCs w:val="24"/>
          <w:highlight w:val="none"/>
        </w:rPr>
        <w:t>其它奖励性费用），</w:t>
      </w:r>
      <w:r>
        <w:rPr>
          <w:rFonts w:hint="eastAsia" w:ascii="宋体" w:hAnsi="宋体" w:cs="宋体"/>
          <w:b w:val="0"/>
          <w:bCs/>
          <w:color w:val="auto"/>
          <w:kern w:val="0"/>
          <w:sz w:val="24"/>
          <w:szCs w:val="24"/>
          <w:highlight w:val="none"/>
          <w:u w:val="single"/>
          <w:lang w:val="en-US" w:eastAsia="zh-CN"/>
        </w:rPr>
        <w:t>3年</w:t>
      </w:r>
      <w:r>
        <w:rPr>
          <w:rFonts w:hint="eastAsia" w:ascii="宋体" w:hAnsi="宋体" w:cs="宋体"/>
          <w:b w:val="0"/>
          <w:bCs/>
          <w:color w:val="auto"/>
          <w:kern w:val="0"/>
          <w:sz w:val="24"/>
          <w:szCs w:val="24"/>
          <w:highlight w:val="none"/>
          <w:u w:val="single"/>
        </w:rPr>
        <w:t>预算总额</w:t>
      </w:r>
      <w:r>
        <w:rPr>
          <w:rFonts w:hint="eastAsia" w:ascii="宋体" w:hAnsi="宋体" w:cs="宋体"/>
          <w:b w:val="0"/>
          <w:bCs/>
          <w:color w:val="auto"/>
          <w:kern w:val="0"/>
          <w:sz w:val="24"/>
          <w:szCs w:val="24"/>
          <w:highlight w:val="none"/>
          <w:u w:val="single"/>
          <w:lang w:val="en-US" w:eastAsia="zh-CN"/>
        </w:rPr>
        <w:t>690</w:t>
      </w:r>
      <w:r>
        <w:rPr>
          <w:rFonts w:hint="eastAsia" w:ascii="宋体" w:hAnsi="宋体" w:cs="宋体"/>
          <w:b w:val="0"/>
          <w:bCs/>
          <w:color w:val="auto"/>
          <w:kern w:val="0"/>
          <w:sz w:val="24"/>
          <w:szCs w:val="24"/>
          <w:highlight w:val="none"/>
          <w:u w:val="single"/>
        </w:rPr>
        <w:t>万</w:t>
      </w:r>
      <w:r>
        <w:rPr>
          <w:rFonts w:hint="eastAsia" w:ascii="宋体" w:hAnsi="宋体" w:cs="宋体"/>
          <w:b w:val="0"/>
          <w:bCs/>
          <w:color w:val="auto"/>
          <w:kern w:val="0"/>
          <w:sz w:val="24"/>
          <w:szCs w:val="24"/>
          <w:highlight w:val="none"/>
        </w:rPr>
        <w:t>（包含各种奖励性绩效，服务期内合同结算总价不得超过预算总额，超出部分不再计取支付）</w:t>
      </w:r>
      <w:r>
        <w:rPr>
          <w:rFonts w:hint="eastAsia" w:ascii="宋体" w:hAnsi="宋体" w:cs="宋体"/>
          <w:b w:val="0"/>
          <w:bCs/>
          <w:color w:val="auto"/>
          <w:kern w:val="0"/>
          <w:sz w:val="24"/>
          <w:szCs w:val="24"/>
          <w:highlight w:val="none"/>
          <w:lang w:eastAsia="zh-CN"/>
        </w:rPr>
        <w:t>，</w:t>
      </w:r>
      <w:r>
        <w:rPr>
          <w:rFonts w:hint="eastAsia" w:ascii="宋体" w:hAnsi="宋体" w:cs="宋体"/>
          <w:b w:val="0"/>
          <w:bCs/>
          <w:color w:val="auto"/>
          <w:kern w:val="0"/>
          <w:sz w:val="24"/>
          <w:szCs w:val="24"/>
          <w:highlight w:val="none"/>
        </w:rPr>
        <w:t>根据实际工作核算，按月核发。</w:t>
      </w:r>
      <w:r>
        <w:rPr>
          <w:rFonts w:hint="eastAsia" w:ascii="宋体" w:hAnsi="宋体" w:cs="宋体"/>
          <w:b w:val="0"/>
          <w:bCs/>
          <w:color w:val="auto"/>
          <w:kern w:val="0"/>
          <w:sz w:val="24"/>
          <w:szCs w:val="24"/>
          <w:highlight w:val="none"/>
          <w:lang w:val="en-US" w:eastAsia="zh-CN"/>
        </w:rPr>
        <w:t>餐厅</w:t>
      </w:r>
      <w:r>
        <w:rPr>
          <w:rFonts w:hint="eastAsia" w:ascii="宋体" w:hAnsi="宋体" w:cs="宋体"/>
          <w:b w:val="0"/>
          <w:bCs/>
          <w:color w:val="auto"/>
          <w:kern w:val="0"/>
          <w:sz w:val="24"/>
          <w:szCs w:val="24"/>
          <w:highlight w:val="none"/>
        </w:rPr>
        <w:t>寒、暑假未</w:t>
      </w:r>
      <w:r>
        <w:rPr>
          <w:rFonts w:hint="eastAsia" w:ascii="宋体" w:hAnsi="宋体" w:cs="宋体"/>
          <w:b w:val="0"/>
          <w:bCs/>
          <w:color w:val="auto"/>
          <w:kern w:val="0"/>
          <w:sz w:val="24"/>
          <w:szCs w:val="24"/>
          <w:highlight w:val="none"/>
          <w:lang w:val="en-US" w:eastAsia="zh-CN"/>
        </w:rPr>
        <w:t>要求值班</w:t>
      </w:r>
      <w:r>
        <w:rPr>
          <w:rFonts w:hint="eastAsia" w:ascii="宋体" w:hAnsi="宋体" w:cs="宋体"/>
          <w:b w:val="0"/>
          <w:bCs/>
          <w:color w:val="auto"/>
          <w:kern w:val="0"/>
          <w:sz w:val="24"/>
          <w:szCs w:val="24"/>
          <w:highlight w:val="none"/>
        </w:rPr>
        <w:t>期间不发放费用（</w:t>
      </w:r>
      <w:r>
        <w:rPr>
          <w:rFonts w:hint="eastAsia" w:ascii="宋体" w:hAnsi="宋体" w:cs="宋体"/>
          <w:b w:val="0"/>
          <w:bCs/>
          <w:color w:val="auto"/>
          <w:kern w:val="0"/>
          <w:sz w:val="24"/>
          <w:szCs w:val="24"/>
          <w:highlight w:val="none"/>
          <w:lang w:val="en-US" w:eastAsia="zh-CN"/>
        </w:rPr>
        <w:t>寒、暑假期间</w:t>
      </w:r>
      <w:r>
        <w:rPr>
          <w:rFonts w:hint="eastAsia" w:ascii="宋体" w:hAnsi="宋体" w:cs="宋体"/>
          <w:b w:val="0"/>
          <w:bCs/>
          <w:color w:val="auto"/>
          <w:kern w:val="0"/>
          <w:sz w:val="24"/>
          <w:szCs w:val="24"/>
          <w:highlight w:val="none"/>
        </w:rPr>
        <w:t>食堂员工需要的各类费用由中标人自行负责）。</w:t>
      </w:r>
    </w:p>
    <w:p w14:paraId="34A4D0B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firstLine="480" w:firstLineChars="200"/>
        <w:jc w:val="left"/>
        <w:textAlignment w:val="auto"/>
        <w:rPr>
          <w:rFonts w:hint="eastAsia" w:ascii="宋体" w:hAnsi="宋体" w:cs="宋体"/>
          <w:b w:val="0"/>
          <w:bCs/>
          <w:color w:val="auto"/>
          <w:highlight w:val="none"/>
        </w:rPr>
      </w:pPr>
      <w:r>
        <w:rPr>
          <w:rFonts w:hint="eastAsia" w:ascii="宋体" w:hAnsi="宋体" w:eastAsia="宋体" w:cs="宋体"/>
          <w:b w:val="0"/>
          <w:bCs/>
          <w:color w:val="auto"/>
          <w:kern w:val="0"/>
          <w:sz w:val="24"/>
          <w:szCs w:val="24"/>
          <w:highlight w:val="none"/>
          <w:lang w:val="en-US" w:eastAsia="zh-CN" w:bidi="ar-SA"/>
        </w:rPr>
        <w:t>注意：投标人填报的单价为每月基本费用，以此投标单价计算投标人的价格分。投标供应商投标报价包含人工费（包括工资、保险、福利等）、服装费、加班费、伙食费、税费、企业利润等全部服务费用。</w:t>
      </w:r>
    </w:p>
    <w:p w14:paraId="3B956FDF">
      <w:pPr>
        <w:pStyle w:val="19"/>
        <w:widowControl/>
        <w:spacing w:before="75" w:beforeAutospacing="0" w:after="75" w:afterAutospacing="0"/>
        <w:rPr>
          <w:rFonts w:hint="eastAsia" w:ascii="宋体" w:hAnsi="宋体" w:eastAsia="宋体" w:cs="宋体"/>
          <w:b/>
          <w:bCs/>
          <w:color w:val="auto"/>
          <w:highlight w:val="none"/>
          <w:lang w:eastAsia="zh-CN"/>
        </w:rPr>
      </w:pPr>
      <w:r>
        <w:rPr>
          <w:rFonts w:hint="eastAsia" w:ascii="宋体" w:hAnsi="宋体" w:cs="宋体"/>
          <w:b/>
          <w:bCs/>
          <w:color w:val="auto"/>
          <w:highlight w:val="none"/>
        </w:rPr>
        <w:t>二、技术和服务要求</w:t>
      </w:r>
      <w:r>
        <w:rPr>
          <w:rFonts w:hint="eastAsia" w:ascii="宋体" w:hAnsi="宋体" w:cs="宋体"/>
          <w:b/>
          <w:color w:val="auto"/>
          <w:sz w:val="24"/>
          <w:szCs w:val="18"/>
          <w:highlight w:val="none"/>
          <w:lang w:val="en-US" w:eastAsia="zh-CN"/>
        </w:rPr>
        <w:t xml:space="preserve"> </w:t>
      </w:r>
    </w:p>
    <w:p w14:paraId="2736F470">
      <w:pPr>
        <w:keepNext w:val="0"/>
        <w:keepLines w:val="0"/>
        <w:pageBreakBefore w:val="0"/>
        <w:numPr>
          <w:ilvl w:val="0"/>
          <w:numId w:val="4"/>
        </w:numPr>
        <w:kinsoku/>
        <w:wordWrap/>
        <w:overflowPunct/>
        <w:topLinePunct w:val="0"/>
        <w:autoSpaceDE/>
        <w:autoSpaceDN/>
        <w:bidi w:val="0"/>
        <w:spacing w:beforeAutospacing="0" w:afterAutospacing="0" w:line="400" w:lineRule="exact"/>
        <w:ind w:left="17" w:leftChars="8" w:firstLine="402" w:firstLineChars="167"/>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团队要求</w:t>
      </w:r>
    </w:p>
    <w:p w14:paraId="06A3CECB">
      <w:pPr>
        <w:keepNext w:val="0"/>
        <w:keepLines w:val="0"/>
        <w:pageBreakBefore w:val="0"/>
        <w:numPr>
          <w:ilvl w:val="0"/>
          <w:numId w:val="5"/>
        </w:numPr>
        <w:kinsoku/>
        <w:wordWrap/>
        <w:overflowPunct/>
        <w:topLinePunct w:val="0"/>
        <w:autoSpaceDE/>
        <w:autoSpaceDN/>
        <w:bidi w:val="0"/>
        <w:spacing w:beforeAutospacing="0" w:afterAutospacing="0" w:line="400" w:lineRule="exact"/>
        <w:ind w:left="17" w:leftChars="8" w:firstLine="439" w:firstLineChars="183"/>
        <w:textAlignment w:val="auto"/>
        <w:rPr>
          <w:rFonts w:hint="eastAsia" w:ascii="宋体" w:hAnsi="宋体" w:eastAsia="宋体" w:cs="宋体"/>
          <w:color w:val="auto"/>
          <w:sz w:val="24"/>
          <w:szCs w:val="24"/>
          <w:highlight w:val="none"/>
        </w:rPr>
      </w:pPr>
      <w:r>
        <w:rPr>
          <w:rFonts w:hint="eastAsia" w:ascii="华文中宋" w:hAnsi="华文中宋" w:eastAsia="华文中宋" w:cs="华文中宋"/>
          <w:color w:val="auto"/>
          <w:sz w:val="24"/>
          <w:szCs w:val="24"/>
          <w:highlight w:val="none"/>
        </w:rPr>
        <w:t>★</w:t>
      </w:r>
      <w:r>
        <w:rPr>
          <w:rFonts w:hint="eastAsia" w:ascii="宋体" w:hAnsi="宋体" w:eastAsia="宋体" w:cs="宋体"/>
          <w:bCs/>
          <w:color w:val="auto"/>
          <w:sz w:val="24"/>
          <w:szCs w:val="24"/>
          <w:highlight w:val="none"/>
          <w:lang w:val="en-US" w:eastAsia="zh-CN"/>
        </w:rPr>
        <w:t>现场</w:t>
      </w:r>
      <w:r>
        <w:rPr>
          <w:rFonts w:hint="eastAsia" w:ascii="宋体" w:hAnsi="宋体" w:eastAsia="宋体" w:cs="宋体"/>
          <w:bCs/>
          <w:color w:val="auto"/>
          <w:sz w:val="24"/>
          <w:szCs w:val="24"/>
          <w:highlight w:val="none"/>
        </w:rPr>
        <w:t>派驻的服务团队工作人员不得少于24人(具体根据实际就餐情况适当增加人员</w:t>
      </w:r>
      <w:r>
        <w:rPr>
          <w:rFonts w:hint="eastAsia" w:ascii="宋体" w:hAnsi="宋体" w:eastAsia="宋体" w:cs="宋体"/>
          <w:color w:val="auto"/>
          <w:sz w:val="24"/>
          <w:szCs w:val="24"/>
          <w:highlight w:val="none"/>
        </w:rPr>
        <w:t>，厨师人员不得低于最低人数4名，其它岗位可以根据需要调整</w:t>
      </w:r>
      <w:r>
        <w:rPr>
          <w:rFonts w:hint="eastAsia" w:ascii="宋体" w:hAnsi="宋体" w:eastAsia="宋体" w:cs="宋体"/>
          <w:bCs/>
          <w:color w:val="auto"/>
          <w:sz w:val="24"/>
          <w:szCs w:val="24"/>
          <w:highlight w:val="none"/>
        </w:rPr>
        <w:t>)。其中专职现场经理1名，</w:t>
      </w:r>
      <w:r>
        <w:rPr>
          <w:rFonts w:hint="eastAsia" w:ascii="宋体" w:hAnsi="宋体" w:eastAsia="宋体" w:cs="宋体"/>
          <w:b/>
          <w:bCs w:val="0"/>
          <w:color w:val="auto"/>
          <w:sz w:val="24"/>
          <w:szCs w:val="24"/>
          <w:highlight w:val="none"/>
          <w:lang w:val="en-US" w:eastAsia="zh-CN"/>
        </w:rPr>
        <w:t>厨师长</w:t>
      </w:r>
      <w:r>
        <w:rPr>
          <w:rFonts w:hint="eastAsia" w:ascii="宋体" w:hAnsi="宋体" w:eastAsia="宋体" w:cs="宋体"/>
          <w:b/>
          <w:bCs w:val="0"/>
          <w:color w:val="auto"/>
          <w:sz w:val="24"/>
          <w:szCs w:val="24"/>
          <w:highlight w:val="none"/>
        </w:rPr>
        <w:t>≥</w:t>
      </w:r>
      <w:r>
        <w:rPr>
          <w:rFonts w:hint="eastAsia" w:ascii="宋体" w:hAnsi="宋体" w:eastAsia="宋体" w:cs="宋体"/>
          <w:b/>
          <w:bCs w:val="0"/>
          <w:color w:val="auto"/>
          <w:sz w:val="24"/>
          <w:szCs w:val="24"/>
          <w:highlight w:val="none"/>
          <w:lang w:val="en-US" w:eastAsia="zh-CN"/>
        </w:rPr>
        <w:t>1</w:t>
      </w:r>
      <w:r>
        <w:rPr>
          <w:rFonts w:hint="eastAsia" w:ascii="宋体" w:hAnsi="宋体" w:eastAsia="宋体" w:cs="宋体"/>
          <w:b/>
          <w:bCs w:val="0"/>
          <w:color w:val="auto"/>
          <w:sz w:val="24"/>
          <w:szCs w:val="24"/>
          <w:highlight w:val="none"/>
        </w:rPr>
        <w:t>名</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主厨≥2名，帮厨≥2名，</w:t>
      </w:r>
      <w:r>
        <w:rPr>
          <w:rFonts w:hint="eastAsia" w:ascii="宋体" w:hAnsi="宋体" w:eastAsia="宋体" w:cs="宋体"/>
          <w:b/>
          <w:bCs w:val="0"/>
          <w:color w:val="auto"/>
          <w:sz w:val="24"/>
          <w:szCs w:val="24"/>
          <w:highlight w:val="none"/>
          <w:lang w:val="en-US" w:eastAsia="zh-CN"/>
        </w:rPr>
        <w:t>营养师</w:t>
      </w:r>
      <w:r>
        <w:rPr>
          <w:rFonts w:hint="eastAsia" w:ascii="宋体" w:hAnsi="宋体" w:eastAsia="宋体" w:cs="宋体"/>
          <w:b/>
          <w:bCs w:val="0"/>
          <w:color w:val="auto"/>
          <w:sz w:val="24"/>
          <w:szCs w:val="24"/>
          <w:highlight w:val="none"/>
        </w:rPr>
        <w:t>≥</w:t>
      </w:r>
      <w:r>
        <w:rPr>
          <w:rFonts w:hint="eastAsia" w:ascii="宋体" w:hAnsi="宋体" w:eastAsia="宋体" w:cs="宋体"/>
          <w:b/>
          <w:bCs w:val="0"/>
          <w:color w:val="auto"/>
          <w:sz w:val="24"/>
          <w:szCs w:val="24"/>
          <w:highlight w:val="none"/>
          <w:lang w:val="en-US" w:eastAsia="zh-CN"/>
        </w:rPr>
        <w:t>1</w:t>
      </w:r>
      <w:r>
        <w:rPr>
          <w:rFonts w:hint="eastAsia" w:ascii="宋体" w:hAnsi="宋体" w:eastAsia="宋体" w:cs="宋体"/>
          <w:b/>
          <w:bCs w:val="0"/>
          <w:color w:val="auto"/>
          <w:sz w:val="24"/>
          <w:szCs w:val="24"/>
          <w:highlight w:val="none"/>
        </w:rPr>
        <w:t>名</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可兼职或外聘）</w:t>
      </w:r>
      <w:r>
        <w:rPr>
          <w:rFonts w:hint="eastAsia" w:ascii="宋体" w:hAnsi="宋体" w:eastAsia="宋体" w:cs="宋体"/>
          <w:b/>
          <w:bCs w:val="0"/>
          <w:color w:val="auto"/>
          <w:sz w:val="24"/>
          <w:szCs w:val="24"/>
          <w:highlight w:val="none"/>
          <w:lang w:eastAsia="zh-CN"/>
        </w:rPr>
        <w:t>，</w:t>
      </w:r>
      <w:r>
        <w:rPr>
          <w:rFonts w:hint="eastAsia" w:ascii="宋体" w:hAnsi="宋体" w:eastAsia="宋体" w:cs="宋体"/>
          <w:bCs/>
          <w:color w:val="auto"/>
          <w:sz w:val="24"/>
          <w:szCs w:val="24"/>
          <w:highlight w:val="none"/>
        </w:rPr>
        <w:t>收银员≥3名（其中专职≥1名），仓库管理员1名，验收员1名（可以兼职文员）、服务员兼保洁员若干名，根据实际需要配备。</w:t>
      </w:r>
      <w:r>
        <w:rPr>
          <w:rFonts w:hint="eastAsia" w:ascii="宋体" w:hAnsi="宋体" w:eastAsia="宋体" w:cs="宋体"/>
          <w:color w:val="auto"/>
          <w:sz w:val="24"/>
          <w:szCs w:val="24"/>
          <w:highlight w:val="none"/>
        </w:rPr>
        <w:t>实际运行过程中，</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可以根据需要进行适当的调配，中标人须服从</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调配指挥。</w:t>
      </w:r>
      <w:r>
        <w:rPr>
          <w:rFonts w:hint="eastAsia" w:ascii="宋体" w:hAnsi="宋体" w:eastAsia="宋体" w:cs="宋体"/>
          <w:bCs/>
          <w:color w:val="auto"/>
          <w:sz w:val="24"/>
          <w:szCs w:val="24"/>
          <w:highlight w:val="none"/>
        </w:rPr>
        <w:t>所有上岗服务人员上岗前必须提供健康证</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lang w:val="en-US" w:eastAsia="zh-CN"/>
        </w:rPr>
        <w:t>厨师长</w:t>
      </w:r>
      <w:r>
        <w:rPr>
          <w:rFonts w:hint="eastAsia" w:ascii="宋体" w:hAnsi="宋体" w:eastAsia="宋体" w:cs="宋体"/>
          <w:b/>
          <w:color w:val="auto"/>
          <w:sz w:val="24"/>
          <w:szCs w:val="24"/>
          <w:highlight w:val="none"/>
        </w:rPr>
        <w:t>要求必须有三年以上的从业经验</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验收岗位、仓管人员</w:t>
      </w:r>
      <w:r>
        <w:rPr>
          <w:rFonts w:hint="eastAsia" w:ascii="宋体" w:hAnsi="宋体" w:eastAsia="宋体" w:cs="宋体"/>
          <w:color w:val="auto"/>
          <w:sz w:val="24"/>
          <w:szCs w:val="24"/>
          <w:highlight w:val="none"/>
          <w:lang w:val="en-US" w:eastAsia="zh-CN"/>
        </w:rPr>
        <w:t>可</w:t>
      </w:r>
      <w:r>
        <w:rPr>
          <w:rFonts w:hint="eastAsia" w:ascii="宋体" w:hAnsi="宋体" w:eastAsia="宋体" w:cs="宋体"/>
          <w:color w:val="auto"/>
          <w:sz w:val="24"/>
          <w:szCs w:val="24"/>
          <w:highlight w:val="none"/>
        </w:rPr>
        <w:t>由</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lang w:val="en-US" w:eastAsia="zh-CN"/>
        </w:rPr>
        <w:t>招聘</w:t>
      </w:r>
      <w:r>
        <w:rPr>
          <w:rFonts w:hint="eastAsia" w:ascii="宋体" w:hAnsi="宋体" w:eastAsia="宋体" w:cs="宋体"/>
          <w:color w:val="auto"/>
          <w:sz w:val="24"/>
          <w:szCs w:val="24"/>
          <w:highlight w:val="none"/>
        </w:rPr>
        <w:t>考核上岗</w:t>
      </w:r>
      <w:r>
        <w:rPr>
          <w:rFonts w:hint="eastAsia" w:ascii="宋体" w:hAnsi="宋体" w:eastAsia="宋体" w:cs="宋体"/>
          <w:color w:val="auto"/>
          <w:sz w:val="24"/>
          <w:szCs w:val="24"/>
          <w:highlight w:val="none"/>
          <w:lang w:val="en-US" w:eastAsia="zh-CN"/>
        </w:rPr>
        <w:t>或企业聘用</w:t>
      </w:r>
      <w:r>
        <w:rPr>
          <w:rFonts w:hint="eastAsia" w:ascii="宋体" w:hAnsi="宋体" w:eastAsia="宋体" w:cs="宋体"/>
          <w:color w:val="auto"/>
          <w:sz w:val="24"/>
          <w:szCs w:val="24"/>
          <w:highlight w:val="none"/>
        </w:rPr>
        <w:t>，纳入企业统一管理，工资考核基数不低于中标平均</w:t>
      </w:r>
      <w:r>
        <w:rPr>
          <w:rFonts w:hint="eastAsia" w:ascii="宋体" w:hAnsi="宋体" w:eastAsia="宋体" w:cs="宋体"/>
          <w:color w:val="auto"/>
          <w:sz w:val="24"/>
          <w:szCs w:val="24"/>
          <w:highlight w:val="none"/>
          <w:lang w:val="en-US" w:eastAsia="zh-CN"/>
        </w:rPr>
        <w:t>月</w:t>
      </w:r>
      <w:r>
        <w:rPr>
          <w:rFonts w:hint="eastAsia" w:ascii="宋体" w:hAnsi="宋体" w:eastAsia="宋体" w:cs="宋体"/>
          <w:color w:val="auto"/>
          <w:sz w:val="24"/>
          <w:szCs w:val="24"/>
          <w:highlight w:val="none"/>
        </w:rPr>
        <w:t>工资</w:t>
      </w:r>
      <w:r>
        <w:rPr>
          <w:rFonts w:hint="eastAsia" w:ascii="宋体" w:hAnsi="宋体" w:eastAsia="宋体" w:cs="宋体"/>
          <w:color w:val="auto"/>
          <w:sz w:val="24"/>
          <w:szCs w:val="24"/>
          <w:highlight w:val="none"/>
          <w:lang w:val="en-US" w:eastAsia="zh-CN"/>
        </w:rPr>
        <w:t>的75</w:t>
      </w:r>
      <w:r>
        <w:rPr>
          <w:rFonts w:hint="eastAsia" w:ascii="宋体" w:hAnsi="宋体" w:eastAsia="宋体" w:cs="宋体"/>
          <w:color w:val="auto"/>
          <w:sz w:val="24"/>
          <w:szCs w:val="24"/>
          <w:highlight w:val="none"/>
        </w:rPr>
        <w:t>%。加工</w:t>
      </w:r>
      <w:r>
        <w:rPr>
          <w:rFonts w:hint="eastAsia" w:ascii="宋体" w:hAnsi="宋体" w:eastAsia="宋体" w:cs="宋体"/>
          <w:color w:val="auto"/>
          <w:sz w:val="24"/>
          <w:szCs w:val="24"/>
          <w:highlight w:val="none"/>
          <w:lang w:val="en-US" w:eastAsia="zh-CN"/>
        </w:rPr>
        <w:t>早餐</w:t>
      </w:r>
      <w:r>
        <w:rPr>
          <w:rFonts w:hint="eastAsia" w:ascii="宋体" w:hAnsi="宋体" w:eastAsia="宋体" w:cs="宋体"/>
          <w:color w:val="auto"/>
          <w:sz w:val="24"/>
          <w:szCs w:val="24"/>
          <w:highlight w:val="none"/>
        </w:rPr>
        <w:t>早点的工作人员要求同时在岗不</w:t>
      </w:r>
      <w:r>
        <w:rPr>
          <w:rFonts w:hint="eastAsia" w:ascii="宋体" w:hAnsi="宋体" w:eastAsia="宋体" w:cs="宋体"/>
          <w:color w:val="auto"/>
          <w:sz w:val="24"/>
          <w:szCs w:val="24"/>
          <w:highlight w:val="none"/>
          <w:lang w:val="en-US" w:eastAsia="zh-CN"/>
        </w:rPr>
        <w:t>得</w:t>
      </w:r>
      <w:r>
        <w:rPr>
          <w:rFonts w:hint="eastAsia" w:ascii="宋体" w:hAnsi="宋体" w:eastAsia="宋体" w:cs="宋体"/>
          <w:color w:val="auto"/>
          <w:sz w:val="24"/>
          <w:szCs w:val="24"/>
          <w:highlight w:val="none"/>
        </w:rPr>
        <w:t>少于2名员工。</w:t>
      </w:r>
    </w:p>
    <w:p w14:paraId="720D485E">
      <w:pPr>
        <w:keepNext w:val="0"/>
        <w:keepLines w:val="0"/>
        <w:pageBreakBefore w:val="0"/>
        <w:numPr>
          <w:ilvl w:val="0"/>
          <w:numId w:val="5"/>
        </w:numPr>
        <w:kinsoku/>
        <w:wordWrap/>
        <w:overflowPunct/>
        <w:topLinePunct w:val="0"/>
        <w:autoSpaceDE/>
        <w:autoSpaceDN/>
        <w:bidi w:val="0"/>
        <w:spacing w:beforeAutospacing="0" w:afterAutospacing="0" w:line="400" w:lineRule="exact"/>
        <w:ind w:left="17" w:leftChars="8" w:firstLine="439" w:firstLineChars="183"/>
        <w:textAlignment w:val="auto"/>
        <w:rPr>
          <w:rFonts w:hint="eastAsia" w:ascii="宋体" w:hAnsi="宋体" w:eastAsia="宋体" w:cs="宋体"/>
          <w:color w:val="auto"/>
          <w:sz w:val="24"/>
          <w:szCs w:val="24"/>
          <w:highlight w:val="none"/>
        </w:rPr>
      </w:pPr>
      <w:r>
        <w:rPr>
          <w:rFonts w:hint="eastAsia" w:ascii="华文中宋" w:hAnsi="华文中宋" w:eastAsia="华文中宋" w:cs="华文中宋"/>
          <w:color w:val="auto"/>
          <w:sz w:val="24"/>
          <w:szCs w:val="24"/>
          <w:highlight w:val="none"/>
        </w:rPr>
        <w:t>★</w:t>
      </w:r>
      <w:r>
        <w:rPr>
          <w:rFonts w:hint="eastAsia" w:ascii="宋体" w:hAnsi="宋体" w:eastAsia="宋体" w:cs="宋体"/>
          <w:bCs/>
          <w:color w:val="auto"/>
          <w:sz w:val="24"/>
          <w:szCs w:val="24"/>
          <w:highlight w:val="none"/>
        </w:rPr>
        <w:t>每学期开学前，提前5天安排团队入驻，提前3天全员到岗</w:t>
      </w:r>
      <w:r>
        <w:rPr>
          <w:rFonts w:hint="eastAsia" w:ascii="宋体" w:hAnsi="宋体" w:eastAsia="宋体" w:cs="宋体"/>
          <w:b/>
          <w:color w:val="auto"/>
          <w:sz w:val="24"/>
          <w:szCs w:val="24"/>
          <w:highlight w:val="none"/>
        </w:rPr>
        <w:t>（纳入考勤，支付费用</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u w:val="single"/>
          <w:lang w:val="en-US" w:eastAsia="zh-CN"/>
        </w:rPr>
        <w:t>以学院放假通知为准</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w:t>
      </w:r>
      <w:r>
        <w:rPr>
          <w:rFonts w:hint="eastAsia" w:ascii="宋体" w:hAnsi="宋体" w:eastAsia="宋体" w:cs="宋体"/>
          <w:bCs/>
          <w:color w:val="auto"/>
          <w:sz w:val="24"/>
          <w:szCs w:val="24"/>
          <w:highlight w:val="none"/>
        </w:rPr>
        <w:t>做好开餐</w:t>
      </w:r>
      <w:r>
        <w:rPr>
          <w:rFonts w:hint="eastAsia" w:ascii="宋体" w:hAnsi="宋体" w:eastAsia="宋体" w:cs="宋体"/>
          <w:bCs/>
          <w:color w:val="auto"/>
          <w:sz w:val="24"/>
          <w:szCs w:val="24"/>
          <w:highlight w:val="none"/>
          <w:lang w:val="en-US" w:eastAsia="zh-CN"/>
        </w:rPr>
        <w:t>前准备</w:t>
      </w:r>
      <w:r>
        <w:rPr>
          <w:rFonts w:hint="eastAsia" w:ascii="宋体" w:hAnsi="宋体" w:eastAsia="宋体" w:cs="宋体"/>
          <w:bCs/>
          <w:color w:val="auto"/>
          <w:sz w:val="24"/>
          <w:szCs w:val="24"/>
          <w:highlight w:val="none"/>
        </w:rPr>
        <w:t>工作。学生</w:t>
      </w:r>
      <w:r>
        <w:rPr>
          <w:rFonts w:hint="eastAsia" w:ascii="宋体" w:hAnsi="宋体" w:eastAsia="宋体" w:cs="宋体"/>
          <w:bCs/>
          <w:color w:val="auto"/>
          <w:sz w:val="24"/>
          <w:szCs w:val="24"/>
          <w:highlight w:val="none"/>
          <w:lang w:val="en-US" w:eastAsia="zh-CN"/>
        </w:rPr>
        <w:t>正常</w:t>
      </w:r>
      <w:r>
        <w:rPr>
          <w:rFonts w:hint="eastAsia" w:ascii="宋体" w:hAnsi="宋体" w:eastAsia="宋体" w:cs="宋体"/>
          <w:bCs/>
          <w:color w:val="auto"/>
          <w:sz w:val="24"/>
          <w:szCs w:val="24"/>
          <w:highlight w:val="none"/>
        </w:rPr>
        <w:t>上课时，</w:t>
      </w:r>
      <w:r>
        <w:rPr>
          <w:rFonts w:hint="eastAsia" w:ascii="宋体" w:hAnsi="宋体" w:eastAsia="宋体" w:cs="宋体"/>
          <w:bCs/>
          <w:color w:val="auto"/>
          <w:sz w:val="24"/>
          <w:szCs w:val="24"/>
          <w:highlight w:val="none"/>
          <w:lang w:val="en-US" w:eastAsia="zh-CN"/>
        </w:rPr>
        <w:t>按规定</w:t>
      </w:r>
      <w:r>
        <w:rPr>
          <w:rFonts w:hint="eastAsia" w:ascii="宋体" w:hAnsi="宋体" w:eastAsia="宋体" w:cs="宋体"/>
          <w:bCs/>
          <w:color w:val="auto"/>
          <w:sz w:val="24"/>
          <w:szCs w:val="24"/>
          <w:highlight w:val="none"/>
        </w:rPr>
        <w:t>必须全员在岗。</w:t>
      </w:r>
      <w:r>
        <w:rPr>
          <w:rFonts w:hint="eastAsia" w:ascii="宋体" w:hAnsi="宋体" w:eastAsia="宋体" w:cs="宋体"/>
          <w:color w:val="auto"/>
          <w:sz w:val="24"/>
          <w:szCs w:val="24"/>
          <w:highlight w:val="none"/>
        </w:rPr>
        <w:t>周末根据</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需求运营（在保障任务和食品安全的前提下，工作人员要求不低于正常开餐40%人员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法定</w:t>
      </w:r>
      <w:r>
        <w:rPr>
          <w:rFonts w:hint="eastAsia" w:ascii="宋体" w:hAnsi="宋体" w:eastAsia="宋体" w:cs="宋体"/>
          <w:color w:val="auto"/>
          <w:sz w:val="24"/>
          <w:szCs w:val="24"/>
          <w:highlight w:val="none"/>
        </w:rPr>
        <w:t>节假日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寒暑假</w:t>
      </w:r>
      <w:r>
        <w:rPr>
          <w:rFonts w:hint="eastAsia" w:ascii="宋体" w:hAnsi="宋体" w:eastAsia="宋体" w:cs="宋体"/>
          <w:color w:val="auto"/>
          <w:sz w:val="24"/>
          <w:szCs w:val="24"/>
          <w:highlight w:val="none"/>
          <w:lang w:val="en-US" w:eastAsia="zh-CN"/>
        </w:rPr>
        <w:t>等需要由学生餐厅服务值班时，不做最低保障人数要求，按照学院后勤管理处的寒暑假值班安排及要求，根据实际出勤人数核发工资</w:t>
      </w:r>
      <w:r>
        <w:rPr>
          <w:rFonts w:hint="eastAsia" w:ascii="宋体" w:hAnsi="宋体" w:eastAsia="宋体" w:cs="宋体"/>
          <w:color w:val="auto"/>
          <w:sz w:val="24"/>
          <w:szCs w:val="24"/>
          <w:highlight w:val="none"/>
        </w:rPr>
        <w:t>）。</w:t>
      </w:r>
    </w:p>
    <w:p w14:paraId="1324E124">
      <w:pPr>
        <w:pStyle w:val="38"/>
        <w:keepNext w:val="0"/>
        <w:keepLines w:val="0"/>
        <w:pageBreakBefore w:val="0"/>
        <w:numPr>
          <w:ilvl w:val="0"/>
          <w:numId w:val="5"/>
        </w:numPr>
        <w:kinsoku/>
        <w:wordWrap/>
        <w:overflowPunct/>
        <w:topLinePunct w:val="0"/>
        <w:autoSpaceDE/>
        <w:autoSpaceDN/>
        <w:bidi w:val="0"/>
        <w:spacing w:beforeAutospacing="0" w:afterAutospacing="0" w:line="400" w:lineRule="exact"/>
        <w:ind w:left="17" w:leftChars="8" w:firstLine="400" w:firstLineChars="167"/>
        <w:textAlignment w:val="auto"/>
        <w:rPr>
          <w:rFonts w:hint="eastAsia" w:ascii="宋体" w:hAnsi="宋体" w:eastAsia="宋体" w:cs="宋体"/>
          <w:color w:val="auto"/>
          <w:kern w:val="2"/>
          <w:sz w:val="24"/>
          <w:szCs w:val="24"/>
          <w:highlight w:val="none"/>
          <w:lang w:val="en-US" w:eastAsia="zh-CN" w:bidi="ar-SA"/>
        </w:rPr>
      </w:pPr>
      <w:r>
        <w:rPr>
          <w:rFonts w:hint="eastAsia" w:ascii="华文中宋" w:hAnsi="华文中宋" w:eastAsia="华文中宋" w:cs="华文中宋"/>
          <w:color w:val="auto"/>
          <w:sz w:val="24"/>
          <w:szCs w:val="24"/>
          <w:highlight w:val="none"/>
        </w:rPr>
        <w:t>★</w:t>
      </w:r>
      <w:r>
        <w:rPr>
          <w:rFonts w:hint="eastAsia" w:ascii="宋体" w:hAnsi="宋体" w:cs="宋体"/>
          <w:color w:val="auto"/>
          <w:kern w:val="2"/>
          <w:sz w:val="24"/>
          <w:szCs w:val="24"/>
          <w:highlight w:val="none"/>
          <w:lang w:val="en-US" w:eastAsia="zh-CN" w:bidi="ar-SA"/>
        </w:rPr>
        <w:t>投标人</w:t>
      </w:r>
      <w:r>
        <w:rPr>
          <w:rFonts w:hint="eastAsia" w:ascii="宋体" w:hAnsi="宋体" w:eastAsia="宋体" w:cs="宋体"/>
          <w:color w:val="auto"/>
          <w:kern w:val="2"/>
          <w:sz w:val="24"/>
          <w:szCs w:val="24"/>
          <w:highlight w:val="none"/>
          <w:lang w:val="en-US" w:eastAsia="zh-CN" w:bidi="ar-SA"/>
        </w:rPr>
        <w:t>需向</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缴纳食堂服务人员餐费每人每日15元（按当日在岗人数计算，按月结算直接支付到食堂账户）。</w:t>
      </w:r>
    </w:p>
    <w:p w14:paraId="6780971C">
      <w:pPr>
        <w:pStyle w:val="38"/>
        <w:keepNext w:val="0"/>
        <w:keepLines w:val="0"/>
        <w:pageBreakBefore w:val="0"/>
        <w:numPr>
          <w:ilvl w:val="0"/>
          <w:numId w:val="5"/>
        </w:numPr>
        <w:kinsoku/>
        <w:wordWrap/>
        <w:overflowPunct/>
        <w:topLinePunct w:val="0"/>
        <w:autoSpaceDE/>
        <w:autoSpaceDN/>
        <w:bidi w:val="0"/>
        <w:spacing w:beforeAutospacing="0" w:afterAutospacing="0" w:line="400" w:lineRule="exact"/>
        <w:ind w:left="17" w:leftChars="8" w:firstLine="400" w:firstLineChars="167"/>
        <w:textAlignment w:val="auto"/>
        <w:rPr>
          <w:rFonts w:hint="eastAsia" w:ascii="宋体" w:hAnsi="宋体" w:cs="宋体"/>
          <w:color w:val="auto"/>
          <w:sz w:val="24"/>
          <w:szCs w:val="24"/>
          <w:highlight w:val="none"/>
        </w:rPr>
      </w:pPr>
      <w:r>
        <w:rPr>
          <w:rFonts w:hint="eastAsia" w:ascii="宋体" w:hAnsi="宋体" w:eastAsia="宋体" w:cs="宋体"/>
          <w:strike w:val="0"/>
          <w:dstrike w:val="0"/>
          <w:color w:val="auto"/>
          <w:sz w:val="24"/>
          <w:szCs w:val="24"/>
          <w:highlight w:val="none"/>
        </w:rPr>
        <w:t>投标人</w:t>
      </w:r>
      <w:r>
        <w:rPr>
          <w:rFonts w:hint="eastAsia" w:ascii="宋体" w:hAnsi="宋体" w:eastAsia="宋体" w:cs="宋体"/>
          <w:color w:val="auto"/>
          <w:sz w:val="24"/>
          <w:szCs w:val="24"/>
          <w:highlight w:val="none"/>
        </w:rPr>
        <w:t>应了解食堂的管理要求，所有人员上岗前均需</w:t>
      </w:r>
      <w:r>
        <w:rPr>
          <w:rFonts w:hint="eastAsia" w:ascii="宋体" w:hAnsi="宋体" w:cs="宋体"/>
          <w:color w:val="auto"/>
          <w:sz w:val="24"/>
          <w:szCs w:val="24"/>
          <w:highlight w:val="none"/>
          <w:lang w:val="en-US" w:eastAsia="zh-CN"/>
        </w:rPr>
        <w:t>培训合格后持健康证</w:t>
      </w:r>
      <w:r>
        <w:rPr>
          <w:rFonts w:hint="eastAsia" w:ascii="宋体" w:hAnsi="宋体" w:eastAsia="宋体" w:cs="宋体"/>
          <w:color w:val="auto"/>
          <w:sz w:val="24"/>
          <w:szCs w:val="24"/>
          <w:highlight w:val="none"/>
        </w:rPr>
        <w:t>上岗，</w:t>
      </w:r>
      <w:r>
        <w:rPr>
          <w:rFonts w:hint="eastAsia" w:ascii="宋体" w:hAnsi="宋体" w:cs="宋体"/>
          <w:color w:val="auto"/>
          <w:sz w:val="24"/>
          <w:szCs w:val="24"/>
          <w:highlight w:val="none"/>
          <w:lang w:val="en-US" w:eastAsia="zh-CN"/>
        </w:rPr>
        <w:t>所聘用人员须向后勤管理处报备</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所派项目经理、管理人员、主厨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仓管</w:t>
      </w:r>
      <w:r>
        <w:rPr>
          <w:rFonts w:hint="eastAsia" w:ascii="宋体" w:hAnsi="宋体" w:eastAsia="宋体" w:cs="宋体"/>
          <w:color w:val="auto"/>
          <w:sz w:val="24"/>
          <w:szCs w:val="24"/>
          <w:highlight w:val="none"/>
        </w:rPr>
        <w:t>等主要岗位人员必须固定，如有调换</w:t>
      </w:r>
      <w:r>
        <w:rPr>
          <w:rFonts w:hint="eastAsia" w:ascii="宋体" w:hAnsi="宋体" w:cs="宋体"/>
          <w:color w:val="auto"/>
          <w:sz w:val="24"/>
          <w:szCs w:val="24"/>
          <w:highlight w:val="none"/>
          <w:lang w:val="en-US" w:eastAsia="zh-CN"/>
        </w:rPr>
        <w:t>及时向后勤管理处</w:t>
      </w:r>
      <w:r>
        <w:rPr>
          <w:rFonts w:hint="eastAsia" w:ascii="宋体" w:hAnsi="宋体" w:eastAsia="宋体" w:cs="宋体"/>
          <w:color w:val="auto"/>
          <w:sz w:val="24"/>
          <w:szCs w:val="24"/>
          <w:highlight w:val="none"/>
        </w:rPr>
        <w:t>报备</w:t>
      </w:r>
      <w:r>
        <w:rPr>
          <w:rFonts w:hint="eastAsia" w:ascii="宋体" w:hAnsi="宋体" w:cs="宋体"/>
          <w:color w:val="auto"/>
          <w:sz w:val="24"/>
          <w:szCs w:val="24"/>
          <w:highlight w:val="none"/>
        </w:rPr>
        <w:t>。</w:t>
      </w:r>
      <w:r>
        <w:rPr>
          <w:rFonts w:ascii="仿宋_GB2312" w:hAnsi="仿宋_GB2312" w:eastAsia="仿宋_GB2312" w:cs="仿宋_GB2312"/>
          <w:b/>
          <w:color w:val="auto"/>
          <w:sz w:val="24"/>
          <w:szCs w:val="24"/>
          <w:highlight w:val="none"/>
        </w:rPr>
        <w:t>（评审项</w:t>
      </w:r>
      <w:r>
        <w:rPr>
          <w:rFonts w:hint="eastAsia" w:ascii="仿宋_GB2312" w:hAnsi="仿宋_GB2312" w:eastAsia="仿宋_GB2312" w:cs="仿宋_GB2312"/>
          <w:b/>
          <w:color w:val="auto"/>
          <w:sz w:val="24"/>
          <w:szCs w:val="24"/>
          <w:highlight w:val="none"/>
          <w:lang w:val="en-US" w:eastAsia="zh-CN"/>
        </w:rPr>
        <w:t>1</w:t>
      </w:r>
      <w:r>
        <w:rPr>
          <w:rFonts w:ascii="仿宋_GB2312" w:hAnsi="仿宋_GB2312" w:eastAsia="仿宋_GB2312" w:cs="仿宋_GB2312"/>
          <w:b/>
          <w:color w:val="auto"/>
          <w:sz w:val="24"/>
          <w:szCs w:val="24"/>
          <w:highlight w:val="none"/>
        </w:rPr>
        <w:t>）</w:t>
      </w:r>
    </w:p>
    <w:p w14:paraId="20C83B1F">
      <w:pPr>
        <w:keepNext w:val="0"/>
        <w:keepLines w:val="0"/>
        <w:pageBreakBefore w:val="0"/>
        <w:numPr>
          <w:ilvl w:val="0"/>
          <w:numId w:val="5"/>
        </w:numPr>
        <w:kinsoku/>
        <w:wordWrap/>
        <w:overflowPunct/>
        <w:topLinePunct w:val="0"/>
        <w:autoSpaceDE/>
        <w:autoSpaceDN/>
        <w:bidi w:val="0"/>
        <w:spacing w:beforeAutospacing="0" w:afterAutospacing="0" w:line="400" w:lineRule="exact"/>
        <w:ind w:left="17" w:leftChars="8" w:firstLine="400" w:firstLineChars="167"/>
        <w:textAlignment w:val="auto"/>
        <w:rPr>
          <w:rFonts w:hint="eastAsia" w:ascii="宋体" w:hAnsi="宋体" w:eastAsia="宋体" w:cs="宋体"/>
          <w:b w:val="0"/>
          <w:bCs/>
          <w:strike w:val="0"/>
          <w:dstrike w:val="0"/>
          <w:color w:val="auto"/>
          <w:sz w:val="24"/>
          <w:szCs w:val="24"/>
          <w:highlight w:val="none"/>
        </w:rPr>
      </w:pPr>
      <w:r>
        <w:rPr>
          <w:rFonts w:hint="eastAsia" w:ascii="宋体" w:hAnsi="宋体" w:eastAsia="宋体" w:cs="宋体"/>
          <w:strike w:val="0"/>
          <w:dstrike w:val="0"/>
          <w:color w:val="auto"/>
          <w:sz w:val="24"/>
          <w:szCs w:val="24"/>
          <w:highlight w:val="none"/>
        </w:rPr>
        <w:t>投标人</w:t>
      </w:r>
      <w:r>
        <w:rPr>
          <w:rFonts w:hint="eastAsia" w:ascii="宋体" w:hAnsi="宋体" w:eastAsia="宋体" w:cs="宋体"/>
          <w:color w:val="auto"/>
          <w:sz w:val="24"/>
          <w:szCs w:val="24"/>
          <w:highlight w:val="none"/>
        </w:rPr>
        <w:t>所聘工作人员不得雇佣未成年人。用餐高峰期的非直接接触食品岗位可以聘用勤工俭学学生，</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应承担不低于学院勤工俭学标准费用，聘用人员报后勤管理处备案</w:t>
      </w:r>
      <w:r>
        <w:rPr>
          <w:rFonts w:hint="eastAsia" w:ascii="宋体" w:hAnsi="宋体" w:eastAsia="宋体" w:cs="宋体"/>
          <w:bCs/>
          <w:color w:val="auto"/>
          <w:sz w:val="24"/>
          <w:szCs w:val="24"/>
          <w:highlight w:val="none"/>
        </w:rPr>
        <w:t>。</w:t>
      </w:r>
      <w:r>
        <w:rPr>
          <w:rFonts w:hint="eastAsia" w:ascii="宋体" w:hAnsi="宋体" w:eastAsia="宋体" w:cs="宋体"/>
          <w:strike w:val="0"/>
          <w:dstrike w:val="0"/>
          <w:color w:val="auto"/>
          <w:sz w:val="24"/>
          <w:szCs w:val="24"/>
          <w:highlight w:val="none"/>
        </w:rPr>
        <w:t>投标人须承诺</w:t>
      </w:r>
      <w:r>
        <w:rPr>
          <w:rFonts w:hint="eastAsia" w:ascii="宋体" w:hAnsi="宋体" w:eastAsia="宋体" w:cs="宋体"/>
          <w:strike w:val="0"/>
          <w:dstrike w:val="0"/>
          <w:color w:val="auto"/>
          <w:sz w:val="24"/>
          <w:szCs w:val="24"/>
          <w:highlight w:val="none"/>
          <w:lang w:val="en-US" w:eastAsia="zh-CN"/>
        </w:rPr>
        <w:t>中标后</w:t>
      </w:r>
      <w:r>
        <w:rPr>
          <w:rFonts w:hint="eastAsia" w:ascii="宋体" w:hAnsi="宋体" w:eastAsia="宋体" w:cs="宋体"/>
          <w:strike w:val="0"/>
          <w:dstrike w:val="0"/>
          <w:color w:val="auto"/>
          <w:sz w:val="24"/>
          <w:szCs w:val="24"/>
          <w:highlight w:val="none"/>
        </w:rPr>
        <w:t>所聘用的人员身体健康，无精神病史，思想品德好，无犯罪记录或不良记录</w:t>
      </w:r>
      <w:r>
        <w:rPr>
          <w:rFonts w:hint="eastAsia" w:ascii="宋体" w:hAnsi="宋体" w:eastAsia="宋体" w:cs="宋体"/>
          <w:strike w:val="0"/>
          <w:dstrike w:val="0"/>
          <w:color w:val="auto"/>
          <w:sz w:val="24"/>
          <w:szCs w:val="24"/>
          <w:highlight w:val="none"/>
          <w:lang w:eastAsia="zh-CN"/>
        </w:rPr>
        <w:t>，提供承诺函原件（格式自拟）</w:t>
      </w:r>
      <w:r>
        <w:rPr>
          <w:rFonts w:hint="eastAsia" w:ascii="宋体" w:hAnsi="宋体" w:eastAsia="宋体" w:cs="宋体"/>
          <w:strike w:val="0"/>
          <w:dstrike w:val="0"/>
          <w:color w:val="auto"/>
          <w:sz w:val="24"/>
          <w:szCs w:val="24"/>
          <w:highlight w:val="none"/>
        </w:rPr>
        <w:t>。</w:t>
      </w:r>
      <w:r>
        <w:rPr>
          <w:rFonts w:ascii="仿宋_GB2312" w:hAnsi="仿宋_GB2312" w:eastAsia="仿宋_GB2312" w:cs="仿宋_GB2312"/>
          <w:b/>
          <w:color w:val="auto"/>
          <w:sz w:val="24"/>
          <w:szCs w:val="24"/>
          <w:highlight w:val="none"/>
        </w:rPr>
        <w:t>（评审项</w:t>
      </w:r>
      <w:r>
        <w:rPr>
          <w:rFonts w:hint="eastAsia" w:ascii="仿宋_GB2312" w:hAnsi="仿宋_GB2312" w:eastAsia="仿宋_GB2312" w:cs="仿宋_GB2312"/>
          <w:b/>
          <w:color w:val="auto"/>
          <w:sz w:val="24"/>
          <w:szCs w:val="24"/>
          <w:highlight w:val="none"/>
          <w:lang w:val="en-US" w:eastAsia="zh-CN"/>
        </w:rPr>
        <w:t>2</w:t>
      </w:r>
      <w:r>
        <w:rPr>
          <w:rFonts w:ascii="仿宋_GB2312" w:hAnsi="仿宋_GB2312" w:eastAsia="仿宋_GB2312" w:cs="仿宋_GB2312"/>
          <w:b/>
          <w:color w:val="auto"/>
          <w:sz w:val="24"/>
          <w:szCs w:val="24"/>
          <w:highlight w:val="none"/>
        </w:rPr>
        <w:t>）</w:t>
      </w:r>
    </w:p>
    <w:p w14:paraId="614A1366">
      <w:pPr>
        <w:keepNext w:val="0"/>
        <w:keepLines w:val="0"/>
        <w:pageBreakBefore w:val="0"/>
        <w:numPr>
          <w:ilvl w:val="0"/>
          <w:numId w:val="5"/>
        </w:numPr>
        <w:kinsoku/>
        <w:wordWrap/>
        <w:overflowPunct/>
        <w:topLinePunct w:val="0"/>
        <w:autoSpaceDE/>
        <w:autoSpaceDN/>
        <w:bidi w:val="0"/>
        <w:spacing w:beforeAutospacing="0" w:afterAutospacing="0" w:line="400" w:lineRule="exact"/>
        <w:ind w:left="17" w:leftChars="8" w:firstLine="400" w:firstLineChars="167"/>
        <w:textAlignment w:val="auto"/>
        <w:rPr>
          <w:rFonts w:hint="eastAsia" w:ascii="宋体" w:hAnsi="宋体" w:eastAsia="宋体" w:cs="宋体"/>
          <w:color w:val="auto"/>
          <w:sz w:val="24"/>
          <w:szCs w:val="24"/>
          <w:highlight w:val="none"/>
        </w:rPr>
      </w:pPr>
      <w:r>
        <w:rPr>
          <w:rFonts w:hint="eastAsia" w:ascii="华文中宋" w:hAnsi="华文中宋" w:eastAsia="华文中宋" w:cs="华文中宋"/>
          <w:color w:val="auto"/>
          <w:sz w:val="24"/>
          <w:szCs w:val="24"/>
          <w:highlight w:val="none"/>
        </w:rPr>
        <w:t>★</w:t>
      </w:r>
      <w:r>
        <w:rPr>
          <w:rFonts w:hint="eastAsia" w:ascii="宋体" w:hAnsi="宋体" w:eastAsia="宋体" w:cs="宋体"/>
          <w:strike w:val="0"/>
          <w:dstrike w:val="0"/>
          <w:color w:val="auto"/>
          <w:sz w:val="24"/>
          <w:szCs w:val="24"/>
          <w:highlight w:val="none"/>
        </w:rPr>
        <w:t>投标人</w:t>
      </w:r>
      <w:r>
        <w:rPr>
          <w:rFonts w:hint="eastAsia" w:ascii="宋体" w:hAnsi="宋体" w:eastAsia="宋体" w:cs="宋体"/>
          <w:color w:val="auto"/>
          <w:sz w:val="24"/>
          <w:szCs w:val="24"/>
          <w:highlight w:val="none"/>
        </w:rPr>
        <w:t>必须为所有聘用人员缴纳相应的保险，同时</w:t>
      </w:r>
      <w:r>
        <w:rPr>
          <w:rFonts w:hint="eastAsia" w:ascii="宋体" w:hAnsi="宋体" w:eastAsia="宋体" w:cs="宋体"/>
          <w:color w:val="auto"/>
          <w:sz w:val="24"/>
          <w:szCs w:val="24"/>
          <w:highlight w:val="none"/>
          <w:lang w:val="en-US" w:eastAsia="zh-CN"/>
        </w:rPr>
        <w:t>每年</w:t>
      </w:r>
      <w:r>
        <w:rPr>
          <w:rFonts w:hint="eastAsia" w:ascii="宋体" w:hAnsi="宋体" w:eastAsia="宋体" w:cs="宋体"/>
          <w:color w:val="auto"/>
          <w:sz w:val="24"/>
          <w:szCs w:val="24"/>
          <w:highlight w:val="none"/>
        </w:rPr>
        <w:t>为本项目购买食品安全责任保险（</w:t>
      </w:r>
      <w:r>
        <w:rPr>
          <w:rFonts w:hint="eastAsia" w:ascii="宋体" w:hAnsi="宋体" w:eastAsia="宋体" w:cs="宋体"/>
          <w:color w:val="auto"/>
          <w:sz w:val="24"/>
          <w:szCs w:val="24"/>
          <w:highlight w:val="none"/>
          <w:lang w:val="en-US" w:eastAsia="zh-CN"/>
        </w:rPr>
        <w:t>保额</w:t>
      </w:r>
      <w:r>
        <w:rPr>
          <w:rFonts w:hint="eastAsia" w:ascii="宋体" w:hAnsi="宋体" w:eastAsia="宋体" w:cs="宋体"/>
          <w:color w:val="auto"/>
          <w:sz w:val="24"/>
          <w:szCs w:val="24"/>
          <w:highlight w:val="none"/>
        </w:rPr>
        <w:t>不低于1000万元）</w:t>
      </w:r>
      <w:r>
        <w:rPr>
          <w:rFonts w:hint="eastAsia" w:ascii="宋体" w:hAnsi="宋体" w:eastAsia="宋体" w:cs="宋体"/>
          <w:bCs/>
          <w:color w:val="auto"/>
          <w:sz w:val="24"/>
          <w:szCs w:val="24"/>
          <w:highlight w:val="none"/>
        </w:rPr>
        <w:t>。</w:t>
      </w:r>
    </w:p>
    <w:p w14:paraId="0E4449AB">
      <w:pPr>
        <w:keepNext w:val="0"/>
        <w:keepLines w:val="0"/>
        <w:pageBreakBefore w:val="0"/>
        <w:numPr>
          <w:ilvl w:val="0"/>
          <w:numId w:val="5"/>
        </w:numPr>
        <w:kinsoku/>
        <w:wordWrap/>
        <w:overflowPunct/>
        <w:topLinePunct w:val="0"/>
        <w:autoSpaceDE/>
        <w:autoSpaceDN/>
        <w:bidi w:val="0"/>
        <w:spacing w:beforeAutospacing="0" w:afterAutospacing="0" w:line="400" w:lineRule="exact"/>
        <w:ind w:left="17" w:leftChars="8" w:firstLine="400" w:firstLineChars="167"/>
        <w:textAlignment w:val="auto"/>
        <w:rPr>
          <w:rFonts w:hint="eastAsia" w:ascii="宋体" w:hAnsi="宋体" w:eastAsia="宋体" w:cs="宋体"/>
          <w:color w:val="auto"/>
          <w:sz w:val="24"/>
          <w:szCs w:val="24"/>
          <w:highlight w:val="none"/>
        </w:rPr>
      </w:pPr>
      <w:r>
        <w:rPr>
          <w:rFonts w:hint="eastAsia" w:ascii="华文中宋" w:hAnsi="华文中宋" w:eastAsia="华文中宋" w:cs="华文中宋"/>
          <w:color w:val="auto"/>
          <w:sz w:val="24"/>
          <w:szCs w:val="24"/>
          <w:highlight w:val="none"/>
        </w:rPr>
        <w:t>★</w:t>
      </w:r>
      <w:r>
        <w:rPr>
          <w:rFonts w:hint="eastAsia" w:ascii="宋体" w:hAnsi="宋体" w:eastAsia="宋体" w:cs="宋体"/>
          <w:strike w:val="0"/>
          <w:dstrike w:val="0"/>
          <w:color w:val="auto"/>
          <w:sz w:val="24"/>
          <w:szCs w:val="24"/>
          <w:highlight w:val="none"/>
        </w:rPr>
        <w:t>投标人</w:t>
      </w:r>
      <w:r>
        <w:rPr>
          <w:rFonts w:hint="eastAsia" w:ascii="宋体" w:hAnsi="宋体" w:eastAsia="宋体" w:cs="宋体"/>
          <w:b w:val="0"/>
          <w:bCs w:val="0"/>
          <w:color w:val="auto"/>
          <w:sz w:val="24"/>
          <w:szCs w:val="24"/>
          <w:highlight w:val="none"/>
          <w:lang w:val="en-US" w:eastAsia="zh-CN"/>
        </w:rPr>
        <w:t>拟投入本项目服务人员</w:t>
      </w:r>
      <w:r>
        <w:rPr>
          <w:rFonts w:hint="eastAsia" w:ascii="宋体" w:hAnsi="宋体" w:eastAsia="宋体" w:cs="宋体"/>
          <w:b w:val="0"/>
          <w:bCs w:val="0"/>
          <w:color w:val="auto"/>
          <w:sz w:val="24"/>
          <w:szCs w:val="24"/>
          <w:highlight w:val="none"/>
        </w:rPr>
        <w:t>要求低于60周岁</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禁止聘用超过63周岁人员），否则视为超龄用工（</w:t>
      </w:r>
      <w:r>
        <w:rPr>
          <w:rFonts w:hint="eastAsia" w:ascii="宋体" w:hAnsi="宋体" w:eastAsia="宋体" w:cs="宋体"/>
          <w:b w:val="0"/>
          <w:bCs w:val="0"/>
          <w:i w:val="0"/>
          <w:iCs w:val="0"/>
          <w:smallCaps w:val="0"/>
          <w:color w:val="auto"/>
          <w:sz w:val="24"/>
          <w:szCs w:val="24"/>
          <w:highlight w:val="none"/>
          <w:lang w:val="en-US" w:eastAsia="zh-CN"/>
        </w:rPr>
        <w:t>如果员工初次聘用时低于59周岁，之后一直在食堂工作未间断，合同期内则不视为超龄）</w:t>
      </w:r>
      <w:r>
        <w:rPr>
          <w:rFonts w:hint="eastAsia" w:ascii="宋体" w:hAnsi="宋体" w:eastAsia="宋体" w:cs="宋体"/>
          <w:b w:val="0"/>
          <w:bCs w:val="0"/>
          <w:color w:val="auto"/>
          <w:sz w:val="24"/>
          <w:szCs w:val="24"/>
          <w:highlight w:val="none"/>
        </w:rPr>
        <w:t>。超龄</w:t>
      </w:r>
      <w:r>
        <w:rPr>
          <w:rFonts w:hint="eastAsia" w:ascii="宋体" w:hAnsi="宋体" w:eastAsia="宋体" w:cs="宋体"/>
          <w:b w:val="0"/>
          <w:bCs w:val="0"/>
          <w:color w:val="auto"/>
          <w:sz w:val="24"/>
          <w:szCs w:val="24"/>
          <w:highlight w:val="none"/>
          <w:lang w:val="en-US" w:eastAsia="zh-CN"/>
        </w:rPr>
        <w:t>的</w:t>
      </w:r>
      <w:r>
        <w:rPr>
          <w:rFonts w:hint="eastAsia" w:ascii="宋体" w:hAnsi="宋体" w:eastAsia="宋体" w:cs="宋体"/>
          <w:b w:val="0"/>
          <w:bCs w:val="0"/>
          <w:color w:val="auto"/>
          <w:sz w:val="24"/>
          <w:szCs w:val="24"/>
          <w:highlight w:val="none"/>
        </w:rPr>
        <w:t>员工按规定进行相应的</w:t>
      </w:r>
      <w:r>
        <w:rPr>
          <w:rFonts w:hint="eastAsia" w:ascii="宋体" w:hAnsi="宋体" w:eastAsia="宋体" w:cs="宋体"/>
          <w:b w:val="0"/>
          <w:bCs w:val="0"/>
          <w:color w:val="auto"/>
          <w:sz w:val="24"/>
          <w:szCs w:val="24"/>
          <w:highlight w:val="none"/>
          <w:lang w:val="en-US" w:eastAsia="zh-CN"/>
        </w:rPr>
        <w:t>服务费用</w:t>
      </w:r>
      <w:r>
        <w:rPr>
          <w:rFonts w:hint="eastAsia" w:ascii="宋体" w:hAnsi="宋体" w:eastAsia="宋体" w:cs="宋体"/>
          <w:b w:val="0"/>
          <w:bCs w:val="0"/>
          <w:color w:val="auto"/>
          <w:sz w:val="24"/>
          <w:szCs w:val="24"/>
          <w:highlight w:val="none"/>
        </w:rPr>
        <w:t>核减。</w:t>
      </w:r>
    </w:p>
    <w:p w14:paraId="326D42B1">
      <w:pPr>
        <w:keepNext w:val="0"/>
        <w:keepLines w:val="0"/>
        <w:pageBreakBefore w:val="0"/>
        <w:numPr>
          <w:ilvl w:val="0"/>
          <w:numId w:val="5"/>
        </w:numPr>
        <w:kinsoku/>
        <w:wordWrap/>
        <w:overflowPunct/>
        <w:topLinePunct w:val="0"/>
        <w:autoSpaceDE/>
        <w:autoSpaceDN/>
        <w:bidi w:val="0"/>
        <w:spacing w:beforeAutospacing="0" w:afterAutospacing="0" w:line="400" w:lineRule="exact"/>
        <w:ind w:left="17" w:leftChars="8" w:firstLine="400" w:firstLineChars="167"/>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lang w:val="en-US" w:eastAsia="zh-CN"/>
        </w:rPr>
        <w:t>原则上</w:t>
      </w:r>
      <w:r>
        <w:rPr>
          <w:rFonts w:hint="eastAsia" w:ascii="宋体" w:hAnsi="宋体" w:eastAsia="宋体" w:cs="宋体"/>
          <w:color w:val="auto"/>
          <w:sz w:val="24"/>
          <w:szCs w:val="24"/>
          <w:highlight w:val="none"/>
        </w:rPr>
        <w:t>不提供服务人员的宿舍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若</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有条件提供服务人员的宿舍，按6人/间标准，床铺和生活用品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住宿相关费用由</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自理</w:t>
      </w:r>
      <w:r>
        <w:rPr>
          <w:rFonts w:hint="eastAsia" w:ascii="宋体" w:hAnsi="宋体" w:eastAsia="宋体" w:cs="宋体"/>
          <w:color w:val="auto"/>
          <w:sz w:val="24"/>
          <w:szCs w:val="24"/>
          <w:highlight w:val="none"/>
          <w:lang w:eastAsia="zh-CN"/>
        </w:rPr>
        <w:t>。</w:t>
      </w:r>
      <w:r>
        <w:rPr>
          <w:rFonts w:ascii="仿宋_GB2312" w:hAnsi="仿宋_GB2312" w:eastAsia="仿宋_GB2312" w:cs="仿宋_GB2312"/>
          <w:b/>
          <w:color w:val="auto"/>
          <w:sz w:val="24"/>
          <w:szCs w:val="24"/>
          <w:highlight w:val="none"/>
        </w:rPr>
        <w:t>（评审项</w:t>
      </w:r>
      <w:r>
        <w:rPr>
          <w:rFonts w:hint="eastAsia" w:ascii="仿宋_GB2312" w:hAnsi="仿宋_GB2312" w:eastAsia="仿宋_GB2312" w:cs="仿宋_GB2312"/>
          <w:b/>
          <w:color w:val="auto"/>
          <w:sz w:val="24"/>
          <w:szCs w:val="24"/>
          <w:highlight w:val="none"/>
          <w:lang w:val="en-US" w:eastAsia="zh-CN"/>
        </w:rPr>
        <w:t>3</w:t>
      </w:r>
      <w:r>
        <w:rPr>
          <w:rFonts w:ascii="仿宋_GB2312" w:hAnsi="仿宋_GB2312" w:eastAsia="仿宋_GB2312" w:cs="仿宋_GB2312"/>
          <w:b/>
          <w:color w:val="auto"/>
          <w:sz w:val="24"/>
          <w:szCs w:val="24"/>
          <w:highlight w:val="none"/>
        </w:rPr>
        <w:t>）</w:t>
      </w:r>
    </w:p>
    <w:p w14:paraId="72432DA4">
      <w:pPr>
        <w:keepNext w:val="0"/>
        <w:keepLines w:val="0"/>
        <w:pageBreakBefore w:val="0"/>
        <w:numPr>
          <w:ilvl w:val="0"/>
          <w:numId w:val="5"/>
        </w:numPr>
        <w:kinsoku/>
        <w:wordWrap/>
        <w:overflowPunct/>
        <w:topLinePunct w:val="0"/>
        <w:autoSpaceDE/>
        <w:autoSpaceDN/>
        <w:bidi w:val="0"/>
        <w:spacing w:beforeAutospacing="0" w:afterAutospacing="0" w:line="400" w:lineRule="exact"/>
        <w:ind w:left="17" w:leftChars="8" w:firstLine="400" w:firstLineChars="167"/>
        <w:textAlignment w:val="auto"/>
        <w:rPr>
          <w:rFonts w:hint="eastAsia" w:ascii="宋体" w:hAnsi="宋体" w:eastAsia="宋体" w:cs="宋体"/>
          <w:color w:val="auto"/>
          <w:sz w:val="24"/>
          <w:szCs w:val="24"/>
          <w:highlight w:val="none"/>
        </w:rPr>
      </w:pPr>
      <w:r>
        <w:rPr>
          <w:rFonts w:hint="eastAsia" w:ascii="宋体" w:hAnsi="宋体" w:eastAsia="宋体" w:cs="宋体"/>
          <w:strike w:val="0"/>
          <w:dstrike w:val="0"/>
          <w:color w:val="auto"/>
          <w:sz w:val="24"/>
          <w:szCs w:val="24"/>
          <w:highlight w:val="none"/>
        </w:rPr>
        <w:t>投标人</w:t>
      </w:r>
      <w:r>
        <w:rPr>
          <w:rFonts w:hint="eastAsia" w:ascii="宋体" w:hAnsi="宋体" w:eastAsia="宋体" w:cs="宋体"/>
          <w:color w:val="auto"/>
          <w:sz w:val="24"/>
          <w:szCs w:val="24"/>
          <w:highlight w:val="none"/>
        </w:rPr>
        <w:t>服务团队人员生病住院，伤亡及工伤等所发生的</w:t>
      </w:r>
      <w:r>
        <w:rPr>
          <w:rFonts w:hint="eastAsia" w:ascii="宋体" w:hAnsi="宋体" w:eastAsia="宋体" w:cs="宋体"/>
          <w:color w:val="auto"/>
          <w:sz w:val="24"/>
          <w:szCs w:val="24"/>
          <w:highlight w:val="none"/>
          <w:lang w:val="en-US" w:eastAsia="zh-CN"/>
        </w:rPr>
        <w:t>一切</w:t>
      </w:r>
      <w:r>
        <w:rPr>
          <w:rFonts w:hint="eastAsia" w:ascii="宋体" w:hAnsi="宋体" w:eastAsia="宋体" w:cs="宋体"/>
          <w:color w:val="auto"/>
          <w:sz w:val="24"/>
          <w:szCs w:val="24"/>
          <w:highlight w:val="none"/>
        </w:rPr>
        <w:t>费用由中标单位自行承担。</w:t>
      </w:r>
      <w:r>
        <w:rPr>
          <w:rFonts w:ascii="仿宋_GB2312" w:hAnsi="仿宋_GB2312" w:eastAsia="仿宋_GB2312" w:cs="仿宋_GB2312"/>
          <w:b/>
          <w:color w:val="auto"/>
          <w:sz w:val="24"/>
          <w:szCs w:val="24"/>
          <w:highlight w:val="none"/>
        </w:rPr>
        <w:t>（评审项</w:t>
      </w:r>
      <w:r>
        <w:rPr>
          <w:rFonts w:hint="eastAsia" w:ascii="仿宋_GB2312" w:hAnsi="仿宋_GB2312" w:eastAsia="仿宋_GB2312" w:cs="仿宋_GB2312"/>
          <w:b/>
          <w:color w:val="auto"/>
          <w:sz w:val="24"/>
          <w:szCs w:val="24"/>
          <w:highlight w:val="none"/>
          <w:lang w:val="en-US" w:eastAsia="zh-CN"/>
        </w:rPr>
        <w:t>4</w:t>
      </w:r>
      <w:r>
        <w:rPr>
          <w:rFonts w:ascii="仿宋_GB2312" w:hAnsi="仿宋_GB2312" w:eastAsia="仿宋_GB2312" w:cs="仿宋_GB2312"/>
          <w:b/>
          <w:color w:val="auto"/>
          <w:sz w:val="24"/>
          <w:szCs w:val="24"/>
          <w:highlight w:val="none"/>
        </w:rPr>
        <w:t>）</w:t>
      </w:r>
    </w:p>
    <w:p w14:paraId="569CA716">
      <w:pPr>
        <w:keepNext w:val="0"/>
        <w:keepLines w:val="0"/>
        <w:pageBreakBefore w:val="0"/>
        <w:numPr>
          <w:ilvl w:val="0"/>
          <w:numId w:val="5"/>
        </w:numPr>
        <w:kinsoku/>
        <w:wordWrap/>
        <w:overflowPunct/>
        <w:topLinePunct w:val="0"/>
        <w:autoSpaceDE/>
        <w:autoSpaceDN/>
        <w:bidi w:val="0"/>
        <w:spacing w:beforeAutospacing="0" w:afterAutospacing="0" w:line="400" w:lineRule="exact"/>
        <w:ind w:left="17" w:leftChars="8" w:firstLine="400" w:firstLineChars="167"/>
        <w:textAlignment w:val="auto"/>
        <w:rPr>
          <w:rFonts w:hint="eastAsia" w:ascii="宋体" w:hAnsi="宋体" w:eastAsia="宋体" w:cs="宋体"/>
          <w:color w:val="auto"/>
          <w:sz w:val="24"/>
          <w:szCs w:val="24"/>
          <w:highlight w:val="none"/>
        </w:rPr>
      </w:pPr>
      <w:r>
        <w:rPr>
          <w:rFonts w:hint="eastAsia" w:ascii="宋体" w:hAnsi="宋体" w:eastAsia="宋体" w:cs="宋体"/>
          <w:strike w:val="0"/>
          <w:dstrike w:val="0"/>
          <w:color w:val="auto"/>
          <w:sz w:val="24"/>
          <w:szCs w:val="24"/>
          <w:highlight w:val="none"/>
        </w:rPr>
        <w:t>投标人</w:t>
      </w:r>
      <w:r>
        <w:rPr>
          <w:rFonts w:hint="eastAsia" w:ascii="宋体" w:hAnsi="宋体" w:eastAsia="宋体" w:cs="宋体"/>
          <w:color w:val="auto"/>
          <w:sz w:val="24"/>
          <w:szCs w:val="24"/>
          <w:highlight w:val="none"/>
        </w:rPr>
        <w:t>负责所</w:t>
      </w:r>
      <w:r>
        <w:rPr>
          <w:rFonts w:hint="eastAsia" w:ascii="宋体" w:hAnsi="宋体" w:eastAsia="宋体" w:cs="宋体"/>
          <w:color w:val="auto"/>
          <w:sz w:val="24"/>
          <w:szCs w:val="24"/>
          <w:highlight w:val="none"/>
          <w:lang w:val="en-US" w:eastAsia="zh-CN"/>
        </w:rPr>
        <w:t>招聘</w:t>
      </w:r>
      <w:r>
        <w:rPr>
          <w:rFonts w:hint="eastAsia" w:ascii="宋体" w:hAnsi="宋体" w:eastAsia="宋体" w:cs="宋体"/>
          <w:color w:val="auto"/>
          <w:sz w:val="24"/>
          <w:szCs w:val="24"/>
          <w:highlight w:val="none"/>
        </w:rPr>
        <w:t>服务人员的</w:t>
      </w:r>
      <w:r>
        <w:rPr>
          <w:rFonts w:hint="eastAsia" w:ascii="宋体" w:hAnsi="宋体" w:eastAsia="宋体" w:cs="宋体"/>
          <w:color w:val="auto"/>
          <w:sz w:val="24"/>
          <w:szCs w:val="24"/>
          <w:highlight w:val="none"/>
          <w:lang w:val="en-US" w:eastAsia="zh-CN"/>
        </w:rPr>
        <w:t>安全</w:t>
      </w:r>
      <w:r>
        <w:rPr>
          <w:rFonts w:hint="eastAsia" w:ascii="宋体" w:hAnsi="宋体" w:eastAsia="宋体" w:cs="宋体"/>
          <w:color w:val="auto"/>
          <w:sz w:val="24"/>
          <w:szCs w:val="24"/>
          <w:highlight w:val="none"/>
        </w:rPr>
        <w:t>卫生教育，确保服务人员持健康证上岗，并统一着装，佩戴统一的帽子、口罩、手套等。</w:t>
      </w:r>
      <w:r>
        <w:rPr>
          <w:rFonts w:ascii="仿宋_GB2312" w:hAnsi="仿宋_GB2312" w:eastAsia="仿宋_GB2312" w:cs="仿宋_GB2312"/>
          <w:b/>
          <w:color w:val="auto"/>
          <w:sz w:val="24"/>
          <w:szCs w:val="24"/>
          <w:highlight w:val="none"/>
        </w:rPr>
        <w:t>（评审项</w:t>
      </w:r>
      <w:r>
        <w:rPr>
          <w:rFonts w:hint="eastAsia" w:ascii="仿宋_GB2312" w:hAnsi="仿宋_GB2312" w:eastAsia="仿宋_GB2312" w:cs="仿宋_GB2312"/>
          <w:b/>
          <w:color w:val="auto"/>
          <w:sz w:val="24"/>
          <w:szCs w:val="24"/>
          <w:highlight w:val="none"/>
          <w:lang w:val="en-US" w:eastAsia="zh-CN"/>
        </w:rPr>
        <w:t>5</w:t>
      </w:r>
      <w:r>
        <w:rPr>
          <w:rFonts w:ascii="仿宋_GB2312" w:hAnsi="仿宋_GB2312" w:eastAsia="仿宋_GB2312" w:cs="仿宋_GB2312"/>
          <w:b/>
          <w:color w:val="auto"/>
          <w:sz w:val="24"/>
          <w:szCs w:val="24"/>
          <w:highlight w:val="none"/>
        </w:rPr>
        <w:t>）</w:t>
      </w:r>
    </w:p>
    <w:p w14:paraId="447EB937">
      <w:pPr>
        <w:keepNext w:val="0"/>
        <w:keepLines w:val="0"/>
        <w:pageBreakBefore w:val="0"/>
        <w:numPr>
          <w:ilvl w:val="0"/>
          <w:numId w:val="5"/>
        </w:numPr>
        <w:kinsoku/>
        <w:wordWrap/>
        <w:overflowPunct/>
        <w:topLinePunct w:val="0"/>
        <w:autoSpaceDE/>
        <w:autoSpaceDN/>
        <w:bidi w:val="0"/>
        <w:spacing w:beforeAutospacing="0" w:afterAutospacing="0" w:line="400" w:lineRule="exact"/>
        <w:ind w:left="17" w:leftChars="8" w:firstLine="400" w:firstLineChars="167"/>
        <w:textAlignment w:val="auto"/>
        <w:rPr>
          <w:rFonts w:hint="eastAsia" w:ascii="宋体" w:hAnsi="宋体" w:eastAsia="宋体" w:cs="宋体"/>
          <w:color w:val="auto"/>
          <w:sz w:val="24"/>
          <w:szCs w:val="24"/>
          <w:highlight w:val="none"/>
        </w:rPr>
      </w:pPr>
      <w:r>
        <w:rPr>
          <w:rFonts w:hint="eastAsia" w:ascii="宋体" w:hAnsi="宋体" w:eastAsia="宋体" w:cs="宋体"/>
          <w:strike w:val="0"/>
          <w:dstrike w:val="0"/>
          <w:color w:val="auto"/>
          <w:sz w:val="24"/>
          <w:szCs w:val="24"/>
          <w:highlight w:val="none"/>
        </w:rPr>
        <w:t>投标人</w:t>
      </w:r>
      <w:r>
        <w:rPr>
          <w:rFonts w:hint="eastAsia" w:ascii="宋体" w:hAnsi="宋体" w:eastAsia="宋体" w:cs="宋体"/>
          <w:color w:val="auto"/>
          <w:sz w:val="24"/>
          <w:szCs w:val="24"/>
          <w:highlight w:val="none"/>
        </w:rPr>
        <w:t>要加强员工售饭售菜业务的培训，高峰期要加开服务窗口，要求每个售卖窗口必须保证有足够的人员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不得出现排长龙等拥挤、混乱情况。</w:t>
      </w:r>
      <w:r>
        <w:rPr>
          <w:rFonts w:ascii="仿宋_GB2312" w:hAnsi="仿宋_GB2312" w:eastAsia="仿宋_GB2312" w:cs="仿宋_GB2312"/>
          <w:b/>
          <w:color w:val="auto"/>
          <w:sz w:val="24"/>
          <w:szCs w:val="24"/>
          <w:highlight w:val="none"/>
        </w:rPr>
        <w:t>（评审项</w:t>
      </w:r>
      <w:r>
        <w:rPr>
          <w:rFonts w:hint="eastAsia" w:ascii="仿宋_GB2312" w:hAnsi="仿宋_GB2312" w:eastAsia="仿宋_GB2312" w:cs="仿宋_GB2312"/>
          <w:b/>
          <w:color w:val="auto"/>
          <w:sz w:val="24"/>
          <w:szCs w:val="24"/>
          <w:highlight w:val="none"/>
          <w:lang w:val="en-US" w:eastAsia="zh-CN"/>
        </w:rPr>
        <w:t>6</w:t>
      </w:r>
      <w:r>
        <w:rPr>
          <w:rFonts w:ascii="仿宋_GB2312" w:hAnsi="仿宋_GB2312" w:eastAsia="仿宋_GB2312" w:cs="仿宋_GB2312"/>
          <w:b/>
          <w:color w:val="auto"/>
          <w:sz w:val="24"/>
          <w:szCs w:val="24"/>
          <w:highlight w:val="none"/>
        </w:rPr>
        <w:t>）</w:t>
      </w:r>
    </w:p>
    <w:p w14:paraId="22608545">
      <w:pPr>
        <w:pStyle w:val="38"/>
        <w:keepNext w:val="0"/>
        <w:keepLines w:val="0"/>
        <w:pageBreakBefore w:val="0"/>
        <w:numPr>
          <w:ilvl w:val="0"/>
          <w:numId w:val="5"/>
        </w:numPr>
        <w:kinsoku/>
        <w:wordWrap/>
        <w:overflowPunct/>
        <w:topLinePunct w:val="0"/>
        <w:autoSpaceDE/>
        <w:autoSpaceDN/>
        <w:bidi w:val="0"/>
        <w:spacing w:beforeAutospacing="0" w:afterAutospacing="0" w:line="400" w:lineRule="exact"/>
        <w:ind w:left="17" w:leftChars="8" w:firstLine="400" w:firstLineChars="167"/>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服务管理期间，</w:t>
      </w:r>
      <w:r>
        <w:rPr>
          <w:rFonts w:hint="eastAsia" w:ascii="宋体" w:hAnsi="宋体" w:eastAsia="宋体" w:cs="宋体"/>
          <w:strike w:val="0"/>
          <w:dstrike w:val="0"/>
          <w:color w:val="auto"/>
          <w:sz w:val="24"/>
          <w:szCs w:val="24"/>
          <w:highlight w:val="none"/>
        </w:rPr>
        <w:t>投标人</w:t>
      </w:r>
      <w:r>
        <w:rPr>
          <w:rFonts w:hint="eastAsia" w:ascii="宋体" w:hAnsi="宋体" w:cs="宋体"/>
          <w:color w:val="auto"/>
          <w:sz w:val="24"/>
          <w:szCs w:val="24"/>
          <w:highlight w:val="none"/>
        </w:rPr>
        <w:t>免费使用</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的设备、厨具等，</w:t>
      </w:r>
      <w:r>
        <w:rPr>
          <w:rFonts w:hint="eastAsia" w:ascii="宋体" w:hAnsi="宋体" w:eastAsia="宋体" w:cs="宋体"/>
          <w:strike w:val="0"/>
          <w:dstrike w:val="0"/>
          <w:color w:val="auto"/>
          <w:sz w:val="24"/>
          <w:szCs w:val="24"/>
          <w:highlight w:val="none"/>
        </w:rPr>
        <w:t>投标人</w:t>
      </w:r>
      <w:r>
        <w:rPr>
          <w:rFonts w:hint="eastAsia" w:ascii="宋体" w:hAnsi="宋体" w:cs="宋体"/>
          <w:color w:val="auto"/>
          <w:sz w:val="24"/>
          <w:szCs w:val="24"/>
          <w:highlight w:val="none"/>
        </w:rPr>
        <w:t>要做好防火</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防盗、用电安全工作，因</w:t>
      </w:r>
      <w:r>
        <w:rPr>
          <w:rFonts w:hint="eastAsia" w:ascii="宋体" w:hAnsi="宋体" w:eastAsia="宋体" w:cs="宋体"/>
          <w:strike w:val="0"/>
          <w:dstrike w:val="0"/>
          <w:color w:val="auto"/>
          <w:sz w:val="24"/>
          <w:szCs w:val="24"/>
          <w:highlight w:val="none"/>
        </w:rPr>
        <w:t>投标人</w:t>
      </w:r>
      <w:r>
        <w:rPr>
          <w:rFonts w:hint="eastAsia" w:ascii="宋体" w:hAnsi="宋体" w:cs="宋体"/>
          <w:color w:val="auto"/>
          <w:sz w:val="24"/>
          <w:szCs w:val="24"/>
          <w:highlight w:val="none"/>
        </w:rPr>
        <w:t>管理不善发生</w:t>
      </w:r>
      <w:r>
        <w:rPr>
          <w:rFonts w:hint="eastAsia" w:ascii="宋体" w:hAnsi="宋体" w:cs="宋体"/>
          <w:color w:val="auto"/>
          <w:sz w:val="24"/>
          <w:szCs w:val="24"/>
          <w:highlight w:val="none"/>
          <w:lang w:val="en-US" w:eastAsia="zh-CN"/>
        </w:rPr>
        <w:t>设备、厨具等</w:t>
      </w:r>
      <w:r>
        <w:rPr>
          <w:rFonts w:hint="eastAsia" w:ascii="宋体" w:hAnsi="宋体" w:cs="宋体"/>
          <w:color w:val="auto"/>
          <w:sz w:val="24"/>
          <w:szCs w:val="24"/>
          <w:highlight w:val="none"/>
        </w:rPr>
        <w:t>短少、</w:t>
      </w:r>
      <w:r>
        <w:rPr>
          <w:rFonts w:hint="eastAsia" w:ascii="宋体" w:hAnsi="宋体" w:cs="宋体"/>
          <w:color w:val="auto"/>
          <w:sz w:val="24"/>
          <w:szCs w:val="24"/>
          <w:highlight w:val="none"/>
          <w:lang w:val="en-US" w:eastAsia="zh-CN"/>
        </w:rPr>
        <w:t>人为</w:t>
      </w:r>
      <w:r>
        <w:rPr>
          <w:rFonts w:hint="eastAsia" w:ascii="宋体" w:hAnsi="宋体" w:cs="宋体"/>
          <w:color w:val="auto"/>
          <w:sz w:val="24"/>
          <w:szCs w:val="24"/>
          <w:highlight w:val="none"/>
        </w:rPr>
        <w:t>损坏、被盗的，均需照价赔偿。</w:t>
      </w:r>
      <w:r>
        <w:rPr>
          <w:rFonts w:ascii="仿宋_GB2312" w:hAnsi="仿宋_GB2312" w:eastAsia="仿宋_GB2312" w:cs="仿宋_GB2312"/>
          <w:b/>
          <w:color w:val="auto"/>
          <w:sz w:val="24"/>
          <w:szCs w:val="24"/>
          <w:highlight w:val="none"/>
        </w:rPr>
        <w:t>（评审项</w:t>
      </w:r>
      <w:r>
        <w:rPr>
          <w:rFonts w:hint="eastAsia" w:ascii="仿宋_GB2312" w:hAnsi="仿宋_GB2312" w:eastAsia="仿宋_GB2312" w:cs="仿宋_GB2312"/>
          <w:b/>
          <w:color w:val="auto"/>
          <w:sz w:val="24"/>
          <w:szCs w:val="24"/>
          <w:highlight w:val="none"/>
          <w:lang w:val="en-US" w:eastAsia="zh-CN"/>
        </w:rPr>
        <w:t>7</w:t>
      </w:r>
      <w:r>
        <w:rPr>
          <w:rFonts w:ascii="仿宋_GB2312" w:hAnsi="仿宋_GB2312" w:eastAsia="仿宋_GB2312" w:cs="仿宋_GB2312"/>
          <w:b/>
          <w:color w:val="auto"/>
          <w:sz w:val="24"/>
          <w:szCs w:val="24"/>
          <w:highlight w:val="none"/>
        </w:rPr>
        <w:t>）</w:t>
      </w:r>
    </w:p>
    <w:p w14:paraId="1C36FB2C">
      <w:pPr>
        <w:pStyle w:val="38"/>
        <w:keepNext w:val="0"/>
        <w:keepLines w:val="0"/>
        <w:pageBreakBefore w:val="0"/>
        <w:numPr>
          <w:ilvl w:val="0"/>
          <w:numId w:val="5"/>
        </w:numPr>
        <w:kinsoku/>
        <w:wordWrap/>
        <w:overflowPunct/>
        <w:topLinePunct w:val="0"/>
        <w:autoSpaceDE/>
        <w:autoSpaceDN/>
        <w:bidi w:val="0"/>
        <w:spacing w:beforeAutospacing="0" w:afterAutospacing="0" w:line="400" w:lineRule="exact"/>
        <w:ind w:left="17" w:leftChars="8" w:firstLine="400" w:firstLineChars="167"/>
        <w:textAlignment w:val="auto"/>
        <w:rPr>
          <w:rFonts w:hint="eastAsia" w:ascii="宋体" w:hAnsi="宋体" w:eastAsia="宋体" w:cs="宋体"/>
          <w:color w:val="auto"/>
          <w:sz w:val="24"/>
          <w:szCs w:val="24"/>
          <w:highlight w:val="none"/>
        </w:rPr>
      </w:pPr>
      <w:r>
        <w:rPr>
          <w:rFonts w:hint="eastAsia" w:ascii="宋体" w:hAnsi="宋体" w:eastAsia="宋体" w:cs="宋体"/>
          <w:strike w:val="0"/>
          <w:dstrike w:val="0"/>
          <w:color w:val="auto"/>
          <w:sz w:val="24"/>
          <w:szCs w:val="24"/>
          <w:highlight w:val="none"/>
        </w:rPr>
        <w:t>投标人</w:t>
      </w:r>
      <w:r>
        <w:rPr>
          <w:rFonts w:hint="eastAsia" w:ascii="宋体" w:hAnsi="宋体" w:cs="宋体"/>
          <w:color w:val="auto"/>
          <w:sz w:val="24"/>
          <w:szCs w:val="24"/>
          <w:highlight w:val="none"/>
        </w:rPr>
        <w:t>应定期对</w:t>
      </w:r>
      <w:r>
        <w:rPr>
          <w:rFonts w:hint="eastAsia" w:ascii="宋体" w:hAnsi="宋体" w:cs="宋体"/>
          <w:color w:val="auto"/>
          <w:sz w:val="24"/>
          <w:szCs w:val="24"/>
          <w:highlight w:val="none"/>
          <w:lang w:val="en-US" w:eastAsia="zh-CN"/>
        </w:rPr>
        <w:t>厨房</w:t>
      </w:r>
      <w:r>
        <w:rPr>
          <w:rFonts w:hint="eastAsia" w:ascii="宋体" w:hAnsi="宋体" w:cs="宋体"/>
          <w:color w:val="auto"/>
          <w:sz w:val="24"/>
          <w:szCs w:val="24"/>
          <w:highlight w:val="none"/>
        </w:rPr>
        <w:t>设备、厨具、</w:t>
      </w:r>
      <w:r>
        <w:rPr>
          <w:rFonts w:hint="eastAsia" w:ascii="宋体" w:hAnsi="宋体" w:cs="宋体"/>
          <w:color w:val="auto"/>
          <w:sz w:val="24"/>
          <w:szCs w:val="24"/>
          <w:highlight w:val="none"/>
          <w:lang w:val="en-US" w:eastAsia="zh-CN"/>
        </w:rPr>
        <w:t>冷库</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消防器材</w:t>
      </w:r>
      <w:r>
        <w:rPr>
          <w:rFonts w:hint="eastAsia" w:ascii="宋体" w:hAnsi="宋体" w:cs="宋体"/>
          <w:color w:val="auto"/>
          <w:sz w:val="24"/>
          <w:szCs w:val="24"/>
          <w:highlight w:val="none"/>
        </w:rPr>
        <w:t>等进行全面检查，并配合协助</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管理部门对以上设备进行抽查，对损坏的物品设备及时上报</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，由</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安排人员进行维修更换，如因</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原因管理不善或人为损坏的由</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自行承担维修和购置费用。</w:t>
      </w:r>
      <w:r>
        <w:rPr>
          <w:rFonts w:ascii="仿宋_GB2312" w:hAnsi="仿宋_GB2312" w:eastAsia="仿宋_GB2312" w:cs="仿宋_GB2312"/>
          <w:b/>
          <w:color w:val="auto"/>
          <w:sz w:val="24"/>
          <w:szCs w:val="24"/>
          <w:highlight w:val="none"/>
        </w:rPr>
        <w:t>（评审项</w:t>
      </w:r>
      <w:r>
        <w:rPr>
          <w:rFonts w:hint="eastAsia" w:ascii="仿宋_GB2312" w:hAnsi="仿宋_GB2312" w:eastAsia="仿宋_GB2312" w:cs="仿宋_GB2312"/>
          <w:b/>
          <w:color w:val="auto"/>
          <w:sz w:val="24"/>
          <w:szCs w:val="24"/>
          <w:highlight w:val="none"/>
          <w:lang w:val="en-US" w:eastAsia="zh-CN"/>
        </w:rPr>
        <w:t>8</w:t>
      </w:r>
      <w:r>
        <w:rPr>
          <w:rFonts w:ascii="仿宋_GB2312" w:hAnsi="仿宋_GB2312" w:eastAsia="仿宋_GB2312" w:cs="仿宋_GB2312"/>
          <w:b/>
          <w:color w:val="auto"/>
          <w:sz w:val="24"/>
          <w:szCs w:val="24"/>
          <w:highlight w:val="none"/>
        </w:rPr>
        <w:t>）</w:t>
      </w:r>
    </w:p>
    <w:p w14:paraId="72D6D301">
      <w:pPr>
        <w:pStyle w:val="38"/>
        <w:keepNext w:val="0"/>
        <w:keepLines w:val="0"/>
        <w:pageBreakBefore w:val="0"/>
        <w:numPr>
          <w:ilvl w:val="0"/>
          <w:numId w:val="5"/>
        </w:numPr>
        <w:kinsoku/>
        <w:wordWrap/>
        <w:overflowPunct/>
        <w:topLinePunct w:val="0"/>
        <w:autoSpaceDE/>
        <w:autoSpaceDN/>
        <w:bidi w:val="0"/>
        <w:spacing w:beforeAutospacing="0" w:afterAutospacing="0" w:line="400" w:lineRule="exact"/>
        <w:ind w:left="17" w:leftChars="8" w:firstLine="400" w:firstLineChars="167"/>
        <w:textAlignment w:val="auto"/>
        <w:rPr>
          <w:rFonts w:hint="eastAsia" w:ascii="宋体" w:hAnsi="宋体" w:cs="宋体"/>
          <w:color w:val="auto"/>
          <w:sz w:val="24"/>
          <w:szCs w:val="24"/>
          <w:highlight w:val="none"/>
        </w:rPr>
      </w:pPr>
      <w:r>
        <w:rPr>
          <w:rFonts w:hint="eastAsia" w:ascii="华文中宋" w:hAnsi="华文中宋" w:eastAsia="华文中宋" w:cs="华文中宋"/>
          <w:color w:val="auto"/>
          <w:sz w:val="24"/>
          <w:szCs w:val="24"/>
          <w:highlight w:val="none"/>
        </w:rPr>
        <w:t>★</w:t>
      </w:r>
      <w:r>
        <w:rPr>
          <w:rFonts w:hint="eastAsia" w:ascii="宋体" w:hAnsi="宋体" w:cs="宋体"/>
          <w:color w:val="auto"/>
          <w:sz w:val="24"/>
          <w:szCs w:val="24"/>
          <w:highlight w:val="none"/>
        </w:rPr>
        <w:t>须指派一名在投标人企业服务的专职项目经理，拟派的项目经理</w:t>
      </w:r>
      <w:r>
        <w:rPr>
          <w:rFonts w:hint="eastAsia" w:ascii="宋体" w:hAnsi="宋体" w:cs="宋体"/>
          <w:color w:val="auto"/>
          <w:sz w:val="24"/>
          <w:szCs w:val="24"/>
          <w:highlight w:val="none"/>
          <w:lang w:val="en-US" w:eastAsia="zh-CN"/>
        </w:rPr>
        <w:t>如果不是中标单位法人须持有</w:t>
      </w:r>
      <w:r>
        <w:rPr>
          <w:rFonts w:hint="eastAsia" w:ascii="宋体" w:hAnsi="宋体" w:eastAsia="宋体" w:cs="宋体"/>
          <w:strike w:val="0"/>
          <w:dstrike w:val="0"/>
          <w:color w:val="auto"/>
          <w:sz w:val="24"/>
          <w:szCs w:val="24"/>
          <w:highlight w:val="none"/>
        </w:rPr>
        <w:t>投标人</w:t>
      </w:r>
      <w:r>
        <w:rPr>
          <w:rFonts w:hint="eastAsia" w:ascii="宋体" w:hAnsi="宋体" w:cs="宋体"/>
          <w:color w:val="auto"/>
          <w:sz w:val="24"/>
          <w:szCs w:val="24"/>
          <w:highlight w:val="none"/>
          <w:lang w:val="en-US" w:eastAsia="zh-CN"/>
        </w:rPr>
        <w:t>的授权书，</w:t>
      </w:r>
      <w:r>
        <w:rPr>
          <w:rFonts w:hint="eastAsia" w:ascii="宋体" w:hAnsi="宋体" w:cs="宋体"/>
          <w:color w:val="auto"/>
          <w:sz w:val="24"/>
          <w:szCs w:val="24"/>
          <w:highlight w:val="none"/>
        </w:rPr>
        <w:t>负责与</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联系和处理服务过程中的有关事宜。营业期间</w:t>
      </w:r>
      <w:r>
        <w:rPr>
          <w:rFonts w:hint="eastAsia" w:ascii="宋体" w:hAnsi="宋体" w:cs="宋体"/>
          <w:color w:val="auto"/>
          <w:sz w:val="24"/>
          <w:szCs w:val="24"/>
          <w:highlight w:val="none"/>
          <w:lang w:val="en-US" w:eastAsia="zh-CN"/>
        </w:rPr>
        <w:t>经理</w:t>
      </w:r>
      <w:r>
        <w:rPr>
          <w:rFonts w:hint="eastAsia" w:ascii="宋体" w:hAnsi="宋体" w:cs="宋体"/>
          <w:color w:val="auto"/>
          <w:sz w:val="24"/>
          <w:szCs w:val="24"/>
          <w:highlight w:val="none"/>
        </w:rPr>
        <w:t>必须在岗</w:t>
      </w:r>
      <w:r>
        <w:rPr>
          <w:rFonts w:hint="eastAsia" w:ascii="宋体" w:hAnsi="宋体" w:cs="宋体"/>
          <w:color w:val="auto"/>
          <w:sz w:val="24"/>
          <w:szCs w:val="24"/>
          <w:highlight w:val="none"/>
          <w:lang w:val="en-US" w:eastAsia="zh-CN"/>
        </w:rPr>
        <w:t>在位</w:t>
      </w:r>
      <w:r>
        <w:rPr>
          <w:rFonts w:hint="eastAsia" w:ascii="宋体" w:hAnsi="宋体" w:cs="宋体"/>
          <w:color w:val="auto"/>
          <w:sz w:val="24"/>
          <w:szCs w:val="24"/>
          <w:highlight w:val="none"/>
        </w:rPr>
        <w:t>，非营业时间采购人若有需要项目经理应在30分钟内到达现场，履职期间不重复担任其他餐厅、食堂的负责人或经理。</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有权对</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授权的项目经</w:t>
      </w:r>
      <w:r>
        <w:rPr>
          <w:rFonts w:hint="eastAsia" w:ascii="宋体" w:hAnsi="宋体" w:cs="宋体"/>
          <w:color w:val="auto"/>
          <w:sz w:val="24"/>
          <w:szCs w:val="24"/>
          <w:highlight w:val="none"/>
          <w:lang w:val="en-US" w:eastAsia="zh-CN"/>
        </w:rPr>
        <w:t>理进行考察，食堂综合考评分低于90分时，采购人</w:t>
      </w:r>
      <w:r>
        <w:rPr>
          <w:rFonts w:hint="eastAsia" w:ascii="宋体" w:hAnsi="宋体" w:eastAsia="宋体" w:cs="宋体"/>
          <w:color w:val="auto"/>
          <w:sz w:val="24"/>
          <w:szCs w:val="24"/>
          <w:highlight w:val="none"/>
        </w:rPr>
        <w:t>有权要求</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更换项目经理。</w:t>
      </w:r>
      <w:r>
        <w:rPr>
          <w:rFonts w:hint="eastAsia" w:ascii="宋体" w:hAnsi="宋体" w:cs="宋体"/>
          <w:color w:val="auto"/>
          <w:sz w:val="24"/>
          <w:szCs w:val="24"/>
          <w:highlight w:val="none"/>
        </w:rPr>
        <w:t>未经</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允许，</w:t>
      </w:r>
      <w:r>
        <w:rPr>
          <w:rFonts w:hint="eastAsia" w:ascii="宋体" w:hAnsi="宋体" w:eastAsia="宋体" w:cs="宋体"/>
          <w:strike w:val="0"/>
          <w:dstrike w:val="0"/>
          <w:color w:val="auto"/>
          <w:sz w:val="24"/>
          <w:szCs w:val="24"/>
          <w:highlight w:val="none"/>
        </w:rPr>
        <w:t>投标人</w:t>
      </w:r>
      <w:r>
        <w:rPr>
          <w:rFonts w:hint="eastAsia" w:ascii="宋体" w:hAnsi="宋体" w:cs="宋体"/>
          <w:color w:val="auto"/>
          <w:sz w:val="24"/>
          <w:szCs w:val="24"/>
          <w:highlight w:val="none"/>
        </w:rPr>
        <w:t>不得私自更换现场经理；若确实因客观因素需要更换经理，必须更换同等业务水平的现场经理。</w:t>
      </w:r>
    </w:p>
    <w:p w14:paraId="0F5E6192">
      <w:pPr>
        <w:keepNext w:val="0"/>
        <w:keepLines w:val="0"/>
        <w:pageBreakBefore w:val="0"/>
        <w:numPr>
          <w:ilvl w:val="0"/>
          <w:numId w:val="5"/>
        </w:numPr>
        <w:kinsoku/>
        <w:wordWrap/>
        <w:overflowPunct/>
        <w:topLinePunct w:val="0"/>
        <w:autoSpaceDE/>
        <w:autoSpaceDN/>
        <w:bidi w:val="0"/>
        <w:spacing w:beforeAutospacing="0" w:afterAutospacing="0" w:line="400" w:lineRule="exact"/>
        <w:ind w:left="17" w:leftChars="8" w:firstLine="400" w:firstLineChars="167"/>
        <w:textAlignment w:val="auto"/>
        <w:rPr>
          <w:rFonts w:hint="eastAsia" w:ascii="宋体" w:hAnsi="宋体" w:eastAsia="宋体" w:cs="宋体"/>
          <w:color w:val="auto"/>
          <w:sz w:val="24"/>
          <w:szCs w:val="24"/>
          <w:highlight w:val="none"/>
        </w:rPr>
      </w:pPr>
      <w:r>
        <w:rPr>
          <w:rFonts w:hint="eastAsia" w:ascii="华文中宋" w:hAnsi="华文中宋" w:eastAsia="华文中宋" w:cs="华文中宋"/>
          <w:color w:val="auto"/>
          <w:sz w:val="24"/>
          <w:szCs w:val="24"/>
          <w:highlight w:val="none"/>
        </w:rPr>
        <w:t>★</w:t>
      </w:r>
      <w:r>
        <w:rPr>
          <w:rFonts w:hint="eastAsia" w:ascii="宋体" w:hAnsi="宋体" w:eastAsia="宋体" w:cs="宋体"/>
          <w:strike w:val="0"/>
          <w:dstrike w:val="0"/>
          <w:color w:val="auto"/>
          <w:sz w:val="24"/>
          <w:szCs w:val="24"/>
          <w:highlight w:val="none"/>
        </w:rPr>
        <w:t>投标人</w:t>
      </w:r>
      <w:r>
        <w:rPr>
          <w:rFonts w:hint="eastAsia" w:ascii="宋体" w:hAnsi="宋体" w:eastAsia="宋体" w:cs="宋体"/>
          <w:color w:val="auto"/>
          <w:sz w:val="24"/>
          <w:szCs w:val="24"/>
          <w:highlight w:val="none"/>
        </w:rPr>
        <w:t>项目经理应在岗在位，倾听</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师生意见，不断提高服务水平和饭菜质量，听取</w:t>
      </w:r>
      <w:r>
        <w:rPr>
          <w:rFonts w:hint="eastAsia" w:ascii="宋体" w:hAnsi="宋体" w:eastAsia="宋体" w:cs="宋体"/>
          <w:color w:val="auto"/>
          <w:sz w:val="24"/>
          <w:szCs w:val="24"/>
          <w:highlight w:val="none"/>
          <w:lang w:val="en-US" w:eastAsia="zh-CN"/>
        </w:rPr>
        <w:t>师生</w:t>
      </w:r>
      <w:r>
        <w:rPr>
          <w:rFonts w:hint="eastAsia" w:ascii="宋体" w:hAnsi="宋体" w:eastAsia="宋体" w:cs="宋体"/>
          <w:color w:val="auto"/>
          <w:sz w:val="24"/>
          <w:szCs w:val="24"/>
          <w:highlight w:val="none"/>
        </w:rPr>
        <w:t>代表及职能部门意见，及时改正。</w:t>
      </w:r>
      <w:r>
        <w:rPr>
          <w:rFonts w:hint="eastAsia" w:ascii="宋体" w:hAnsi="宋体" w:cs="宋体"/>
          <w:bCs/>
          <w:color w:val="auto"/>
          <w:sz w:val="24"/>
          <w:szCs w:val="24"/>
          <w:highlight w:val="none"/>
          <w:lang w:eastAsia="zh-CN"/>
        </w:rPr>
        <w:t>投标人</w:t>
      </w:r>
      <w:r>
        <w:rPr>
          <w:rFonts w:hint="eastAsia" w:ascii="宋体" w:hAnsi="宋体" w:eastAsia="宋体" w:cs="宋体"/>
          <w:bCs/>
          <w:color w:val="auto"/>
          <w:sz w:val="24"/>
          <w:szCs w:val="24"/>
          <w:highlight w:val="none"/>
        </w:rPr>
        <w:t>项目经理离开学校实行报备制，需要提前向</w:t>
      </w:r>
      <w:r>
        <w:rPr>
          <w:rFonts w:hint="eastAsia" w:ascii="宋体" w:hAnsi="宋体" w:eastAsia="宋体" w:cs="宋体"/>
          <w:bCs/>
          <w:color w:val="auto"/>
          <w:sz w:val="24"/>
          <w:szCs w:val="24"/>
          <w:highlight w:val="none"/>
          <w:lang w:val="en-US" w:eastAsia="zh-CN"/>
        </w:rPr>
        <w:t>学校</w:t>
      </w:r>
      <w:r>
        <w:rPr>
          <w:rFonts w:hint="eastAsia" w:ascii="宋体" w:hAnsi="宋体" w:eastAsia="宋体" w:cs="宋体"/>
          <w:bCs/>
          <w:color w:val="auto"/>
          <w:sz w:val="24"/>
          <w:szCs w:val="24"/>
          <w:highlight w:val="none"/>
        </w:rPr>
        <w:t>食堂管理人员进行</w:t>
      </w:r>
      <w:r>
        <w:rPr>
          <w:rFonts w:hint="eastAsia" w:ascii="宋体" w:hAnsi="宋体" w:eastAsia="宋体" w:cs="宋体"/>
          <w:bCs/>
          <w:color w:val="auto"/>
          <w:sz w:val="24"/>
          <w:szCs w:val="24"/>
          <w:highlight w:val="none"/>
          <w:lang w:val="en-US" w:eastAsia="zh-CN"/>
        </w:rPr>
        <w:t>书面</w:t>
      </w:r>
      <w:r>
        <w:rPr>
          <w:rFonts w:hint="eastAsia" w:ascii="宋体" w:hAnsi="宋体" w:eastAsia="宋体" w:cs="宋体"/>
          <w:bCs/>
          <w:color w:val="auto"/>
          <w:sz w:val="24"/>
          <w:szCs w:val="24"/>
          <w:highlight w:val="none"/>
        </w:rPr>
        <w:t>报备。</w:t>
      </w:r>
    </w:p>
    <w:p w14:paraId="37D8B66F">
      <w:pPr>
        <w:keepNext w:val="0"/>
        <w:keepLines w:val="0"/>
        <w:pageBreakBefore w:val="0"/>
        <w:numPr>
          <w:ilvl w:val="0"/>
          <w:numId w:val="5"/>
        </w:numPr>
        <w:kinsoku/>
        <w:wordWrap/>
        <w:overflowPunct/>
        <w:topLinePunct w:val="0"/>
        <w:autoSpaceDE/>
        <w:autoSpaceDN/>
        <w:bidi w:val="0"/>
        <w:spacing w:beforeAutospacing="0" w:afterAutospacing="0" w:line="400" w:lineRule="exact"/>
        <w:ind w:left="17" w:leftChars="8" w:firstLine="400" w:firstLineChars="16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所</w:t>
      </w:r>
      <w:r>
        <w:rPr>
          <w:rFonts w:hint="eastAsia" w:ascii="宋体" w:hAnsi="宋体" w:eastAsia="宋体" w:cs="宋体"/>
          <w:color w:val="auto"/>
          <w:sz w:val="24"/>
          <w:szCs w:val="24"/>
          <w:highlight w:val="none"/>
        </w:rPr>
        <w:t>有从业人员</w:t>
      </w:r>
      <w:r>
        <w:rPr>
          <w:rFonts w:hint="eastAsia" w:ascii="宋体" w:hAnsi="宋体" w:eastAsia="宋体" w:cs="宋体"/>
          <w:color w:val="auto"/>
          <w:sz w:val="24"/>
          <w:szCs w:val="24"/>
          <w:highlight w:val="none"/>
          <w:lang w:val="en-US" w:eastAsia="zh-CN"/>
        </w:rPr>
        <w:t>信息</w:t>
      </w:r>
      <w:r>
        <w:rPr>
          <w:rFonts w:hint="eastAsia" w:ascii="宋体" w:hAnsi="宋体" w:eastAsia="宋体" w:cs="宋体"/>
          <w:color w:val="auto"/>
          <w:sz w:val="24"/>
          <w:szCs w:val="24"/>
          <w:highlight w:val="none"/>
        </w:rPr>
        <w:t>必须登记造册，主动接受</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的监督检查。</w:t>
      </w:r>
      <w:r>
        <w:rPr>
          <w:rFonts w:ascii="仿宋_GB2312" w:hAnsi="仿宋_GB2312" w:eastAsia="仿宋_GB2312" w:cs="仿宋_GB2312"/>
          <w:b/>
          <w:color w:val="auto"/>
          <w:sz w:val="24"/>
          <w:szCs w:val="24"/>
          <w:highlight w:val="none"/>
        </w:rPr>
        <w:t>（评审项</w:t>
      </w:r>
      <w:r>
        <w:rPr>
          <w:rFonts w:hint="eastAsia" w:ascii="仿宋_GB2312" w:hAnsi="仿宋_GB2312" w:eastAsia="仿宋_GB2312" w:cs="仿宋_GB2312"/>
          <w:b/>
          <w:color w:val="auto"/>
          <w:sz w:val="24"/>
          <w:szCs w:val="24"/>
          <w:highlight w:val="none"/>
          <w:lang w:val="en-US" w:eastAsia="zh-CN"/>
        </w:rPr>
        <w:t>9</w:t>
      </w:r>
      <w:r>
        <w:rPr>
          <w:rFonts w:ascii="仿宋_GB2312" w:hAnsi="仿宋_GB2312" w:eastAsia="仿宋_GB2312" w:cs="仿宋_GB2312"/>
          <w:b/>
          <w:color w:val="auto"/>
          <w:sz w:val="24"/>
          <w:szCs w:val="24"/>
          <w:highlight w:val="none"/>
        </w:rPr>
        <w:t>）</w:t>
      </w:r>
    </w:p>
    <w:p w14:paraId="1310D3F5">
      <w:pPr>
        <w:keepNext w:val="0"/>
        <w:keepLines w:val="0"/>
        <w:pageBreakBefore w:val="0"/>
        <w:numPr>
          <w:ilvl w:val="0"/>
          <w:numId w:val="5"/>
        </w:numPr>
        <w:kinsoku/>
        <w:wordWrap/>
        <w:overflowPunct/>
        <w:topLinePunct w:val="0"/>
        <w:autoSpaceDE/>
        <w:autoSpaceDN/>
        <w:bidi w:val="0"/>
        <w:spacing w:beforeAutospacing="0" w:afterAutospacing="0" w:line="400" w:lineRule="exact"/>
        <w:ind w:left="17" w:leftChars="8" w:firstLine="400" w:firstLineChars="16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上班期间，</w:t>
      </w:r>
      <w:r>
        <w:rPr>
          <w:rFonts w:hint="eastAsia" w:ascii="宋体" w:hAnsi="宋体" w:eastAsia="宋体" w:cs="宋体"/>
          <w:strike w:val="0"/>
          <w:dstrike w:val="0"/>
          <w:color w:val="auto"/>
          <w:sz w:val="24"/>
          <w:szCs w:val="24"/>
          <w:highlight w:val="none"/>
        </w:rPr>
        <w:t>投标人</w:t>
      </w:r>
      <w:r>
        <w:rPr>
          <w:rFonts w:hint="eastAsia" w:ascii="宋体" w:hAnsi="宋体" w:eastAsia="宋体" w:cs="宋体"/>
          <w:color w:val="auto"/>
          <w:sz w:val="24"/>
          <w:szCs w:val="24"/>
          <w:highlight w:val="none"/>
        </w:rPr>
        <w:t>的工作人员应统一着装并印有LOGO，穿工作服、戴工作帽，售饭菜员工必须戴口罩，佩戴工号卡，不得佩戴饰物，不留长指甲；长发盘起，做到穿戴整齐，卫生清洁。每个员工应有冬、夏工作服各两套，按季节变化统一换装。</w:t>
      </w:r>
      <w:r>
        <w:rPr>
          <w:rFonts w:hint="eastAsia" w:ascii="宋体" w:hAnsi="宋体" w:eastAsia="宋体" w:cs="宋体"/>
          <w:b w:val="0"/>
          <w:bCs/>
          <w:color w:val="auto"/>
          <w:sz w:val="24"/>
          <w:szCs w:val="24"/>
          <w:highlight w:val="none"/>
        </w:rPr>
        <w:t>非食品处理区、食品处理区和</w:t>
      </w:r>
      <w:r>
        <w:rPr>
          <w:rFonts w:hint="eastAsia" w:ascii="宋体" w:hAnsi="宋体" w:eastAsia="宋体" w:cs="宋体"/>
          <w:b w:val="0"/>
          <w:bCs/>
          <w:color w:val="auto"/>
          <w:sz w:val="24"/>
          <w:szCs w:val="24"/>
          <w:highlight w:val="none"/>
          <w:lang w:val="en-US" w:eastAsia="zh-CN"/>
        </w:rPr>
        <w:t>专</w:t>
      </w:r>
      <w:r>
        <w:rPr>
          <w:rFonts w:hint="eastAsia" w:ascii="宋体" w:hAnsi="宋体" w:eastAsia="宋体" w:cs="宋体"/>
          <w:b w:val="0"/>
          <w:bCs/>
          <w:color w:val="auto"/>
          <w:sz w:val="24"/>
          <w:szCs w:val="24"/>
          <w:highlight w:val="none"/>
        </w:rPr>
        <w:t>间的的员工服装必须有明显区分。</w:t>
      </w:r>
      <w:r>
        <w:rPr>
          <w:rFonts w:ascii="仿宋_GB2312" w:hAnsi="仿宋_GB2312" w:eastAsia="仿宋_GB2312" w:cs="仿宋_GB2312"/>
          <w:b/>
          <w:color w:val="auto"/>
          <w:sz w:val="24"/>
          <w:szCs w:val="24"/>
          <w:highlight w:val="none"/>
        </w:rPr>
        <w:t>（评审项</w:t>
      </w:r>
      <w:r>
        <w:rPr>
          <w:rFonts w:hint="eastAsia" w:ascii="仿宋_GB2312" w:hAnsi="仿宋_GB2312" w:eastAsia="仿宋_GB2312" w:cs="仿宋_GB2312"/>
          <w:b/>
          <w:color w:val="auto"/>
          <w:sz w:val="24"/>
          <w:szCs w:val="24"/>
          <w:highlight w:val="none"/>
          <w:lang w:val="en-US" w:eastAsia="zh-CN"/>
        </w:rPr>
        <w:t>10</w:t>
      </w:r>
      <w:r>
        <w:rPr>
          <w:rFonts w:ascii="仿宋_GB2312" w:hAnsi="仿宋_GB2312" w:eastAsia="仿宋_GB2312" w:cs="仿宋_GB2312"/>
          <w:b/>
          <w:color w:val="auto"/>
          <w:sz w:val="24"/>
          <w:szCs w:val="24"/>
          <w:highlight w:val="none"/>
        </w:rPr>
        <w:t>）</w:t>
      </w:r>
    </w:p>
    <w:p w14:paraId="15FDEF14">
      <w:pPr>
        <w:keepNext w:val="0"/>
        <w:keepLines w:val="0"/>
        <w:pageBreakBefore w:val="0"/>
        <w:numPr>
          <w:ilvl w:val="0"/>
          <w:numId w:val="5"/>
        </w:numPr>
        <w:kinsoku/>
        <w:wordWrap/>
        <w:overflowPunct/>
        <w:topLinePunct w:val="0"/>
        <w:autoSpaceDE/>
        <w:autoSpaceDN/>
        <w:bidi w:val="0"/>
        <w:spacing w:beforeAutospacing="0" w:afterAutospacing="0" w:line="400" w:lineRule="exact"/>
        <w:ind w:left="17" w:leftChars="8" w:firstLine="400" w:firstLineChars="167"/>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在经营期间所产生的所有债权、债务关系由</w:t>
      </w:r>
      <w:r>
        <w:rPr>
          <w:rFonts w:hint="eastAsia" w:ascii="宋体" w:hAnsi="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自理，与</w:t>
      </w:r>
      <w:r>
        <w:rPr>
          <w:rFonts w:hint="eastAsia" w:ascii="宋体" w:hAnsi="宋体" w:cs="宋体"/>
          <w:b w:val="0"/>
          <w:bCs w:val="0"/>
          <w:color w:val="auto"/>
          <w:sz w:val="24"/>
          <w:szCs w:val="24"/>
          <w:highlight w:val="none"/>
          <w:lang w:eastAsia="zh-CN"/>
        </w:rPr>
        <w:t>采购人</w:t>
      </w:r>
      <w:r>
        <w:rPr>
          <w:rFonts w:hint="eastAsia" w:ascii="宋体" w:hAnsi="宋体" w:eastAsia="宋体" w:cs="宋体"/>
          <w:b w:val="0"/>
          <w:bCs w:val="0"/>
          <w:color w:val="auto"/>
          <w:sz w:val="24"/>
          <w:szCs w:val="24"/>
          <w:highlight w:val="none"/>
        </w:rPr>
        <w:t>无关。</w:t>
      </w:r>
      <w:r>
        <w:rPr>
          <w:rFonts w:hint="eastAsia" w:ascii="宋体" w:hAnsi="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对外经济活动只能以</w:t>
      </w:r>
      <w:r>
        <w:rPr>
          <w:rFonts w:hint="eastAsia" w:ascii="宋体" w:hAnsi="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自身法人公司名义，不能以</w:t>
      </w:r>
      <w:r>
        <w:rPr>
          <w:rFonts w:hint="eastAsia" w:ascii="宋体" w:hAnsi="宋体" w:cs="宋体"/>
          <w:b w:val="0"/>
          <w:bCs w:val="0"/>
          <w:color w:val="auto"/>
          <w:sz w:val="24"/>
          <w:szCs w:val="24"/>
          <w:highlight w:val="none"/>
          <w:lang w:eastAsia="zh-CN"/>
        </w:rPr>
        <w:t>采购人</w:t>
      </w:r>
      <w:r>
        <w:rPr>
          <w:rFonts w:hint="eastAsia" w:ascii="宋体" w:hAnsi="宋体" w:eastAsia="宋体" w:cs="宋体"/>
          <w:b w:val="0"/>
          <w:bCs w:val="0"/>
          <w:color w:val="auto"/>
          <w:sz w:val="24"/>
          <w:szCs w:val="24"/>
          <w:highlight w:val="none"/>
        </w:rPr>
        <w:t>名义签订任何经济合约。</w:t>
      </w:r>
      <w:r>
        <w:rPr>
          <w:rFonts w:ascii="仿宋_GB2312" w:hAnsi="仿宋_GB2312" w:eastAsia="仿宋_GB2312" w:cs="仿宋_GB2312"/>
          <w:b/>
          <w:color w:val="auto"/>
          <w:sz w:val="24"/>
          <w:szCs w:val="24"/>
          <w:highlight w:val="none"/>
        </w:rPr>
        <w:t>（评审项</w:t>
      </w:r>
      <w:r>
        <w:rPr>
          <w:rFonts w:hint="eastAsia" w:ascii="仿宋_GB2312" w:hAnsi="仿宋_GB2312" w:eastAsia="仿宋_GB2312" w:cs="仿宋_GB2312"/>
          <w:b/>
          <w:color w:val="auto"/>
          <w:sz w:val="24"/>
          <w:szCs w:val="24"/>
          <w:highlight w:val="none"/>
          <w:lang w:val="en-US" w:eastAsia="zh-CN"/>
        </w:rPr>
        <w:t>11</w:t>
      </w:r>
      <w:r>
        <w:rPr>
          <w:rFonts w:ascii="仿宋_GB2312" w:hAnsi="仿宋_GB2312" w:eastAsia="仿宋_GB2312" w:cs="仿宋_GB2312"/>
          <w:b/>
          <w:color w:val="auto"/>
          <w:sz w:val="24"/>
          <w:szCs w:val="24"/>
          <w:highlight w:val="none"/>
        </w:rPr>
        <w:t>）</w:t>
      </w:r>
    </w:p>
    <w:p w14:paraId="5FD90C1C">
      <w:pPr>
        <w:keepNext w:val="0"/>
        <w:keepLines w:val="0"/>
        <w:pageBreakBefore w:val="0"/>
        <w:numPr>
          <w:ilvl w:val="0"/>
          <w:numId w:val="5"/>
        </w:numPr>
        <w:kinsoku/>
        <w:wordWrap/>
        <w:overflowPunct/>
        <w:topLinePunct w:val="0"/>
        <w:autoSpaceDE/>
        <w:autoSpaceDN/>
        <w:bidi w:val="0"/>
        <w:spacing w:beforeAutospacing="0" w:afterAutospacing="0" w:line="400" w:lineRule="exact"/>
        <w:ind w:left="17" w:leftChars="8" w:firstLine="400" w:firstLineChars="167"/>
        <w:textAlignment w:val="auto"/>
        <w:rPr>
          <w:rFonts w:hint="eastAsia" w:ascii="宋体" w:hAnsi="宋体" w:eastAsia="宋体" w:cs="宋体"/>
          <w:b w:val="0"/>
          <w:bCs w:val="0"/>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对食堂的经营管理、员工</w:t>
      </w:r>
      <w:r>
        <w:rPr>
          <w:rFonts w:hint="eastAsia" w:ascii="宋体" w:hAnsi="宋体" w:eastAsia="宋体" w:cs="宋体"/>
          <w:b w:val="0"/>
          <w:bCs w:val="0"/>
          <w:color w:val="auto"/>
          <w:sz w:val="24"/>
          <w:szCs w:val="24"/>
          <w:highlight w:val="none"/>
        </w:rPr>
        <w:t>工资发放、社保福利、工伤保险等必须严格执行国家、省、市的劳动法规；</w:t>
      </w:r>
      <w:r>
        <w:rPr>
          <w:rFonts w:hint="eastAsia" w:ascii="宋体" w:hAnsi="宋体" w:eastAsia="宋体" w:cs="宋体"/>
          <w:strike w:val="0"/>
          <w:dstrike w:val="0"/>
          <w:color w:val="auto"/>
          <w:sz w:val="24"/>
          <w:szCs w:val="24"/>
          <w:highlight w:val="none"/>
        </w:rPr>
        <w:t>投标人</w:t>
      </w:r>
      <w:r>
        <w:rPr>
          <w:rFonts w:hint="eastAsia" w:ascii="宋体" w:hAnsi="宋体" w:eastAsia="宋体" w:cs="宋体"/>
          <w:b w:val="0"/>
          <w:bCs w:val="0"/>
          <w:color w:val="auto"/>
          <w:sz w:val="24"/>
          <w:szCs w:val="24"/>
          <w:highlight w:val="none"/>
        </w:rPr>
        <w:t>必须与员工签订用工合同，确保员工的权益不受侵犯。在经营过程中与员工发生的一切纠纷均与</w:t>
      </w:r>
      <w:r>
        <w:rPr>
          <w:rFonts w:hint="eastAsia" w:ascii="宋体" w:hAnsi="宋体" w:cs="宋体"/>
          <w:b w:val="0"/>
          <w:bCs w:val="0"/>
          <w:color w:val="auto"/>
          <w:sz w:val="24"/>
          <w:szCs w:val="24"/>
          <w:highlight w:val="none"/>
          <w:lang w:eastAsia="zh-CN"/>
        </w:rPr>
        <w:t>采购人</w:t>
      </w:r>
      <w:r>
        <w:rPr>
          <w:rFonts w:hint="eastAsia" w:ascii="宋体" w:hAnsi="宋体" w:eastAsia="宋体" w:cs="宋体"/>
          <w:b w:val="0"/>
          <w:bCs w:val="0"/>
          <w:color w:val="auto"/>
          <w:sz w:val="24"/>
          <w:szCs w:val="24"/>
          <w:highlight w:val="none"/>
        </w:rPr>
        <w:t>无关。</w:t>
      </w:r>
      <w:r>
        <w:rPr>
          <w:rFonts w:ascii="仿宋_GB2312" w:hAnsi="仿宋_GB2312" w:eastAsia="仿宋_GB2312" w:cs="仿宋_GB2312"/>
          <w:b/>
          <w:color w:val="auto"/>
          <w:sz w:val="24"/>
          <w:szCs w:val="24"/>
          <w:highlight w:val="none"/>
        </w:rPr>
        <w:t>（评审项</w:t>
      </w:r>
      <w:r>
        <w:rPr>
          <w:rFonts w:hint="eastAsia" w:ascii="仿宋_GB2312" w:hAnsi="仿宋_GB2312" w:eastAsia="仿宋_GB2312" w:cs="仿宋_GB2312"/>
          <w:b/>
          <w:color w:val="auto"/>
          <w:sz w:val="24"/>
          <w:szCs w:val="24"/>
          <w:highlight w:val="none"/>
          <w:lang w:val="en-US" w:eastAsia="zh-CN"/>
        </w:rPr>
        <w:t>12</w:t>
      </w:r>
      <w:r>
        <w:rPr>
          <w:rFonts w:ascii="仿宋_GB2312" w:hAnsi="仿宋_GB2312" w:eastAsia="仿宋_GB2312" w:cs="仿宋_GB2312"/>
          <w:b/>
          <w:color w:val="auto"/>
          <w:sz w:val="24"/>
          <w:szCs w:val="24"/>
          <w:highlight w:val="none"/>
        </w:rPr>
        <w:t>）</w:t>
      </w:r>
    </w:p>
    <w:p w14:paraId="3FDA7D21">
      <w:pPr>
        <w:keepNext w:val="0"/>
        <w:keepLines w:val="0"/>
        <w:pageBreakBefore w:val="0"/>
        <w:numPr>
          <w:ilvl w:val="0"/>
          <w:numId w:val="5"/>
        </w:numPr>
        <w:kinsoku/>
        <w:wordWrap/>
        <w:overflowPunct/>
        <w:topLinePunct w:val="0"/>
        <w:autoSpaceDE/>
        <w:autoSpaceDN/>
        <w:bidi w:val="0"/>
        <w:spacing w:beforeAutospacing="0" w:afterAutospacing="0" w:line="400" w:lineRule="exact"/>
        <w:ind w:left="17" w:leftChars="8" w:firstLine="400" w:firstLineChars="167"/>
        <w:textAlignment w:val="auto"/>
        <w:rPr>
          <w:rFonts w:hint="eastAsia" w:ascii="宋体" w:hAnsi="宋体" w:cs="宋体"/>
          <w:color w:val="auto"/>
          <w:sz w:val="24"/>
          <w:szCs w:val="24"/>
          <w:highlight w:val="none"/>
        </w:rPr>
      </w:pPr>
      <w:r>
        <w:rPr>
          <w:rFonts w:hint="eastAsia" w:ascii="宋体" w:hAnsi="宋体" w:eastAsia="宋体" w:cs="宋体"/>
          <w:strike w:val="0"/>
          <w:dstrike w:val="0"/>
          <w:color w:val="auto"/>
          <w:sz w:val="24"/>
          <w:szCs w:val="24"/>
          <w:highlight w:val="none"/>
        </w:rPr>
        <w:t>投标人</w:t>
      </w:r>
      <w:r>
        <w:rPr>
          <w:rFonts w:hint="eastAsia" w:ascii="宋体" w:hAnsi="宋体" w:eastAsia="宋体" w:cs="宋体"/>
          <w:color w:val="auto"/>
          <w:sz w:val="24"/>
          <w:szCs w:val="24"/>
          <w:highlight w:val="none"/>
        </w:rPr>
        <w:t>须每月10日前</w:t>
      </w:r>
      <w:r>
        <w:rPr>
          <w:rFonts w:hint="eastAsia" w:ascii="宋体" w:hAnsi="宋体" w:eastAsia="宋体" w:cs="宋体"/>
          <w:color w:val="auto"/>
          <w:sz w:val="24"/>
          <w:szCs w:val="24"/>
          <w:highlight w:val="none"/>
          <w:lang w:val="en-US" w:eastAsia="zh-CN"/>
        </w:rPr>
        <w:t>整理好</w:t>
      </w:r>
      <w:r>
        <w:rPr>
          <w:rFonts w:hint="eastAsia" w:ascii="宋体" w:hAnsi="宋体" w:eastAsia="宋体" w:cs="宋体"/>
          <w:color w:val="auto"/>
          <w:sz w:val="24"/>
          <w:szCs w:val="24"/>
          <w:highlight w:val="none"/>
        </w:rPr>
        <w:t>上月的</w:t>
      </w:r>
      <w:r>
        <w:rPr>
          <w:rFonts w:hint="eastAsia" w:ascii="宋体" w:hAnsi="宋体" w:eastAsia="宋体" w:cs="宋体"/>
          <w:color w:val="auto"/>
          <w:sz w:val="24"/>
          <w:szCs w:val="24"/>
          <w:highlight w:val="none"/>
          <w:lang w:val="en-US" w:eastAsia="zh-CN"/>
        </w:rPr>
        <w:t>食堂现场管理</w:t>
      </w:r>
      <w:r>
        <w:rPr>
          <w:rFonts w:hint="eastAsia" w:ascii="宋体" w:hAnsi="宋体" w:eastAsia="宋体" w:cs="宋体"/>
          <w:color w:val="auto"/>
          <w:sz w:val="24"/>
          <w:szCs w:val="24"/>
          <w:highlight w:val="none"/>
        </w:rPr>
        <w:t>资料</w:t>
      </w:r>
      <w:r>
        <w:rPr>
          <w:rFonts w:hint="eastAsia" w:ascii="宋体" w:hAnsi="宋体" w:eastAsia="宋体" w:cs="宋体"/>
          <w:color w:val="auto"/>
          <w:sz w:val="24"/>
          <w:szCs w:val="24"/>
          <w:highlight w:val="none"/>
          <w:lang w:val="en-US" w:eastAsia="zh-CN"/>
        </w:rPr>
        <w:t>供</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检查</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包</w:t>
      </w:r>
      <w:r>
        <w:rPr>
          <w:rFonts w:hint="eastAsia" w:ascii="宋体" w:hAnsi="宋体" w:eastAsia="宋体" w:cs="宋体"/>
          <w:color w:val="auto"/>
          <w:sz w:val="24"/>
          <w:szCs w:val="24"/>
          <w:highlight w:val="none"/>
        </w:rPr>
        <w:t>含</w:t>
      </w:r>
      <w:r>
        <w:rPr>
          <w:rFonts w:hint="eastAsia" w:ascii="宋体" w:hAnsi="宋体" w:eastAsia="宋体" w:cs="宋体"/>
          <w:color w:val="auto"/>
          <w:sz w:val="24"/>
          <w:szCs w:val="24"/>
          <w:highlight w:val="none"/>
          <w:lang w:val="en-US" w:eastAsia="zh-CN"/>
        </w:rPr>
        <w:t>但不限于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日管控、周排查、月调度”表、</w:t>
      </w:r>
      <w:r>
        <w:rPr>
          <w:rFonts w:hint="eastAsia" w:ascii="宋体" w:hAnsi="宋体" w:eastAsia="宋体" w:cs="宋体"/>
          <w:color w:val="auto"/>
          <w:sz w:val="24"/>
          <w:szCs w:val="24"/>
          <w:highlight w:val="none"/>
        </w:rPr>
        <w:t>晨</w:t>
      </w:r>
      <w:r>
        <w:rPr>
          <w:rFonts w:hint="eastAsia" w:ascii="宋体" w:hAnsi="宋体" w:eastAsia="宋体" w:cs="宋体"/>
          <w:color w:val="auto"/>
          <w:sz w:val="24"/>
          <w:szCs w:val="24"/>
          <w:highlight w:val="none"/>
          <w:lang w:val="en-US" w:eastAsia="zh-CN"/>
        </w:rPr>
        <w:t>午</w:t>
      </w:r>
      <w:r>
        <w:rPr>
          <w:rFonts w:hint="eastAsia" w:ascii="宋体" w:hAnsi="宋体" w:eastAsia="宋体" w:cs="宋体"/>
          <w:color w:val="auto"/>
          <w:sz w:val="24"/>
          <w:szCs w:val="24"/>
          <w:highlight w:val="none"/>
        </w:rPr>
        <w:t>检、出入库</w:t>
      </w:r>
      <w:r>
        <w:rPr>
          <w:rFonts w:hint="eastAsia" w:ascii="宋体" w:hAnsi="宋体" w:eastAsia="宋体" w:cs="宋体"/>
          <w:color w:val="auto"/>
          <w:sz w:val="24"/>
          <w:szCs w:val="24"/>
          <w:highlight w:val="none"/>
          <w:lang w:val="en-US" w:eastAsia="zh-CN"/>
        </w:rPr>
        <w:t>登记表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留样记录</w:t>
      </w:r>
      <w:r>
        <w:rPr>
          <w:rFonts w:hint="eastAsia" w:ascii="宋体" w:hAnsi="宋体" w:eastAsia="宋体" w:cs="宋体"/>
          <w:color w:val="auto"/>
          <w:sz w:val="24"/>
          <w:szCs w:val="24"/>
          <w:highlight w:val="none"/>
        </w:rPr>
        <w:t>等</w:t>
      </w:r>
      <w:r>
        <w:rPr>
          <w:rFonts w:hint="eastAsia" w:ascii="宋体" w:hAnsi="宋体" w:eastAsia="宋体" w:cs="宋体"/>
          <w:color w:val="auto"/>
          <w:sz w:val="24"/>
          <w:szCs w:val="24"/>
          <w:highlight w:val="none"/>
          <w:lang w:val="en-US" w:eastAsia="zh-CN"/>
        </w:rPr>
        <w:t>食堂管理所需要的材料</w:t>
      </w:r>
      <w:r>
        <w:rPr>
          <w:rFonts w:hint="eastAsia" w:ascii="宋体" w:hAnsi="宋体" w:eastAsia="宋体" w:cs="宋体"/>
          <w:color w:val="auto"/>
          <w:sz w:val="24"/>
          <w:szCs w:val="24"/>
          <w:highlight w:val="none"/>
        </w:rPr>
        <w:t>）。</w:t>
      </w:r>
      <w:r>
        <w:rPr>
          <w:rFonts w:ascii="仿宋_GB2312" w:hAnsi="仿宋_GB2312" w:eastAsia="仿宋_GB2312" w:cs="仿宋_GB2312"/>
          <w:b/>
          <w:color w:val="auto"/>
          <w:sz w:val="24"/>
          <w:szCs w:val="24"/>
          <w:highlight w:val="none"/>
        </w:rPr>
        <w:t>（评审项</w:t>
      </w:r>
      <w:r>
        <w:rPr>
          <w:rFonts w:hint="eastAsia" w:ascii="仿宋_GB2312" w:hAnsi="仿宋_GB2312" w:eastAsia="仿宋_GB2312" w:cs="仿宋_GB2312"/>
          <w:b/>
          <w:color w:val="auto"/>
          <w:sz w:val="24"/>
          <w:szCs w:val="24"/>
          <w:highlight w:val="none"/>
          <w:lang w:val="en-US" w:eastAsia="zh-CN"/>
        </w:rPr>
        <w:t>13</w:t>
      </w:r>
      <w:r>
        <w:rPr>
          <w:rFonts w:ascii="仿宋_GB2312" w:hAnsi="仿宋_GB2312" w:eastAsia="仿宋_GB2312" w:cs="仿宋_GB2312"/>
          <w:b/>
          <w:color w:val="auto"/>
          <w:sz w:val="24"/>
          <w:szCs w:val="24"/>
          <w:highlight w:val="none"/>
        </w:rPr>
        <w:t>）</w:t>
      </w:r>
    </w:p>
    <w:p w14:paraId="2CCD8A46">
      <w:pPr>
        <w:keepNext w:val="0"/>
        <w:keepLines w:val="0"/>
        <w:pageBreakBefore w:val="0"/>
        <w:numPr>
          <w:ilvl w:val="0"/>
          <w:numId w:val="5"/>
        </w:numPr>
        <w:kinsoku/>
        <w:wordWrap/>
        <w:overflowPunct/>
        <w:topLinePunct w:val="0"/>
        <w:autoSpaceDE/>
        <w:autoSpaceDN/>
        <w:bidi w:val="0"/>
        <w:spacing w:beforeAutospacing="0" w:afterAutospacing="0" w:line="400" w:lineRule="exact"/>
        <w:ind w:left="17" w:leftChars="8" w:firstLine="400" w:firstLineChars="167"/>
        <w:textAlignment w:val="auto"/>
        <w:rPr>
          <w:rFonts w:hint="eastAsia" w:ascii="宋体" w:hAnsi="宋体" w:cs="宋体"/>
          <w:color w:val="auto"/>
          <w:sz w:val="24"/>
          <w:szCs w:val="24"/>
          <w:highlight w:val="none"/>
        </w:rPr>
      </w:pPr>
      <w:r>
        <w:rPr>
          <w:rFonts w:hint="eastAsia" w:ascii="宋体" w:hAnsi="宋体" w:eastAsia="宋体" w:cs="宋体"/>
          <w:strike w:val="0"/>
          <w:dstrike w:val="0"/>
          <w:color w:val="auto"/>
          <w:sz w:val="24"/>
          <w:szCs w:val="24"/>
          <w:highlight w:val="none"/>
        </w:rPr>
        <w:t>投标人</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做好福建省“一品一码”</w:t>
      </w:r>
      <w:r>
        <w:rPr>
          <w:rFonts w:hint="eastAsia" w:ascii="宋体" w:hAnsi="宋体" w:eastAsia="宋体" w:cs="宋体"/>
          <w:color w:val="auto"/>
          <w:sz w:val="24"/>
          <w:szCs w:val="24"/>
          <w:highlight w:val="none"/>
          <w:lang w:val="en-US" w:eastAsia="zh-CN"/>
        </w:rPr>
        <w:t>追溯系统</w:t>
      </w:r>
      <w:r>
        <w:rPr>
          <w:rFonts w:hint="eastAsia" w:ascii="宋体" w:hAnsi="宋体" w:eastAsia="宋体" w:cs="宋体"/>
          <w:color w:val="auto"/>
          <w:sz w:val="24"/>
          <w:szCs w:val="24"/>
          <w:highlight w:val="none"/>
        </w:rPr>
        <w:t>平台的</w:t>
      </w:r>
      <w:r>
        <w:rPr>
          <w:rFonts w:hint="eastAsia" w:ascii="宋体" w:hAnsi="宋体" w:eastAsia="宋体" w:cs="宋体"/>
          <w:color w:val="auto"/>
          <w:sz w:val="24"/>
          <w:szCs w:val="24"/>
          <w:highlight w:val="none"/>
          <w:lang w:val="en-US" w:eastAsia="zh-CN"/>
        </w:rPr>
        <w:t>数据</w:t>
      </w:r>
      <w:r>
        <w:rPr>
          <w:rFonts w:hint="eastAsia" w:ascii="宋体" w:hAnsi="宋体" w:eastAsia="宋体" w:cs="宋体"/>
          <w:color w:val="auto"/>
          <w:sz w:val="24"/>
          <w:szCs w:val="24"/>
          <w:highlight w:val="none"/>
        </w:rPr>
        <w:t>录入工作。</w:t>
      </w:r>
      <w:r>
        <w:rPr>
          <w:rFonts w:ascii="仿宋_GB2312" w:hAnsi="仿宋_GB2312" w:eastAsia="仿宋_GB2312" w:cs="仿宋_GB2312"/>
          <w:b/>
          <w:color w:val="auto"/>
          <w:sz w:val="24"/>
          <w:szCs w:val="24"/>
          <w:highlight w:val="none"/>
        </w:rPr>
        <w:t>（评审项</w:t>
      </w:r>
      <w:r>
        <w:rPr>
          <w:rFonts w:hint="eastAsia" w:ascii="仿宋_GB2312" w:hAnsi="仿宋_GB2312" w:eastAsia="仿宋_GB2312" w:cs="仿宋_GB2312"/>
          <w:b/>
          <w:color w:val="auto"/>
          <w:sz w:val="24"/>
          <w:szCs w:val="24"/>
          <w:highlight w:val="none"/>
          <w:lang w:val="en-US" w:eastAsia="zh-CN"/>
        </w:rPr>
        <w:t>14</w:t>
      </w:r>
      <w:r>
        <w:rPr>
          <w:rFonts w:ascii="仿宋_GB2312" w:hAnsi="仿宋_GB2312" w:eastAsia="仿宋_GB2312" w:cs="仿宋_GB2312"/>
          <w:b/>
          <w:color w:val="auto"/>
          <w:sz w:val="24"/>
          <w:szCs w:val="24"/>
          <w:highlight w:val="none"/>
        </w:rPr>
        <w:t>）</w:t>
      </w:r>
    </w:p>
    <w:p w14:paraId="0742551C">
      <w:pPr>
        <w:keepNext w:val="0"/>
        <w:keepLines w:val="0"/>
        <w:pageBreakBefore w:val="0"/>
        <w:numPr>
          <w:ilvl w:val="0"/>
          <w:numId w:val="5"/>
        </w:numPr>
        <w:kinsoku/>
        <w:wordWrap/>
        <w:overflowPunct/>
        <w:topLinePunct w:val="0"/>
        <w:autoSpaceDE/>
        <w:autoSpaceDN/>
        <w:bidi w:val="0"/>
        <w:spacing w:beforeAutospacing="0" w:afterAutospacing="0" w:line="400" w:lineRule="exact"/>
        <w:ind w:left="17" w:leftChars="8" w:firstLine="400" w:firstLineChars="167"/>
        <w:textAlignment w:val="auto"/>
        <w:rPr>
          <w:rFonts w:hint="eastAsia" w:ascii="宋体" w:hAnsi="宋体" w:eastAsia="宋体" w:cs="宋体"/>
          <w:color w:val="auto"/>
          <w:sz w:val="24"/>
          <w:szCs w:val="24"/>
          <w:highlight w:val="none"/>
        </w:rPr>
      </w:pPr>
      <w:r>
        <w:rPr>
          <w:rFonts w:hint="eastAsia" w:ascii="宋体" w:hAnsi="宋体" w:eastAsia="宋体" w:cs="宋体"/>
          <w:strike w:val="0"/>
          <w:dstrike w:val="0"/>
          <w:color w:val="auto"/>
          <w:sz w:val="24"/>
          <w:szCs w:val="24"/>
          <w:highlight w:val="none"/>
        </w:rPr>
        <w:t>投标人</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自行配置团队日常工作所需的办公电脑、打印机、</w:t>
      </w:r>
      <w:r>
        <w:rPr>
          <w:rFonts w:hint="eastAsia" w:ascii="宋体" w:hAnsi="宋体" w:eastAsia="宋体" w:cs="宋体"/>
          <w:color w:val="auto"/>
          <w:sz w:val="24"/>
          <w:szCs w:val="24"/>
          <w:highlight w:val="none"/>
          <w:lang w:val="en-US" w:eastAsia="zh-CN"/>
        </w:rPr>
        <w:t>长距离</w:t>
      </w:r>
      <w:r>
        <w:rPr>
          <w:rFonts w:hint="eastAsia" w:ascii="宋体" w:hAnsi="宋体" w:eastAsia="宋体" w:cs="宋体"/>
          <w:color w:val="auto"/>
          <w:sz w:val="24"/>
          <w:szCs w:val="24"/>
          <w:highlight w:val="none"/>
        </w:rPr>
        <w:t>对讲机、考勤机等办公和工作设备。</w:t>
      </w:r>
      <w:r>
        <w:rPr>
          <w:rFonts w:ascii="仿宋_GB2312" w:hAnsi="仿宋_GB2312" w:eastAsia="仿宋_GB2312" w:cs="仿宋_GB2312"/>
          <w:b/>
          <w:color w:val="auto"/>
          <w:sz w:val="24"/>
          <w:szCs w:val="24"/>
          <w:highlight w:val="none"/>
        </w:rPr>
        <w:t>（评审项</w:t>
      </w:r>
      <w:r>
        <w:rPr>
          <w:rFonts w:hint="eastAsia" w:ascii="仿宋_GB2312" w:hAnsi="仿宋_GB2312" w:eastAsia="仿宋_GB2312" w:cs="仿宋_GB2312"/>
          <w:b/>
          <w:color w:val="auto"/>
          <w:sz w:val="24"/>
          <w:szCs w:val="24"/>
          <w:highlight w:val="none"/>
          <w:lang w:val="en-US" w:eastAsia="zh-CN"/>
        </w:rPr>
        <w:t>15</w:t>
      </w:r>
      <w:r>
        <w:rPr>
          <w:rFonts w:ascii="仿宋_GB2312" w:hAnsi="仿宋_GB2312" w:eastAsia="仿宋_GB2312" w:cs="仿宋_GB2312"/>
          <w:b/>
          <w:color w:val="auto"/>
          <w:sz w:val="24"/>
          <w:szCs w:val="24"/>
          <w:highlight w:val="none"/>
        </w:rPr>
        <w:t>）</w:t>
      </w:r>
    </w:p>
    <w:p w14:paraId="34F807EF">
      <w:pPr>
        <w:keepNext w:val="0"/>
        <w:keepLines w:val="0"/>
        <w:pageBreakBefore w:val="0"/>
        <w:numPr>
          <w:ilvl w:val="0"/>
          <w:numId w:val="5"/>
        </w:numPr>
        <w:kinsoku/>
        <w:wordWrap/>
        <w:overflowPunct/>
        <w:topLinePunct w:val="0"/>
        <w:autoSpaceDE/>
        <w:autoSpaceDN/>
        <w:bidi w:val="0"/>
        <w:spacing w:beforeAutospacing="0" w:afterAutospacing="0" w:line="400" w:lineRule="exact"/>
        <w:ind w:left="17" w:leftChars="8" w:firstLine="400" w:firstLineChars="167"/>
        <w:textAlignment w:val="auto"/>
        <w:rPr>
          <w:rFonts w:hint="eastAsia" w:ascii="宋体" w:hAnsi="宋体" w:cs="宋体"/>
          <w:bCs/>
          <w:color w:val="auto"/>
          <w:sz w:val="24"/>
          <w:szCs w:val="24"/>
          <w:highlight w:val="none"/>
        </w:rPr>
      </w:pPr>
      <w:r>
        <w:rPr>
          <w:rFonts w:hint="eastAsia" w:ascii="宋体" w:hAnsi="宋体" w:eastAsia="宋体" w:cs="宋体"/>
          <w:color w:val="auto"/>
          <w:sz w:val="24"/>
          <w:szCs w:val="24"/>
          <w:highlight w:val="none"/>
        </w:rPr>
        <w:t>提升烹饪制作水平和服务质量，做到每餐营养搭配合理，并根据不同的季节特点，为师生提供汤水、营养套餐等服务。</w:t>
      </w:r>
      <w:r>
        <w:rPr>
          <w:rFonts w:ascii="仿宋_GB2312" w:hAnsi="仿宋_GB2312" w:eastAsia="仿宋_GB2312" w:cs="仿宋_GB2312"/>
          <w:b/>
          <w:color w:val="auto"/>
          <w:sz w:val="24"/>
          <w:szCs w:val="24"/>
          <w:highlight w:val="none"/>
        </w:rPr>
        <w:t>（评审项</w:t>
      </w:r>
      <w:r>
        <w:rPr>
          <w:rFonts w:hint="eastAsia" w:ascii="仿宋_GB2312" w:hAnsi="仿宋_GB2312" w:eastAsia="仿宋_GB2312" w:cs="仿宋_GB2312"/>
          <w:b/>
          <w:color w:val="auto"/>
          <w:sz w:val="24"/>
          <w:szCs w:val="24"/>
          <w:highlight w:val="none"/>
          <w:lang w:val="en-US" w:eastAsia="zh-CN"/>
        </w:rPr>
        <w:t>16</w:t>
      </w:r>
      <w:r>
        <w:rPr>
          <w:rFonts w:ascii="仿宋_GB2312" w:hAnsi="仿宋_GB2312" w:eastAsia="仿宋_GB2312" w:cs="仿宋_GB2312"/>
          <w:b/>
          <w:color w:val="auto"/>
          <w:sz w:val="24"/>
          <w:szCs w:val="24"/>
          <w:highlight w:val="none"/>
        </w:rPr>
        <w:t>）</w:t>
      </w:r>
    </w:p>
    <w:p w14:paraId="2205A715">
      <w:pPr>
        <w:keepNext w:val="0"/>
        <w:keepLines w:val="0"/>
        <w:pageBreakBefore w:val="0"/>
        <w:numPr>
          <w:ilvl w:val="0"/>
          <w:numId w:val="5"/>
        </w:numPr>
        <w:kinsoku/>
        <w:wordWrap/>
        <w:overflowPunct/>
        <w:topLinePunct w:val="0"/>
        <w:autoSpaceDE/>
        <w:autoSpaceDN/>
        <w:bidi w:val="0"/>
        <w:spacing w:beforeAutospacing="0" w:afterAutospacing="0" w:line="400" w:lineRule="exact"/>
        <w:ind w:left="17" w:leftChars="8" w:firstLine="400" w:firstLineChars="167"/>
        <w:textAlignment w:val="auto"/>
        <w:rPr>
          <w:rFonts w:hint="eastAsia" w:ascii="宋体" w:hAnsi="宋体" w:eastAsia="宋体" w:cs="宋体"/>
          <w:bCs/>
          <w:color w:val="auto"/>
          <w:sz w:val="24"/>
          <w:szCs w:val="24"/>
          <w:highlight w:val="none"/>
        </w:rPr>
      </w:pPr>
      <w:r>
        <w:rPr>
          <w:rFonts w:hint="eastAsia" w:ascii="宋体" w:hAnsi="宋体" w:eastAsia="宋体" w:cs="宋体"/>
          <w:strike w:val="0"/>
          <w:dstrike w:val="0"/>
          <w:color w:val="auto"/>
          <w:sz w:val="24"/>
          <w:szCs w:val="24"/>
          <w:highlight w:val="none"/>
        </w:rPr>
        <w:t>投标人</w:t>
      </w:r>
      <w:r>
        <w:rPr>
          <w:rFonts w:hint="eastAsia" w:ascii="宋体" w:hAnsi="宋体" w:eastAsia="宋体" w:cs="宋体"/>
          <w:bCs/>
          <w:color w:val="auto"/>
          <w:sz w:val="24"/>
          <w:szCs w:val="24"/>
          <w:highlight w:val="none"/>
          <w:lang w:val="en-US" w:eastAsia="zh-CN"/>
        </w:rPr>
        <w:t>须</w:t>
      </w:r>
      <w:r>
        <w:rPr>
          <w:rFonts w:hint="eastAsia" w:ascii="宋体" w:hAnsi="宋体" w:eastAsia="宋体" w:cs="宋体"/>
          <w:bCs/>
          <w:color w:val="auto"/>
          <w:sz w:val="24"/>
          <w:szCs w:val="24"/>
          <w:highlight w:val="none"/>
        </w:rPr>
        <w:t>根据学院的大宗物品集中采购价格和学生用餐情况做好成本预算，严格控制运营成本，做到收支平衡。</w:t>
      </w:r>
      <w:r>
        <w:rPr>
          <w:rFonts w:hint="eastAsia" w:ascii="宋体" w:hAnsi="宋体" w:eastAsia="宋体" w:cs="宋体"/>
          <w:bCs/>
          <w:color w:val="auto"/>
          <w:sz w:val="24"/>
          <w:szCs w:val="24"/>
          <w:highlight w:val="none"/>
          <w:lang w:val="en-US" w:eastAsia="zh-CN"/>
        </w:rPr>
        <w:t>协助</w:t>
      </w:r>
      <w:r>
        <w:rPr>
          <w:rFonts w:hint="eastAsia" w:ascii="宋体" w:hAnsi="宋体" w:cs="宋体"/>
          <w:bCs/>
          <w:color w:val="auto"/>
          <w:sz w:val="24"/>
          <w:szCs w:val="24"/>
          <w:highlight w:val="none"/>
          <w:lang w:val="en-US" w:eastAsia="zh-CN"/>
        </w:rPr>
        <w:t>采购人</w:t>
      </w:r>
      <w:r>
        <w:rPr>
          <w:rFonts w:hint="eastAsia" w:ascii="宋体" w:hAnsi="宋体" w:eastAsia="宋体" w:cs="宋体"/>
          <w:bCs/>
          <w:color w:val="auto"/>
          <w:sz w:val="24"/>
          <w:szCs w:val="24"/>
          <w:highlight w:val="none"/>
          <w:lang w:val="en-US" w:eastAsia="zh-CN"/>
        </w:rPr>
        <w:t>做好市场价格调查。</w:t>
      </w:r>
      <w:r>
        <w:rPr>
          <w:rFonts w:ascii="仿宋_GB2312" w:hAnsi="仿宋_GB2312" w:eastAsia="仿宋_GB2312" w:cs="仿宋_GB2312"/>
          <w:b/>
          <w:color w:val="auto"/>
          <w:sz w:val="24"/>
          <w:szCs w:val="24"/>
          <w:highlight w:val="none"/>
        </w:rPr>
        <w:t>（评审项</w:t>
      </w:r>
      <w:r>
        <w:rPr>
          <w:rFonts w:hint="eastAsia" w:ascii="仿宋_GB2312" w:hAnsi="仿宋_GB2312" w:eastAsia="仿宋_GB2312" w:cs="仿宋_GB2312"/>
          <w:b/>
          <w:color w:val="auto"/>
          <w:sz w:val="24"/>
          <w:szCs w:val="24"/>
          <w:highlight w:val="none"/>
          <w:lang w:val="en-US" w:eastAsia="zh-CN"/>
        </w:rPr>
        <w:t>17</w:t>
      </w:r>
      <w:r>
        <w:rPr>
          <w:rFonts w:ascii="仿宋_GB2312" w:hAnsi="仿宋_GB2312" w:eastAsia="仿宋_GB2312" w:cs="仿宋_GB2312"/>
          <w:b/>
          <w:color w:val="auto"/>
          <w:sz w:val="24"/>
          <w:szCs w:val="24"/>
          <w:highlight w:val="none"/>
        </w:rPr>
        <w:t>）</w:t>
      </w:r>
    </w:p>
    <w:p w14:paraId="12EA4A19">
      <w:pPr>
        <w:keepNext w:val="0"/>
        <w:keepLines w:val="0"/>
        <w:pageBreakBefore w:val="0"/>
        <w:numPr>
          <w:ilvl w:val="0"/>
          <w:numId w:val="5"/>
        </w:numPr>
        <w:kinsoku/>
        <w:wordWrap/>
        <w:overflowPunct/>
        <w:topLinePunct w:val="0"/>
        <w:autoSpaceDE/>
        <w:autoSpaceDN/>
        <w:bidi w:val="0"/>
        <w:spacing w:beforeAutospacing="0" w:afterAutospacing="0" w:line="400" w:lineRule="exact"/>
        <w:ind w:left="17" w:leftChars="8" w:firstLine="400" w:firstLineChars="167"/>
        <w:textAlignment w:val="auto"/>
        <w:rPr>
          <w:rFonts w:hint="eastAsia" w:ascii="宋体" w:hAnsi="宋体" w:eastAsia="宋体" w:cs="宋体"/>
          <w:color w:val="auto"/>
          <w:sz w:val="24"/>
          <w:szCs w:val="24"/>
          <w:highlight w:val="none"/>
        </w:rPr>
      </w:pPr>
      <w:r>
        <w:rPr>
          <w:rFonts w:hint="eastAsia" w:ascii="华文中宋" w:hAnsi="华文中宋" w:eastAsia="华文中宋" w:cs="华文中宋"/>
          <w:color w:val="auto"/>
          <w:sz w:val="24"/>
          <w:szCs w:val="24"/>
          <w:highlight w:val="none"/>
        </w:rPr>
        <w:t>★</w:t>
      </w:r>
      <w:r>
        <w:rPr>
          <w:rFonts w:hint="eastAsia" w:ascii="宋体" w:hAnsi="宋体" w:eastAsia="宋体" w:cs="宋体"/>
          <w:strike w:val="0"/>
          <w:dstrike w:val="0"/>
          <w:color w:val="auto"/>
          <w:sz w:val="24"/>
          <w:szCs w:val="24"/>
          <w:highlight w:val="none"/>
        </w:rPr>
        <w:t>投标人</w:t>
      </w:r>
      <w:r>
        <w:rPr>
          <w:rFonts w:hint="eastAsia" w:ascii="宋体" w:hAnsi="宋体" w:eastAsia="宋体" w:cs="宋体"/>
          <w:color w:val="auto"/>
          <w:sz w:val="24"/>
          <w:szCs w:val="24"/>
          <w:highlight w:val="none"/>
        </w:rPr>
        <w:t>必须无条件服从校方各种重大活动的人员调度，配合做好学院重大活动各项保障工作。学校有临时任务需要增加人员时，</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应根据学校临时安排任务情况及时调配人员</w:t>
      </w:r>
      <w:r>
        <w:rPr>
          <w:rFonts w:hint="eastAsia" w:ascii="宋体" w:hAnsi="宋体" w:eastAsia="宋体" w:cs="宋体"/>
          <w:bCs/>
          <w:color w:val="auto"/>
          <w:sz w:val="24"/>
          <w:szCs w:val="24"/>
          <w:highlight w:val="none"/>
        </w:rPr>
        <w:t>（须能提供20%</w:t>
      </w:r>
      <w:r>
        <w:rPr>
          <w:rFonts w:hint="eastAsia" w:ascii="宋体" w:hAnsi="宋体" w:cs="宋体"/>
          <w:bCs/>
          <w:color w:val="auto"/>
          <w:sz w:val="24"/>
          <w:szCs w:val="24"/>
          <w:highlight w:val="none"/>
          <w:lang w:eastAsia="zh-CN"/>
        </w:rPr>
        <w:t>投标人</w:t>
      </w:r>
      <w:r>
        <w:rPr>
          <w:rFonts w:hint="eastAsia" w:ascii="宋体" w:hAnsi="宋体" w:eastAsia="宋体" w:cs="宋体"/>
          <w:bCs/>
          <w:color w:val="auto"/>
          <w:sz w:val="24"/>
          <w:szCs w:val="24"/>
          <w:highlight w:val="none"/>
        </w:rPr>
        <w:t>员增加），确保完成供餐工作。如果</w:t>
      </w:r>
      <w:r>
        <w:rPr>
          <w:rFonts w:hint="eastAsia" w:ascii="宋体" w:hAnsi="宋体" w:cs="宋体"/>
          <w:bCs/>
          <w:color w:val="auto"/>
          <w:sz w:val="24"/>
          <w:szCs w:val="24"/>
          <w:highlight w:val="none"/>
          <w:lang w:eastAsia="zh-CN"/>
        </w:rPr>
        <w:t>投标人</w:t>
      </w:r>
      <w:r>
        <w:rPr>
          <w:rFonts w:hint="eastAsia" w:ascii="宋体" w:hAnsi="宋体" w:eastAsia="宋体" w:cs="宋体"/>
          <w:bCs/>
          <w:color w:val="auto"/>
          <w:sz w:val="24"/>
          <w:szCs w:val="24"/>
          <w:highlight w:val="none"/>
        </w:rPr>
        <w:t>无法提供临时任务的保障人员，将由学校面向社会购买服务，费用由</w:t>
      </w:r>
      <w:r>
        <w:rPr>
          <w:rFonts w:hint="eastAsia" w:ascii="宋体" w:hAnsi="宋体" w:cs="宋体"/>
          <w:bCs/>
          <w:color w:val="auto"/>
          <w:sz w:val="24"/>
          <w:szCs w:val="24"/>
          <w:highlight w:val="none"/>
          <w:lang w:eastAsia="zh-CN"/>
        </w:rPr>
        <w:t>投标人</w:t>
      </w:r>
      <w:r>
        <w:rPr>
          <w:rFonts w:hint="eastAsia" w:ascii="宋体" w:hAnsi="宋体" w:eastAsia="宋体" w:cs="宋体"/>
          <w:bCs/>
          <w:color w:val="auto"/>
          <w:sz w:val="24"/>
          <w:szCs w:val="24"/>
          <w:highlight w:val="none"/>
        </w:rPr>
        <w:t>支付，标准为中标费用的3倍。</w:t>
      </w:r>
    </w:p>
    <w:p w14:paraId="69023A63">
      <w:pPr>
        <w:keepNext w:val="0"/>
        <w:keepLines w:val="0"/>
        <w:pageBreakBefore w:val="0"/>
        <w:numPr>
          <w:ilvl w:val="0"/>
          <w:numId w:val="5"/>
        </w:numPr>
        <w:kinsoku/>
        <w:wordWrap/>
        <w:overflowPunct/>
        <w:topLinePunct w:val="0"/>
        <w:autoSpaceDE/>
        <w:autoSpaceDN/>
        <w:bidi w:val="0"/>
        <w:spacing w:beforeAutospacing="0" w:afterAutospacing="0" w:line="400" w:lineRule="exact"/>
        <w:ind w:left="17" w:leftChars="8" w:firstLine="400" w:firstLineChars="167"/>
        <w:textAlignment w:val="auto"/>
        <w:rPr>
          <w:rFonts w:hint="eastAsia" w:ascii="Times New Roman" w:hAnsi="Times New Roman" w:eastAsia="宋体" w:cs="Times New Roman"/>
          <w:color w:val="auto"/>
          <w:sz w:val="24"/>
          <w:szCs w:val="24"/>
          <w:highlight w:val="none"/>
        </w:rPr>
      </w:pPr>
      <w:r>
        <w:rPr>
          <w:rFonts w:hint="eastAsia" w:ascii="华文中宋" w:hAnsi="华文中宋" w:eastAsia="华文中宋" w:cs="华文中宋"/>
          <w:color w:val="auto"/>
          <w:sz w:val="24"/>
          <w:szCs w:val="24"/>
          <w:highlight w:val="none"/>
        </w:rPr>
        <w:t>★</w:t>
      </w:r>
      <w:r>
        <w:rPr>
          <w:rFonts w:hint="eastAsia" w:ascii="宋体" w:hAnsi="宋体" w:eastAsia="宋体" w:cs="宋体"/>
          <w:color w:val="auto"/>
          <w:sz w:val="24"/>
          <w:szCs w:val="24"/>
          <w:highlight w:val="none"/>
        </w:rPr>
        <w:t>投标人近三年内无发生生产安全事故的，</w:t>
      </w:r>
      <w:r>
        <w:rPr>
          <w:rFonts w:hint="eastAsia" w:ascii="宋体" w:hAnsi="宋体" w:eastAsia="宋体" w:cs="宋体"/>
          <w:b/>
          <w:bCs/>
          <w:color w:val="auto"/>
          <w:sz w:val="24"/>
          <w:szCs w:val="24"/>
          <w:highlight w:val="none"/>
          <w:u w:val="single"/>
        </w:rPr>
        <w:t>须提供承诺声明函</w:t>
      </w:r>
      <w:r>
        <w:rPr>
          <w:rFonts w:hint="eastAsia" w:ascii="宋体" w:hAnsi="宋体" w:eastAsia="宋体" w:cs="宋体"/>
          <w:b/>
          <w:bCs/>
          <w:color w:val="auto"/>
          <w:sz w:val="24"/>
          <w:szCs w:val="24"/>
          <w:highlight w:val="none"/>
          <w:u w:val="single"/>
          <w:lang w:eastAsia="zh-CN"/>
        </w:rPr>
        <w:t>（格式自拟）</w:t>
      </w:r>
      <w:r>
        <w:rPr>
          <w:rFonts w:hint="eastAsia" w:ascii="宋体" w:hAnsi="宋体" w:eastAsia="宋体" w:cs="宋体"/>
          <w:color w:val="auto"/>
          <w:sz w:val="24"/>
          <w:szCs w:val="24"/>
          <w:highlight w:val="none"/>
        </w:rPr>
        <w:t>，未提供视为无效投标。若声明事项与实际不符，一经查实，视为无效</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文件，并按相关规定进行处理</w:t>
      </w:r>
      <w:r>
        <w:rPr>
          <w:rFonts w:hint="eastAsia" w:ascii="宋体" w:hAnsi="宋体" w:eastAsia="宋体" w:cs="宋体"/>
          <w:color w:val="auto"/>
          <w:sz w:val="24"/>
          <w:szCs w:val="24"/>
          <w:highlight w:val="none"/>
          <w:lang w:eastAsia="zh-CN"/>
        </w:rPr>
        <w:t>。</w:t>
      </w:r>
    </w:p>
    <w:p w14:paraId="03168E13">
      <w:pPr>
        <w:keepNext w:val="0"/>
        <w:keepLines w:val="0"/>
        <w:pageBreakBefore w:val="0"/>
        <w:numPr>
          <w:ilvl w:val="0"/>
          <w:numId w:val="5"/>
        </w:numPr>
        <w:kinsoku/>
        <w:wordWrap/>
        <w:overflowPunct/>
        <w:topLinePunct w:val="0"/>
        <w:autoSpaceDE/>
        <w:autoSpaceDN/>
        <w:bidi w:val="0"/>
        <w:spacing w:beforeAutospacing="0" w:afterAutospacing="0" w:line="400" w:lineRule="exact"/>
        <w:ind w:left="17" w:leftChars="8" w:firstLine="400" w:firstLineChars="167"/>
        <w:textAlignment w:val="auto"/>
        <w:rPr>
          <w:rFonts w:hint="eastAsia" w:ascii="Times New Roman" w:hAnsi="Times New Roman" w:eastAsia="宋体" w:cs="Times New Roman"/>
          <w:color w:val="auto"/>
          <w:sz w:val="24"/>
          <w:szCs w:val="24"/>
          <w:highlight w:val="none"/>
        </w:rPr>
      </w:pPr>
      <w:r>
        <w:rPr>
          <w:rFonts w:hint="eastAsia" w:ascii="宋体" w:hAnsi="宋体" w:eastAsia="宋体" w:cs="宋体"/>
          <w:strike w:val="0"/>
          <w:dstrike w:val="0"/>
          <w:color w:val="auto"/>
          <w:sz w:val="24"/>
          <w:szCs w:val="24"/>
          <w:highlight w:val="none"/>
        </w:rPr>
        <w:t>投标人</w:t>
      </w:r>
      <w:r>
        <w:rPr>
          <w:rFonts w:hint="eastAsia" w:ascii="宋体" w:hAnsi="宋体" w:eastAsia="宋体" w:cs="宋体"/>
          <w:color w:val="auto"/>
          <w:sz w:val="24"/>
          <w:szCs w:val="24"/>
          <w:highlight w:val="none"/>
        </w:rPr>
        <w:t>在经营过程中，因管理不善，所引起的腹泻、中毒或因地面湿滑、火灾、爆炸等原因引起的伤害，由此产生的</w:t>
      </w:r>
      <w:r>
        <w:rPr>
          <w:rFonts w:hint="eastAsia" w:ascii="宋体" w:hAnsi="宋体" w:eastAsia="宋体" w:cs="宋体"/>
          <w:color w:val="auto"/>
          <w:sz w:val="24"/>
          <w:szCs w:val="24"/>
          <w:highlight w:val="none"/>
          <w:lang w:val="en-US" w:eastAsia="zh-CN"/>
        </w:rPr>
        <w:t>一切</w:t>
      </w:r>
      <w:r>
        <w:rPr>
          <w:rFonts w:hint="eastAsia" w:ascii="宋体" w:hAnsi="宋体" w:eastAsia="宋体" w:cs="宋体"/>
          <w:color w:val="auto"/>
          <w:sz w:val="24"/>
          <w:szCs w:val="24"/>
          <w:highlight w:val="none"/>
        </w:rPr>
        <w:t>医疗费用和相关责任，由</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承担全部负责</w:t>
      </w:r>
      <w:r>
        <w:rPr>
          <w:rFonts w:hint="eastAsia" w:ascii="宋体" w:hAnsi="宋体" w:cs="宋体"/>
          <w:color w:val="auto"/>
          <w:sz w:val="24"/>
          <w:szCs w:val="24"/>
          <w:highlight w:val="none"/>
          <w:lang w:eastAsia="zh-CN"/>
        </w:rPr>
        <w:t>。</w:t>
      </w:r>
      <w:r>
        <w:rPr>
          <w:rFonts w:ascii="仿宋_GB2312" w:hAnsi="仿宋_GB2312" w:eastAsia="仿宋_GB2312" w:cs="仿宋_GB2312"/>
          <w:b/>
          <w:color w:val="auto"/>
          <w:sz w:val="24"/>
          <w:szCs w:val="24"/>
          <w:highlight w:val="none"/>
        </w:rPr>
        <w:t>（评审项</w:t>
      </w:r>
      <w:r>
        <w:rPr>
          <w:rFonts w:hint="eastAsia" w:ascii="仿宋_GB2312" w:hAnsi="仿宋_GB2312" w:eastAsia="仿宋_GB2312" w:cs="仿宋_GB2312"/>
          <w:b/>
          <w:color w:val="auto"/>
          <w:sz w:val="24"/>
          <w:szCs w:val="24"/>
          <w:highlight w:val="none"/>
          <w:lang w:val="en-US" w:eastAsia="zh-CN"/>
        </w:rPr>
        <w:t>18</w:t>
      </w:r>
      <w:r>
        <w:rPr>
          <w:rFonts w:ascii="仿宋_GB2312" w:hAnsi="仿宋_GB2312" w:eastAsia="仿宋_GB2312" w:cs="仿宋_GB2312"/>
          <w:b/>
          <w:color w:val="auto"/>
          <w:sz w:val="24"/>
          <w:szCs w:val="24"/>
          <w:highlight w:val="none"/>
        </w:rPr>
        <w:t>）</w:t>
      </w:r>
    </w:p>
    <w:p w14:paraId="4854E07F">
      <w:pPr>
        <w:keepNext w:val="0"/>
        <w:keepLines w:val="0"/>
        <w:pageBreakBefore w:val="0"/>
        <w:numPr>
          <w:ilvl w:val="0"/>
          <w:numId w:val="5"/>
        </w:numPr>
        <w:kinsoku/>
        <w:wordWrap/>
        <w:overflowPunct/>
        <w:topLinePunct w:val="0"/>
        <w:autoSpaceDE/>
        <w:autoSpaceDN/>
        <w:bidi w:val="0"/>
        <w:spacing w:beforeAutospacing="0" w:afterAutospacing="0" w:line="400" w:lineRule="exact"/>
        <w:ind w:left="17" w:leftChars="8" w:firstLine="400" w:firstLineChars="167"/>
        <w:textAlignment w:val="auto"/>
        <w:rPr>
          <w:rFonts w:hint="eastAsia" w:ascii="宋体" w:hAnsi="宋体" w:eastAsia="宋体" w:cs="宋体"/>
          <w:color w:val="auto"/>
          <w:sz w:val="24"/>
          <w:szCs w:val="24"/>
          <w:highlight w:val="none"/>
        </w:rPr>
      </w:pPr>
      <w:r>
        <w:rPr>
          <w:rFonts w:hint="eastAsia" w:ascii="宋体" w:hAnsi="宋体" w:eastAsia="宋体" w:cs="宋体"/>
          <w:strike w:val="0"/>
          <w:dstrike w:val="0"/>
          <w:color w:val="auto"/>
          <w:sz w:val="24"/>
          <w:szCs w:val="24"/>
          <w:highlight w:val="none"/>
        </w:rPr>
        <w:t>投标人</w:t>
      </w:r>
      <w:r>
        <w:rPr>
          <w:rFonts w:hint="eastAsia" w:ascii="宋体" w:hAnsi="宋体" w:eastAsia="宋体" w:cs="宋体"/>
          <w:color w:val="auto"/>
          <w:sz w:val="24"/>
          <w:szCs w:val="24"/>
          <w:highlight w:val="none"/>
          <w:lang w:val="en-US" w:eastAsia="zh-CN"/>
        </w:rPr>
        <w:t>须与</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签订《消防安全责任书》，承担消防安全责任。</w:t>
      </w:r>
      <w:r>
        <w:rPr>
          <w:rFonts w:hint="eastAsia" w:ascii="宋体" w:hAnsi="宋体" w:eastAsia="宋体" w:cs="宋体"/>
          <w:strike w:val="0"/>
          <w:dstrike w:val="0"/>
          <w:color w:val="auto"/>
          <w:sz w:val="24"/>
          <w:szCs w:val="24"/>
          <w:highlight w:val="none"/>
        </w:rPr>
        <w:t>投标人</w:t>
      </w:r>
      <w:r>
        <w:rPr>
          <w:rFonts w:hint="eastAsia" w:ascii="宋体" w:hAnsi="宋体" w:eastAsia="宋体" w:cs="宋体"/>
          <w:color w:val="auto"/>
          <w:sz w:val="24"/>
          <w:szCs w:val="24"/>
          <w:highlight w:val="none"/>
        </w:rPr>
        <w:t>必须无条件配合</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根据政府管理部门文件及国家法律法规的新要求，及时作相应的整改。</w:t>
      </w:r>
      <w:r>
        <w:rPr>
          <w:rFonts w:hint="eastAsia" w:ascii="宋体" w:hAnsi="宋体" w:eastAsia="宋体" w:cs="宋体"/>
          <w:color w:val="auto"/>
          <w:sz w:val="24"/>
          <w:szCs w:val="24"/>
          <w:highlight w:val="none"/>
          <w:lang w:val="en-US" w:eastAsia="zh-CN"/>
        </w:rPr>
        <w:t>严格</w:t>
      </w:r>
      <w:r>
        <w:rPr>
          <w:rFonts w:hint="eastAsia" w:ascii="宋体" w:hAnsi="宋体" w:eastAsia="宋体" w:cs="宋体"/>
          <w:color w:val="auto"/>
          <w:sz w:val="24"/>
          <w:szCs w:val="24"/>
          <w:highlight w:val="none"/>
        </w:rPr>
        <w:t>按照相关消防法规和安全生产法规的要求，制定并实施有效的消防安全制度和措施</w:t>
      </w:r>
      <w:r>
        <w:rPr>
          <w:rFonts w:hint="eastAsia" w:ascii="宋体" w:hAnsi="宋体" w:eastAsia="宋体" w:cs="宋体"/>
          <w:color w:val="auto"/>
          <w:sz w:val="24"/>
          <w:szCs w:val="24"/>
          <w:highlight w:val="none"/>
          <w:lang w:eastAsia="zh-CN"/>
        </w:rPr>
        <w:t>。</w:t>
      </w:r>
      <w:r>
        <w:rPr>
          <w:rFonts w:ascii="仿宋_GB2312" w:hAnsi="仿宋_GB2312" w:eastAsia="仿宋_GB2312" w:cs="仿宋_GB2312"/>
          <w:b/>
          <w:color w:val="auto"/>
          <w:sz w:val="24"/>
          <w:szCs w:val="24"/>
          <w:highlight w:val="none"/>
        </w:rPr>
        <w:t>（评审项</w:t>
      </w:r>
      <w:r>
        <w:rPr>
          <w:rFonts w:hint="eastAsia" w:ascii="仿宋_GB2312" w:hAnsi="仿宋_GB2312" w:eastAsia="仿宋_GB2312" w:cs="仿宋_GB2312"/>
          <w:b/>
          <w:color w:val="auto"/>
          <w:sz w:val="24"/>
          <w:szCs w:val="24"/>
          <w:highlight w:val="none"/>
          <w:lang w:val="en-US" w:eastAsia="zh-CN"/>
        </w:rPr>
        <w:t>19</w:t>
      </w:r>
      <w:r>
        <w:rPr>
          <w:rFonts w:ascii="仿宋_GB2312" w:hAnsi="仿宋_GB2312" w:eastAsia="仿宋_GB2312" w:cs="仿宋_GB2312"/>
          <w:b/>
          <w:color w:val="auto"/>
          <w:sz w:val="24"/>
          <w:szCs w:val="24"/>
          <w:highlight w:val="none"/>
        </w:rPr>
        <w:t>）</w:t>
      </w:r>
    </w:p>
    <w:p w14:paraId="25F4707F">
      <w:pPr>
        <w:keepNext w:val="0"/>
        <w:keepLines w:val="0"/>
        <w:pageBreakBefore w:val="0"/>
        <w:numPr>
          <w:ilvl w:val="0"/>
          <w:numId w:val="5"/>
        </w:numPr>
        <w:kinsoku/>
        <w:wordWrap/>
        <w:overflowPunct/>
        <w:topLinePunct w:val="0"/>
        <w:autoSpaceDE/>
        <w:autoSpaceDN/>
        <w:bidi w:val="0"/>
        <w:spacing w:beforeAutospacing="0" w:afterAutospacing="0" w:line="400" w:lineRule="exact"/>
        <w:ind w:left="17" w:leftChars="8" w:firstLine="400" w:firstLineChars="16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如遇突发或重大事件，</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管理人员应在第一时间报告学校有关部门，</w:t>
      </w:r>
      <w:r>
        <w:rPr>
          <w:rFonts w:hint="eastAsia" w:ascii="宋体" w:hAnsi="宋体" w:eastAsia="宋体" w:cs="宋体"/>
          <w:strike w:val="0"/>
          <w:dstrike w:val="0"/>
          <w:color w:val="auto"/>
          <w:sz w:val="24"/>
          <w:szCs w:val="24"/>
          <w:highlight w:val="none"/>
        </w:rPr>
        <w:t>投标人</w:t>
      </w:r>
      <w:r>
        <w:rPr>
          <w:rFonts w:hint="eastAsia" w:ascii="宋体" w:hAnsi="宋体" w:eastAsia="宋体" w:cs="宋体"/>
          <w:color w:val="auto"/>
          <w:sz w:val="24"/>
          <w:szCs w:val="24"/>
          <w:highlight w:val="none"/>
        </w:rPr>
        <w:t>项目负责人应在第一时间到达现场，适时处理或协助处理有关问题，学校如认为情况危及到学校的安定管理，</w:t>
      </w:r>
      <w:r>
        <w:rPr>
          <w:rFonts w:hint="eastAsia" w:ascii="宋体" w:hAnsi="宋体" w:eastAsia="宋体" w:cs="宋体"/>
          <w:strike w:val="0"/>
          <w:dstrike w:val="0"/>
          <w:color w:val="auto"/>
          <w:sz w:val="24"/>
          <w:szCs w:val="24"/>
          <w:highlight w:val="none"/>
        </w:rPr>
        <w:t>投标人</w:t>
      </w:r>
      <w:r>
        <w:rPr>
          <w:rFonts w:hint="eastAsia" w:ascii="宋体" w:hAnsi="宋体" w:eastAsia="宋体" w:cs="宋体"/>
          <w:color w:val="auto"/>
          <w:sz w:val="24"/>
          <w:szCs w:val="24"/>
          <w:highlight w:val="none"/>
        </w:rPr>
        <w:t>应无条件同意学校直接调配</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的所有资源直至危机结束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期间发生的一切费用由</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负责</w:t>
      </w:r>
      <w:r>
        <w:rPr>
          <w:rFonts w:hint="eastAsia" w:ascii="宋体" w:hAnsi="宋体" w:eastAsia="宋体" w:cs="宋体"/>
          <w:color w:val="auto"/>
          <w:sz w:val="24"/>
          <w:szCs w:val="24"/>
          <w:highlight w:val="none"/>
        </w:rPr>
        <w:t>。</w:t>
      </w:r>
      <w:r>
        <w:rPr>
          <w:rFonts w:ascii="仿宋_GB2312" w:hAnsi="仿宋_GB2312" w:eastAsia="仿宋_GB2312" w:cs="仿宋_GB2312"/>
          <w:b/>
          <w:color w:val="auto"/>
          <w:sz w:val="24"/>
          <w:szCs w:val="24"/>
          <w:highlight w:val="none"/>
        </w:rPr>
        <w:t>（评审项</w:t>
      </w:r>
      <w:r>
        <w:rPr>
          <w:rFonts w:hint="eastAsia" w:ascii="仿宋_GB2312" w:hAnsi="仿宋_GB2312" w:eastAsia="仿宋_GB2312" w:cs="仿宋_GB2312"/>
          <w:b/>
          <w:color w:val="auto"/>
          <w:sz w:val="24"/>
          <w:szCs w:val="24"/>
          <w:highlight w:val="none"/>
          <w:lang w:val="en-US" w:eastAsia="zh-CN"/>
        </w:rPr>
        <w:t>20</w:t>
      </w:r>
      <w:r>
        <w:rPr>
          <w:rFonts w:ascii="仿宋_GB2312" w:hAnsi="仿宋_GB2312" w:eastAsia="仿宋_GB2312" w:cs="仿宋_GB2312"/>
          <w:b/>
          <w:color w:val="auto"/>
          <w:sz w:val="24"/>
          <w:szCs w:val="24"/>
          <w:highlight w:val="none"/>
        </w:rPr>
        <w:t>）</w:t>
      </w:r>
    </w:p>
    <w:p w14:paraId="00CADF1B">
      <w:pPr>
        <w:keepNext w:val="0"/>
        <w:keepLines w:val="0"/>
        <w:pageBreakBefore w:val="0"/>
        <w:numPr>
          <w:ilvl w:val="0"/>
          <w:numId w:val="4"/>
        </w:numPr>
        <w:kinsoku/>
        <w:wordWrap/>
        <w:overflowPunct/>
        <w:topLinePunct w:val="0"/>
        <w:autoSpaceDE/>
        <w:autoSpaceDN/>
        <w:bidi w:val="0"/>
        <w:spacing w:beforeAutospacing="0" w:afterAutospacing="0" w:line="400" w:lineRule="exact"/>
        <w:ind w:left="17" w:leftChars="8" w:firstLine="402" w:firstLineChars="167"/>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菜品要求</w:t>
      </w:r>
      <w:r>
        <w:rPr>
          <w:rFonts w:ascii="仿宋_GB2312" w:hAnsi="仿宋_GB2312" w:eastAsia="仿宋_GB2312" w:cs="仿宋_GB2312"/>
          <w:b/>
          <w:color w:val="auto"/>
          <w:sz w:val="24"/>
          <w:szCs w:val="24"/>
          <w:highlight w:val="none"/>
        </w:rPr>
        <w:t>（评审项</w:t>
      </w:r>
      <w:r>
        <w:rPr>
          <w:rFonts w:hint="eastAsia" w:ascii="仿宋_GB2312" w:hAnsi="仿宋_GB2312" w:eastAsia="仿宋_GB2312" w:cs="仿宋_GB2312"/>
          <w:b/>
          <w:color w:val="auto"/>
          <w:sz w:val="24"/>
          <w:szCs w:val="24"/>
          <w:highlight w:val="none"/>
          <w:lang w:val="en-US" w:eastAsia="zh-CN"/>
        </w:rPr>
        <w:t>21</w:t>
      </w:r>
      <w:r>
        <w:rPr>
          <w:rFonts w:ascii="仿宋_GB2312" w:hAnsi="仿宋_GB2312" w:eastAsia="仿宋_GB2312" w:cs="仿宋_GB2312"/>
          <w:b/>
          <w:color w:val="auto"/>
          <w:sz w:val="24"/>
          <w:szCs w:val="24"/>
          <w:highlight w:val="none"/>
        </w:rPr>
        <w:t>）</w:t>
      </w:r>
    </w:p>
    <w:p w14:paraId="0DA8A532">
      <w:pPr>
        <w:keepNext w:val="0"/>
        <w:keepLines w:val="0"/>
        <w:pageBreakBefore w:val="0"/>
        <w:numPr>
          <w:ilvl w:val="0"/>
          <w:numId w:val="6"/>
        </w:numPr>
        <w:kinsoku/>
        <w:wordWrap/>
        <w:overflowPunct/>
        <w:topLinePunct w:val="0"/>
        <w:autoSpaceDE/>
        <w:autoSpaceDN/>
        <w:bidi w:val="0"/>
        <w:spacing w:beforeAutospacing="0" w:afterAutospacing="0" w:line="400" w:lineRule="exact"/>
        <w:ind w:left="17" w:leftChars="8" w:firstLine="400" w:firstLineChars="167"/>
        <w:textAlignment w:val="auto"/>
        <w:rPr>
          <w:rFonts w:hint="eastAsia" w:ascii="宋体" w:hAnsi="宋体" w:eastAsia="宋体" w:cs="宋体"/>
          <w:bCs/>
          <w:color w:val="auto"/>
          <w:sz w:val="24"/>
          <w:szCs w:val="24"/>
          <w:highlight w:val="none"/>
        </w:rPr>
      </w:pPr>
      <w:r>
        <w:rPr>
          <w:rFonts w:hint="eastAsia" w:ascii="宋体" w:hAnsi="宋体" w:eastAsia="宋体" w:cs="宋体"/>
          <w:strike w:val="0"/>
          <w:dstrike w:val="0"/>
          <w:color w:val="auto"/>
          <w:sz w:val="24"/>
          <w:szCs w:val="24"/>
          <w:highlight w:val="none"/>
        </w:rPr>
        <w:t>投标人</w:t>
      </w:r>
      <w:r>
        <w:rPr>
          <w:rFonts w:hint="eastAsia" w:ascii="宋体" w:hAnsi="宋体" w:eastAsia="宋体" w:cs="宋体"/>
          <w:bCs/>
          <w:color w:val="auto"/>
          <w:sz w:val="24"/>
          <w:szCs w:val="24"/>
          <w:highlight w:val="none"/>
        </w:rPr>
        <w:t>应每周</w:t>
      </w:r>
      <w:r>
        <w:rPr>
          <w:rFonts w:hint="eastAsia" w:ascii="宋体" w:hAnsi="宋体" w:eastAsia="宋体" w:cs="宋体"/>
          <w:bCs/>
          <w:color w:val="auto"/>
          <w:sz w:val="24"/>
          <w:szCs w:val="24"/>
          <w:highlight w:val="none"/>
          <w:lang w:val="en-US" w:eastAsia="zh-CN"/>
        </w:rPr>
        <w:t>五之</w:t>
      </w:r>
      <w:r>
        <w:rPr>
          <w:rFonts w:hint="eastAsia" w:ascii="宋体" w:hAnsi="宋体" w:eastAsia="宋体" w:cs="宋体"/>
          <w:bCs/>
          <w:color w:val="auto"/>
          <w:sz w:val="24"/>
          <w:szCs w:val="24"/>
          <w:highlight w:val="none"/>
        </w:rPr>
        <w:t>前提出下一周的学生用餐</w:t>
      </w:r>
      <w:r>
        <w:rPr>
          <w:rFonts w:hint="eastAsia" w:ascii="宋体" w:hAnsi="宋体" w:eastAsia="宋体" w:cs="宋体"/>
          <w:bCs/>
          <w:color w:val="auto"/>
          <w:sz w:val="24"/>
          <w:szCs w:val="24"/>
          <w:highlight w:val="none"/>
          <w:lang w:val="en-US" w:eastAsia="zh-CN"/>
        </w:rPr>
        <w:t>周</w:t>
      </w:r>
      <w:r>
        <w:rPr>
          <w:rFonts w:hint="eastAsia" w:ascii="宋体" w:hAnsi="宋体" w:eastAsia="宋体" w:cs="宋体"/>
          <w:bCs/>
          <w:color w:val="auto"/>
          <w:sz w:val="24"/>
          <w:szCs w:val="24"/>
          <w:highlight w:val="none"/>
        </w:rPr>
        <w:t>菜谱供</w:t>
      </w:r>
      <w:r>
        <w:rPr>
          <w:rFonts w:hint="eastAsia" w:ascii="宋体" w:hAnsi="宋体" w:cs="宋体"/>
          <w:bCs/>
          <w:color w:val="auto"/>
          <w:sz w:val="24"/>
          <w:szCs w:val="24"/>
          <w:highlight w:val="none"/>
          <w:lang w:eastAsia="zh-CN"/>
        </w:rPr>
        <w:t>采购人</w:t>
      </w:r>
      <w:r>
        <w:rPr>
          <w:rFonts w:hint="eastAsia" w:ascii="宋体" w:hAnsi="宋体" w:eastAsia="宋体" w:cs="宋体"/>
          <w:bCs/>
          <w:color w:val="auto"/>
          <w:sz w:val="24"/>
          <w:szCs w:val="24"/>
          <w:highlight w:val="none"/>
        </w:rPr>
        <w:t>挑选</w:t>
      </w:r>
      <w:r>
        <w:rPr>
          <w:rFonts w:hint="eastAsia" w:ascii="宋体" w:hAnsi="宋体" w:eastAsia="宋体" w:cs="宋体"/>
          <w:color w:val="auto"/>
          <w:sz w:val="24"/>
          <w:szCs w:val="24"/>
          <w:highlight w:val="none"/>
        </w:rPr>
        <w:t>，主菜要做到每天20%的变化量</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菜谱应该根据季节进行变换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2元以下的低价菜不低于30%</w:t>
      </w:r>
      <w:r>
        <w:rPr>
          <w:rFonts w:hint="eastAsia" w:ascii="宋体" w:hAnsi="宋体" w:eastAsia="宋体" w:cs="宋体"/>
          <w:color w:val="auto"/>
          <w:sz w:val="24"/>
          <w:szCs w:val="24"/>
          <w:highlight w:val="none"/>
        </w:rPr>
        <w:t>。</w:t>
      </w:r>
    </w:p>
    <w:p w14:paraId="460E8EF8">
      <w:pPr>
        <w:keepNext w:val="0"/>
        <w:keepLines w:val="0"/>
        <w:pageBreakBefore w:val="0"/>
        <w:numPr>
          <w:ilvl w:val="0"/>
          <w:numId w:val="6"/>
        </w:numPr>
        <w:kinsoku/>
        <w:wordWrap/>
        <w:overflowPunct/>
        <w:topLinePunct w:val="0"/>
        <w:autoSpaceDE/>
        <w:autoSpaceDN/>
        <w:bidi w:val="0"/>
        <w:spacing w:beforeAutospacing="0" w:afterAutospacing="0" w:line="400" w:lineRule="exact"/>
        <w:ind w:left="17" w:leftChars="8" w:firstLine="400" w:firstLineChars="167"/>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午、晚餐菜谱每餐可提供</w:t>
      </w:r>
      <w:r>
        <w:rPr>
          <w:rFonts w:hint="eastAsia" w:ascii="宋体" w:hAnsi="宋体" w:eastAsia="宋体" w:cs="宋体"/>
          <w:bCs/>
          <w:color w:val="auto"/>
          <w:sz w:val="24"/>
          <w:szCs w:val="24"/>
          <w:highlight w:val="none"/>
          <w:lang w:val="en-US" w:eastAsia="zh-CN"/>
        </w:rPr>
        <w:t>25</w:t>
      </w:r>
      <w:r>
        <w:rPr>
          <w:rFonts w:hint="eastAsia" w:ascii="宋体" w:hAnsi="宋体" w:eastAsia="宋体" w:cs="宋体"/>
          <w:bCs/>
          <w:color w:val="auto"/>
          <w:sz w:val="24"/>
          <w:szCs w:val="24"/>
          <w:highlight w:val="none"/>
        </w:rPr>
        <w:t>种以上的菜品供学生选择，菜品及时更新。</w:t>
      </w:r>
    </w:p>
    <w:p w14:paraId="58076680">
      <w:pPr>
        <w:keepNext w:val="0"/>
        <w:keepLines w:val="0"/>
        <w:pageBreakBefore w:val="0"/>
        <w:numPr>
          <w:ilvl w:val="0"/>
          <w:numId w:val="6"/>
        </w:numPr>
        <w:kinsoku/>
        <w:wordWrap/>
        <w:overflowPunct/>
        <w:topLinePunct w:val="0"/>
        <w:autoSpaceDE/>
        <w:autoSpaceDN/>
        <w:bidi w:val="0"/>
        <w:spacing w:beforeAutospacing="0" w:afterAutospacing="0" w:line="400" w:lineRule="exact"/>
        <w:ind w:left="17" w:leftChars="8" w:firstLine="400" w:firstLineChars="167"/>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菜品以膳食营养健康为出发点，坚持营养</w:t>
      </w:r>
      <w:r>
        <w:rPr>
          <w:rFonts w:hint="eastAsia" w:ascii="宋体" w:hAnsi="宋体" w:eastAsia="宋体" w:cs="宋体"/>
          <w:bCs/>
          <w:color w:val="auto"/>
          <w:sz w:val="24"/>
          <w:szCs w:val="24"/>
          <w:highlight w:val="none"/>
          <w:lang w:val="en-US" w:eastAsia="zh-CN"/>
        </w:rPr>
        <w:t>搭配科学</w:t>
      </w:r>
      <w:r>
        <w:rPr>
          <w:rFonts w:hint="eastAsia" w:ascii="宋体" w:hAnsi="宋体" w:eastAsia="宋体" w:cs="宋体"/>
          <w:bCs/>
          <w:color w:val="auto"/>
          <w:sz w:val="24"/>
          <w:szCs w:val="24"/>
          <w:highlight w:val="none"/>
        </w:rPr>
        <w:t>合理。</w:t>
      </w:r>
    </w:p>
    <w:p w14:paraId="7830410F">
      <w:pPr>
        <w:keepNext w:val="0"/>
        <w:keepLines w:val="0"/>
        <w:pageBreakBefore w:val="0"/>
        <w:numPr>
          <w:ilvl w:val="0"/>
          <w:numId w:val="6"/>
        </w:numPr>
        <w:kinsoku/>
        <w:wordWrap/>
        <w:overflowPunct/>
        <w:topLinePunct w:val="0"/>
        <w:autoSpaceDE/>
        <w:autoSpaceDN/>
        <w:bidi w:val="0"/>
        <w:spacing w:beforeAutospacing="0" w:afterAutospacing="0" w:line="400" w:lineRule="exact"/>
        <w:ind w:left="17" w:leftChars="8" w:firstLine="400" w:firstLineChars="16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出品要求坚持“少量多次”的加工方式，杜绝浪费。</w:t>
      </w:r>
    </w:p>
    <w:p w14:paraId="0D1A85A3">
      <w:pPr>
        <w:keepNext w:val="0"/>
        <w:keepLines w:val="0"/>
        <w:pageBreakBefore w:val="0"/>
        <w:numPr>
          <w:ilvl w:val="0"/>
          <w:numId w:val="6"/>
        </w:numPr>
        <w:kinsoku/>
        <w:wordWrap/>
        <w:overflowPunct/>
        <w:topLinePunct w:val="0"/>
        <w:autoSpaceDE/>
        <w:autoSpaceDN/>
        <w:bidi w:val="0"/>
        <w:spacing w:beforeAutospacing="0" w:afterAutospacing="0" w:line="400" w:lineRule="exact"/>
        <w:ind w:left="17" w:leftChars="8" w:firstLine="400" w:firstLineChars="167"/>
        <w:textAlignment w:val="auto"/>
        <w:rPr>
          <w:rFonts w:hint="eastAsia" w:ascii="Times New Roman" w:hAnsi="Times New Roman" w:eastAsia="宋体" w:cs="Times New Roman"/>
          <w:color w:val="auto"/>
          <w:sz w:val="24"/>
          <w:szCs w:val="24"/>
          <w:highlight w:val="none"/>
        </w:rPr>
      </w:pPr>
      <w:r>
        <w:rPr>
          <w:rFonts w:hint="eastAsia" w:ascii="宋体" w:hAnsi="宋体" w:eastAsia="宋体" w:cs="宋体"/>
          <w:color w:val="auto"/>
          <w:sz w:val="24"/>
          <w:szCs w:val="24"/>
          <w:highlight w:val="none"/>
          <w:lang w:val="en-US" w:eastAsia="zh-CN"/>
        </w:rPr>
        <w:t>要</w:t>
      </w:r>
      <w:r>
        <w:rPr>
          <w:rFonts w:hint="eastAsia" w:ascii="宋体" w:hAnsi="宋体" w:eastAsia="宋体" w:cs="宋体"/>
          <w:color w:val="auto"/>
          <w:sz w:val="24"/>
          <w:szCs w:val="24"/>
          <w:highlight w:val="none"/>
        </w:rPr>
        <w:t>降低单品存放时间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根据用餐高峰时段调节加工量，做到“热饭、热菜、热汤”。</w:t>
      </w:r>
    </w:p>
    <w:p w14:paraId="10CC8713">
      <w:pPr>
        <w:keepNext w:val="0"/>
        <w:keepLines w:val="0"/>
        <w:pageBreakBefore w:val="0"/>
        <w:numPr>
          <w:ilvl w:val="0"/>
          <w:numId w:val="6"/>
        </w:numPr>
        <w:kinsoku/>
        <w:wordWrap/>
        <w:overflowPunct/>
        <w:topLinePunct w:val="0"/>
        <w:autoSpaceDE/>
        <w:autoSpaceDN/>
        <w:bidi w:val="0"/>
        <w:spacing w:beforeAutospacing="0" w:afterAutospacing="0" w:line="400" w:lineRule="exact"/>
        <w:ind w:left="17" w:leftChars="8" w:firstLine="400" w:firstLineChars="167"/>
        <w:textAlignment w:val="auto"/>
        <w:rPr>
          <w:rFonts w:hint="eastAsia" w:ascii="Times New Roman" w:hAnsi="Times New Roman" w:eastAsia="宋体" w:cs="Times New Roman"/>
          <w:color w:val="auto"/>
          <w:sz w:val="24"/>
          <w:szCs w:val="24"/>
          <w:highlight w:val="none"/>
        </w:rPr>
      </w:pPr>
      <w:r>
        <w:rPr>
          <w:rFonts w:hint="eastAsia" w:ascii="宋体" w:hAnsi="宋体" w:eastAsia="宋体" w:cs="宋体"/>
          <w:color w:val="auto"/>
          <w:sz w:val="24"/>
          <w:szCs w:val="24"/>
          <w:highlight w:val="none"/>
        </w:rPr>
        <w:t>日常菜谱能够提供莆田特色小吃</w:t>
      </w:r>
      <w:r>
        <w:rPr>
          <w:rFonts w:hint="eastAsia" w:ascii="宋体" w:hAnsi="宋体" w:eastAsia="宋体" w:cs="宋体"/>
          <w:color w:val="auto"/>
          <w:sz w:val="24"/>
          <w:szCs w:val="24"/>
          <w:highlight w:val="none"/>
          <w:lang w:val="en-US" w:eastAsia="zh-CN"/>
        </w:rPr>
        <w:t>和中华传统节日饮食</w:t>
      </w:r>
      <w:r>
        <w:rPr>
          <w:rFonts w:hint="eastAsia" w:ascii="宋体" w:hAnsi="宋体" w:eastAsia="宋体" w:cs="宋体"/>
          <w:color w:val="auto"/>
          <w:sz w:val="24"/>
          <w:szCs w:val="24"/>
          <w:highlight w:val="none"/>
        </w:rPr>
        <w:t>，作为食堂风味补充。</w:t>
      </w:r>
    </w:p>
    <w:p w14:paraId="33F0BE17">
      <w:pPr>
        <w:keepNext w:val="0"/>
        <w:keepLines w:val="0"/>
        <w:pageBreakBefore w:val="0"/>
        <w:numPr>
          <w:ilvl w:val="0"/>
          <w:numId w:val="4"/>
        </w:numPr>
        <w:kinsoku/>
        <w:wordWrap/>
        <w:overflowPunct/>
        <w:topLinePunct w:val="0"/>
        <w:autoSpaceDE/>
        <w:autoSpaceDN/>
        <w:bidi w:val="0"/>
        <w:spacing w:beforeAutospacing="0" w:afterAutospacing="0" w:line="400" w:lineRule="exact"/>
        <w:ind w:left="17" w:leftChars="8" w:firstLine="402" w:firstLineChars="167"/>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卫生要求</w:t>
      </w:r>
      <w:r>
        <w:rPr>
          <w:rFonts w:ascii="仿宋_GB2312" w:hAnsi="仿宋_GB2312" w:eastAsia="仿宋_GB2312" w:cs="仿宋_GB2312"/>
          <w:b/>
          <w:color w:val="auto"/>
          <w:sz w:val="24"/>
          <w:szCs w:val="24"/>
          <w:highlight w:val="none"/>
        </w:rPr>
        <w:t>（评审项</w:t>
      </w:r>
      <w:r>
        <w:rPr>
          <w:rFonts w:hint="eastAsia" w:ascii="仿宋_GB2312" w:hAnsi="仿宋_GB2312" w:eastAsia="仿宋_GB2312" w:cs="仿宋_GB2312"/>
          <w:b/>
          <w:color w:val="auto"/>
          <w:sz w:val="24"/>
          <w:szCs w:val="24"/>
          <w:highlight w:val="none"/>
          <w:lang w:val="en-US" w:eastAsia="zh-CN"/>
        </w:rPr>
        <w:t>22</w:t>
      </w:r>
      <w:r>
        <w:rPr>
          <w:rFonts w:ascii="仿宋_GB2312" w:hAnsi="仿宋_GB2312" w:eastAsia="仿宋_GB2312" w:cs="仿宋_GB2312"/>
          <w:b/>
          <w:color w:val="auto"/>
          <w:sz w:val="24"/>
          <w:szCs w:val="24"/>
          <w:highlight w:val="none"/>
        </w:rPr>
        <w:t>）</w:t>
      </w:r>
    </w:p>
    <w:p w14:paraId="4C0E5B85">
      <w:pPr>
        <w:keepNext w:val="0"/>
        <w:keepLines w:val="0"/>
        <w:pageBreakBefore w:val="0"/>
        <w:numPr>
          <w:ilvl w:val="0"/>
          <w:numId w:val="7"/>
        </w:numPr>
        <w:kinsoku/>
        <w:wordWrap/>
        <w:overflowPunct/>
        <w:topLinePunct w:val="0"/>
        <w:autoSpaceDE/>
        <w:autoSpaceDN/>
        <w:bidi w:val="0"/>
        <w:spacing w:beforeAutospacing="0" w:afterAutospacing="0" w:line="400" w:lineRule="exact"/>
        <w:ind w:left="17" w:leftChars="8" w:firstLine="400" w:firstLineChars="167"/>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每日三餐保持卫生干净</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设备、厨具应定期保洁消毒；餐具餐后及时清洗并消毒保洁；蔬菜按规定浸泡足够的时间；及时清理食堂内各类垃圾。</w:t>
      </w:r>
    </w:p>
    <w:p w14:paraId="12D1754A">
      <w:pPr>
        <w:keepNext w:val="0"/>
        <w:keepLines w:val="0"/>
        <w:pageBreakBefore w:val="0"/>
        <w:numPr>
          <w:ilvl w:val="0"/>
          <w:numId w:val="7"/>
        </w:numPr>
        <w:kinsoku/>
        <w:wordWrap/>
        <w:overflowPunct/>
        <w:topLinePunct w:val="0"/>
        <w:autoSpaceDE/>
        <w:autoSpaceDN/>
        <w:bidi w:val="0"/>
        <w:spacing w:beforeAutospacing="0" w:afterAutospacing="0" w:line="400" w:lineRule="exact"/>
        <w:ind w:left="17" w:leftChars="8" w:firstLine="400" w:firstLineChars="167"/>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食品冷藏原料、半成品及成品严格分开，严禁过期食品再次使用。</w:t>
      </w:r>
      <w:r>
        <w:rPr>
          <w:rFonts w:hint="eastAsia" w:ascii="宋体" w:hAnsi="宋体" w:eastAsia="宋体" w:cs="宋体"/>
          <w:color w:val="auto"/>
          <w:sz w:val="24"/>
          <w:szCs w:val="24"/>
          <w:highlight w:val="none"/>
        </w:rPr>
        <w:t>原料、半成品、成品的存储工具严格区分，不得混用。</w:t>
      </w:r>
    </w:p>
    <w:p w14:paraId="5BFC99E6">
      <w:pPr>
        <w:keepNext w:val="0"/>
        <w:keepLines w:val="0"/>
        <w:pageBreakBefore w:val="0"/>
        <w:numPr>
          <w:ilvl w:val="0"/>
          <w:numId w:val="7"/>
        </w:numPr>
        <w:kinsoku/>
        <w:wordWrap/>
        <w:overflowPunct/>
        <w:topLinePunct w:val="0"/>
        <w:autoSpaceDE/>
        <w:autoSpaceDN/>
        <w:bidi w:val="0"/>
        <w:spacing w:beforeAutospacing="0" w:afterAutospacing="0" w:line="400" w:lineRule="exact"/>
        <w:ind w:left="17" w:leftChars="8" w:firstLine="400" w:firstLineChars="16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搞好环境卫生，</w:t>
      </w:r>
      <w:r>
        <w:rPr>
          <w:rFonts w:hint="eastAsia" w:ascii="宋体" w:hAnsi="宋体" w:eastAsia="宋体" w:cs="宋体"/>
          <w:color w:val="auto"/>
          <w:sz w:val="24"/>
          <w:szCs w:val="24"/>
          <w:highlight w:val="none"/>
          <w:lang w:val="en-US" w:eastAsia="zh-CN"/>
        </w:rPr>
        <w:t>做好每餐</w:t>
      </w:r>
      <w:r>
        <w:rPr>
          <w:rFonts w:hint="eastAsia" w:ascii="宋体" w:hAnsi="宋体" w:eastAsia="宋体" w:cs="宋体"/>
          <w:color w:val="auto"/>
          <w:sz w:val="24"/>
          <w:szCs w:val="24"/>
          <w:highlight w:val="none"/>
        </w:rPr>
        <w:t>卫生自查。每餐工作结束后，</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必须对餐厅、厨房进行一次大清洁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消毒</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，保持厨房、餐厅内外整洁。库房要求通风良好，</w:t>
      </w:r>
      <w:r>
        <w:rPr>
          <w:rFonts w:hint="eastAsia" w:ascii="宋体" w:hAnsi="宋体" w:eastAsia="宋体" w:cs="宋体"/>
          <w:color w:val="auto"/>
          <w:sz w:val="24"/>
          <w:szCs w:val="24"/>
          <w:highlight w:val="none"/>
          <w:lang w:val="en-US" w:eastAsia="zh-CN"/>
        </w:rPr>
        <w:t>干净整洁，做好</w:t>
      </w:r>
      <w:r>
        <w:rPr>
          <w:rFonts w:hint="eastAsia" w:ascii="宋体" w:hAnsi="宋体" w:eastAsia="宋体" w:cs="宋体"/>
          <w:color w:val="auto"/>
          <w:sz w:val="24"/>
          <w:szCs w:val="24"/>
          <w:highlight w:val="none"/>
        </w:rPr>
        <w:t>防鼠</w:t>
      </w:r>
      <w:r>
        <w:rPr>
          <w:rFonts w:hint="eastAsia" w:ascii="宋体" w:hAnsi="宋体" w:eastAsia="宋体" w:cs="宋体"/>
          <w:color w:val="auto"/>
          <w:sz w:val="24"/>
          <w:szCs w:val="24"/>
          <w:highlight w:val="none"/>
          <w:lang w:val="en-US" w:eastAsia="zh-CN"/>
        </w:rPr>
        <w:t>措施</w:t>
      </w:r>
      <w:r>
        <w:rPr>
          <w:rFonts w:hint="eastAsia" w:ascii="宋体" w:hAnsi="宋体" w:eastAsia="宋体" w:cs="宋体"/>
          <w:color w:val="auto"/>
          <w:sz w:val="24"/>
          <w:szCs w:val="24"/>
          <w:highlight w:val="none"/>
        </w:rPr>
        <w:t>。冰柜和冷库应定期清理﹑</w:t>
      </w:r>
      <w:r>
        <w:rPr>
          <w:rFonts w:hint="eastAsia" w:ascii="宋体" w:hAnsi="宋体" w:eastAsia="宋体" w:cs="宋体"/>
          <w:color w:val="auto"/>
          <w:sz w:val="24"/>
          <w:szCs w:val="24"/>
          <w:highlight w:val="none"/>
          <w:lang w:val="en-US" w:eastAsia="zh-CN"/>
        </w:rPr>
        <w:t>无积</w:t>
      </w:r>
      <w:r>
        <w:rPr>
          <w:rFonts w:hint="eastAsia" w:ascii="宋体" w:hAnsi="宋体" w:eastAsia="宋体" w:cs="宋体"/>
          <w:color w:val="auto"/>
          <w:sz w:val="24"/>
          <w:szCs w:val="24"/>
          <w:highlight w:val="none"/>
        </w:rPr>
        <w:t>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异味，</w:t>
      </w:r>
      <w:r>
        <w:rPr>
          <w:rFonts w:hint="eastAsia" w:ascii="宋体" w:hAnsi="宋体" w:eastAsia="宋体" w:cs="宋体"/>
          <w:bCs/>
          <w:color w:val="auto"/>
          <w:sz w:val="24"/>
          <w:szCs w:val="24"/>
          <w:highlight w:val="none"/>
        </w:rPr>
        <w:t>原料、半成品及成品</w:t>
      </w:r>
      <w:r>
        <w:rPr>
          <w:rFonts w:hint="eastAsia" w:ascii="宋体" w:hAnsi="宋体" w:eastAsia="宋体" w:cs="宋体"/>
          <w:color w:val="auto"/>
          <w:sz w:val="24"/>
          <w:szCs w:val="24"/>
          <w:highlight w:val="none"/>
        </w:rPr>
        <w:t>应分开存放。对所有用过的食具、餐具洗净后立即消毒。</w:t>
      </w:r>
    </w:p>
    <w:p w14:paraId="3561485C">
      <w:pPr>
        <w:keepNext w:val="0"/>
        <w:keepLines w:val="0"/>
        <w:pageBreakBefore w:val="0"/>
        <w:numPr>
          <w:ilvl w:val="0"/>
          <w:numId w:val="7"/>
        </w:numPr>
        <w:kinsoku/>
        <w:wordWrap/>
        <w:overflowPunct/>
        <w:topLinePunct w:val="0"/>
        <w:autoSpaceDE/>
        <w:autoSpaceDN/>
        <w:bidi w:val="0"/>
        <w:spacing w:beforeAutospacing="0" w:afterAutospacing="0" w:line="400" w:lineRule="exact"/>
        <w:ind w:left="17" w:leftChars="8" w:firstLine="400" w:firstLineChars="16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应经常清理食堂内外隔油池、水池﹑下水道等</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rPr>
        <w:t>确保</w:t>
      </w:r>
      <w:r>
        <w:rPr>
          <w:rFonts w:hint="eastAsia" w:ascii="宋体" w:hAnsi="宋体" w:eastAsia="宋体" w:cs="宋体"/>
          <w:color w:val="auto"/>
          <w:sz w:val="24"/>
          <w:szCs w:val="24"/>
          <w:highlight w:val="none"/>
          <w:lang w:val="en-US" w:eastAsia="zh-CN"/>
        </w:rPr>
        <w:t>管道</w:t>
      </w:r>
      <w:r>
        <w:rPr>
          <w:rFonts w:hint="eastAsia" w:ascii="宋体" w:hAnsi="宋体" w:eastAsia="宋体" w:cs="宋体"/>
          <w:color w:val="auto"/>
          <w:sz w:val="24"/>
          <w:szCs w:val="24"/>
          <w:highlight w:val="none"/>
        </w:rPr>
        <w:t>畅通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每</w:t>
      </w:r>
      <w:r>
        <w:rPr>
          <w:rFonts w:hint="eastAsia" w:ascii="宋体" w:hAnsi="宋体" w:eastAsia="宋体" w:cs="宋体"/>
          <w:color w:val="auto"/>
          <w:sz w:val="24"/>
          <w:szCs w:val="24"/>
          <w:highlight w:val="none"/>
          <w:lang w:val="en-US" w:eastAsia="zh-CN"/>
        </w:rPr>
        <w:t>学期</w:t>
      </w:r>
      <w:r>
        <w:rPr>
          <w:rFonts w:hint="eastAsia" w:ascii="宋体" w:hAnsi="宋体" w:eastAsia="宋体" w:cs="宋体"/>
          <w:color w:val="auto"/>
          <w:sz w:val="24"/>
          <w:szCs w:val="24"/>
          <w:highlight w:val="none"/>
        </w:rPr>
        <w:t>至少进行</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次清理，费用由</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负责</w:t>
      </w:r>
      <w:r>
        <w:rPr>
          <w:rFonts w:hint="eastAsia" w:ascii="宋体" w:hAnsi="宋体" w:eastAsia="宋体" w:cs="宋体"/>
          <w:b w:val="0"/>
          <w:bCs w:val="0"/>
          <w:color w:val="auto"/>
          <w:sz w:val="24"/>
          <w:szCs w:val="24"/>
          <w:highlight w:val="none"/>
        </w:rPr>
        <w:t>。</w:t>
      </w:r>
    </w:p>
    <w:p w14:paraId="3B915D4D">
      <w:pPr>
        <w:keepNext w:val="0"/>
        <w:keepLines w:val="0"/>
        <w:pageBreakBefore w:val="0"/>
        <w:numPr>
          <w:ilvl w:val="0"/>
          <w:numId w:val="7"/>
        </w:numPr>
        <w:kinsoku/>
        <w:wordWrap/>
        <w:overflowPunct/>
        <w:topLinePunct w:val="0"/>
        <w:autoSpaceDE/>
        <w:autoSpaceDN/>
        <w:bidi w:val="0"/>
        <w:spacing w:beforeAutospacing="0" w:afterAutospacing="0" w:line="400" w:lineRule="exact"/>
        <w:ind w:left="17" w:leftChars="8" w:firstLine="400" w:firstLineChars="167"/>
        <w:textAlignment w:val="auto"/>
        <w:rPr>
          <w:rFonts w:hint="eastAsia" w:ascii="宋体" w:hAnsi="宋体" w:eastAsia="宋体" w:cs="宋体"/>
          <w:b/>
          <w:bCs/>
          <w:color w:val="auto"/>
          <w:sz w:val="24"/>
          <w:szCs w:val="24"/>
          <w:highlight w:val="none"/>
        </w:rPr>
      </w:pPr>
      <w:r>
        <w:rPr>
          <w:rFonts w:hint="eastAsia" w:ascii="宋体" w:hAnsi="宋体" w:eastAsia="宋体" w:cs="宋体"/>
          <w:strike w:val="0"/>
          <w:dstrike w:val="0"/>
          <w:color w:val="auto"/>
          <w:sz w:val="24"/>
          <w:szCs w:val="24"/>
          <w:highlight w:val="none"/>
        </w:rPr>
        <w:t>投标人</w:t>
      </w:r>
      <w:r>
        <w:rPr>
          <w:rFonts w:hint="eastAsia" w:ascii="宋体" w:hAnsi="宋体" w:eastAsia="宋体" w:cs="宋体"/>
          <w:bCs/>
          <w:color w:val="auto"/>
          <w:sz w:val="24"/>
          <w:szCs w:val="24"/>
          <w:highlight w:val="none"/>
        </w:rPr>
        <w:t>应根据相关规定，统一收集泔水（剩饭、剩菜、厨余垃圾）</w:t>
      </w:r>
      <w:r>
        <w:rPr>
          <w:rFonts w:hint="eastAsia" w:ascii="宋体" w:hAnsi="宋体" w:eastAsia="宋体" w:cs="宋体"/>
          <w:color w:val="auto"/>
          <w:sz w:val="24"/>
          <w:szCs w:val="24"/>
          <w:highlight w:val="none"/>
          <w:lang w:val="en-US" w:eastAsia="zh-CN"/>
        </w:rPr>
        <w:t>和废弃油指</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由</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严格按照政府部门要求进行规范处置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负责做好泔水收纳处的卫生保洁。</w:t>
      </w:r>
    </w:p>
    <w:p w14:paraId="684D2951">
      <w:pPr>
        <w:keepNext w:val="0"/>
        <w:keepLines w:val="0"/>
        <w:pageBreakBefore w:val="0"/>
        <w:numPr>
          <w:ilvl w:val="0"/>
          <w:numId w:val="7"/>
        </w:numPr>
        <w:kinsoku/>
        <w:wordWrap/>
        <w:overflowPunct/>
        <w:topLinePunct w:val="0"/>
        <w:autoSpaceDE/>
        <w:autoSpaceDN/>
        <w:bidi w:val="0"/>
        <w:spacing w:beforeAutospacing="0" w:afterAutospacing="0" w:line="400" w:lineRule="exact"/>
        <w:ind w:left="17" w:leftChars="8" w:firstLine="400" w:firstLineChars="167"/>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食堂其他生活垃圾及员工宿舍产生的生活垃圾须运至指定的垃圾堆放地，严禁在食堂及宿舍周边摆放杂物，以保障厨房、餐厅及周边整体环境卫生。</w:t>
      </w:r>
    </w:p>
    <w:p w14:paraId="6B87054C">
      <w:pPr>
        <w:keepNext w:val="0"/>
        <w:keepLines w:val="0"/>
        <w:pageBreakBefore w:val="0"/>
        <w:numPr>
          <w:ilvl w:val="0"/>
          <w:numId w:val="7"/>
        </w:numPr>
        <w:kinsoku/>
        <w:wordWrap/>
        <w:overflowPunct/>
        <w:topLinePunct w:val="0"/>
        <w:autoSpaceDE/>
        <w:autoSpaceDN/>
        <w:bidi w:val="0"/>
        <w:spacing w:beforeAutospacing="0" w:afterAutospacing="0" w:line="400" w:lineRule="exact"/>
        <w:ind w:left="17" w:leftChars="8" w:firstLine="400" w:firstLineChars="167"/>
        <w:textAlignment w:val="auto"/>
        <w:rPr>
          <w:rFonts w:hint="eastAsia" w:ascii="宋体" w:hAnsi="宋体" w:eastAsia="宋体" w:cs="宋体"/>
          <w:b/>
          <w:bCs w:val="0"/>
          <w:color w:val="auto"/>
          <w:sz w:val="24"/>
          <w:szCs w:val="24"/>
          <w:highlight w:val="none"/>
        </w:rPr>
      </w:pPr>
      <w:r>
        <w:rPr>
          <w:rFonts w:hint="eastAsia" w:ascii="宋体" w:hAnsi="宋体" w:eastAsia="宋体" w:cs="宋体"/>
          <w:strike w:val="0"/>
          <w:dstrike w:val="0"/>
          <w:color w:val="auto"/>
          <w:sz w:val="24"/>
          <w:szCs w:val="24"/>
          <w:highlight w:val="none"/>
        </w:rPr>
        <w:t>投标人</w:t>
      </w:r>
      <w:r>
        <w:rPr>
          <w:rFonts w:hint="eastAsia" w:ascii="宋体" w:hAnsi="宋体" w:eastAsia="宋体" w:cs="宋体"/>
          <w:bCs/>
          <w:color w:val="auto"/>
          <w:sz w:val="24"/>
          <w:szCs w:val="24"/>
          <w:highlight w:val="none"/>
          <w:lang w:val="en-US" w:eastAsia="zh-CN"/>
        </w:rPr>
        <w:t>必须</w:t>
      </w:r>
      <w:r>
        <w:rPr>
          <w:rFonts w:hint="eastAsia" w:ascii="宋体" w:hAnsi="宋体" w:eastAsia="宋体" w:cs="宋体"/>
          <w:bCs/>
          <w:color w:val="auto"/>
          <w:sz w:val="24"/>
          <w:szCs w:val="24"/>
          <w:highlight w:val="none"/>
        </w:rPr>
        <w:t>每年聘请具有相关资质的专业清洗公司，对厨房油烟机及管道内部进行1次</w:t>
      </w:r>
      <w:r>
        <w:rPr>
          <w:rFonts w:hint="eastAsia" w:ascii="宋体" w:hAnsi="宋体" w:eastAsia="宋体" w:cs="宋体"/>
          <w:bCs/>
          <w:color w:val="auto"/>
          <w:sz w:val="24"/>
          <w:szCs w:val="24"/>
          <w:highlight w:val="none"/>
          <w:lang w:val="en-US" w:eastAsia="zh-CN"/>
        </w:rPr>
        <w:t>全面</w:t>
      </w:r>
      <w:r>
        <w:rPr>
          <w:rFonts w:hint="eastAsia" w:ascii="宋体" w:hAnsi="宋体" w:eastAsia="宋体" w:cs="宋体"/>
          <w:bCs/>
          <w:color w:val="auto"/>
          <w:sz w:val="24"/>
          <w:szCs w:val="24"/>
          <w:highlight w:val="none"/>
        </w:rPr>
        <w:t>清洗，</w:t>
      </w:r>
      <w:r>
        <w:rPr>
          <w:rFonts w:hint="eastAsia" w:ascii="宋体" w:hAnsi="宋体" w:eastAsia="宋体" w:cs="宋体"/>
          <w:b w:val="0"/>
          <w:bCs/>
          <w:color w:val="auto"/>
          <w:sz w:val="24"/>
          <w:szCs w:val="24"/>
          <w:highlight w:val="none"/>
        </w:rPr>
        <w:t>费用由</w:t>
      </w:r>
      <w:r>
        <w:rPr>
          <w:rFonts w:hint="eastAsia" w:ascii="宋体" w:hAnsi="宋体" w:cs="宋体"/>
          <w:b w:val="0"/>
          <w:bCs/>
          <w:color w:val="auto"/>
          <w:sz w:val="24"/>
          <w:szCs w:val="24"/>
          <w:highlight w:val="none"/>
          <w:lang w:val="en-US" w:eastAsia="zh-CN"/>
        </w:rPr>
        <w:t>投标人</w:t>
      </w:r>
      <w:r>
        <w:rPr>
          <w:rFonts w:hint="eastAsia" w:ascii="宋体" w:hAnsi="宋体" w:eastAsia="宋体" w:cs="宋体"/>
          <w:b w:val="0"/>
          <w:bCs/>
          <w:color w:val="auto"/>
          <w:sz w:val="24"/>
          <w:szCs w:val="24"/>
          <w:highlight w:val="none"/>
          <w:lang w:val="en-US" w:eastAsia="zh-CN"/>
        </w:rPr>
        <w:t>负责</w:t>
      </w:r>
      <w:r>
        <w:rPr>
          <w:rFonts w:hint="eastAsia" w:ascii="宋体" w:hAnsi="宋体" w:eastAsia="宋体" w:cs="宋体"/>
          <w:b w:val="0"/>
          <w:bCs/>
          <w:color w:val="auto"/>
          <w:sz w:val="24"/>
          <w:szCs w:val="24"/>
          <w:highlight w:val="none"/>
        </w:rPr>
        <w:t>。</w:t>
      </w:r>
    </w:p>
    <w:p w14:paraId="7D851D6A">
      <w:pPr>
        <w:keepNext w:val="0"/>
        <w:keepLines w:val="0"/>
        <w:pageBreakBefore w:val="0"/>
        <w:numPr>
          <w:ilvl w:val="0"/>
          <w:numId w:val="4"/>
        </w:numPr>
        <w:kinsoku/>
        <w:wordWrap/>
        <w:overflowPunct/>
        <w:topLinePunct w:val="0"/>
        <w:autoSpaceDE/>
        <w:autoSpaceDN/>
        <w:bidi w:val="0"/>
        <w:spacing w:beforeAutospacing="0" w:afterAutospacing="0" w:line="400" w:lineRule="exact"/>
        <w:ind w:left="17" w:leftChars="8" w:firstLine="402" w:firstLineChars="167"/>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安全防疫要求</w:t>
      </w:r>
      <w:r>
        <w:rPr>
          <w:rFonts w:ascii="仿宋_GB2312" w:hAnsi="仿宋_GB2312" w:eastAsia="仿宋_GB2312" w:cs="仿宋_GB2312"/>
          <w:b/>
          <w:color w:val="auto"/>
          <w:sz w:val="24"/>
          <w:szCs w:val="24"/>
          <w:highlight w:val="none"/>
        </w:rPr>
        <w:t>（评审项</w:t>
      </w:r>
      <w:r>
        <w:rPr>
          <w:rFonts w:hint="eastAsia" w:ascii="仿宋_GB2312" w:hAnsi="仿宋_GB2312" w:eastAsia="仿宋_GB2312" w:cs="仿宋_GB2312"/>
          <w:b/>
          <w:color w:val="auto"/>
          <w:sz w:val="24"/>
          <w:szCs w:val="24"/>
          <w:highlight w:val="none"/>
          <w:lang w:val="en-US" w:eastAsia="zh-CN"/>
        </w:rPr>
        <w:t>23</w:t>
      </w:r>
      <w:r>
        <w:rPr>
          <w:rFonts w:ascii="仿宋_GB2312" w:hAnsi="仿宋_GB2312" w:eastAsia="仿宋_GB2312" w:cs="仿宋_GB2312"/>
          <w:b/>
          <w:color w:val="auto"/>
          <w:sz w:val="24"/>
          <w:szCs w:val="24"/>
          <w:highlight w:val="none"/>
        </w:rPr>
        <w:t>）</w:t>
      </w:r>
    </w:p>
    <w:p w14:paraId="3897BAD2">
      <w:pPr>
        <w:keepNext w:val="0"/>
        <w:keepLines w:val="0"/>
        <w:pageBreakBefore w:val="0"/>
        <w:numPr>
          <w:ilvl w:val="0"/>
          <w:numId w:val="8"/>
        </w:numPr>
        <w:kinsoku/>
        <w:wordWrap/>
        <w:overflowPunct/>
        <w:topLinePunct w:val="0"/>
        <w:autoSpaceDE/>
        <w:autoSpaceDN/>
        <w:bidi w:val="0"/>
        <w:spacing w:beforeAutospacing="0" w:afterAutospacing="0" w:line="400" w:lineRule="exact"/>
        <w:ind w:left="17" w:leftChars="8" w:firstLine="400" w:firstLineChars="167"/>
        <w:textAlignment w:val="auto"/>
        <w:rPr>
          <w:rFonts w:hint="eastAsia" w:ascii="宋体" w:hAnsi="宋体" w:eastAsia="宋体" w:cs="宋体"/>
          <w:color w:val="auto"/>
          <w:sz w:val="24"/>
          <w:szCs w:val="24"/>
          <w:highlight w:val="none"/>
        </w:rPr>
      </w:pPr>
      <w:r>
        <w:rPr>
          <w:rFonts w:hint="eastAsia" w:ascii="宋体" w:hAnsi="宋体" w:eastAsia="宋体" w:cs="宋体"/>
          <w:strike w:val="0"/>
          <w:dstrike w:val="0"/>
          <w:color w:val="auto"/>
          <w:sz w:val="24"/>
          <w:szCs w:val="24"/>
          <w:highlight w:val="none"/>
        </w:rPr>
        <w:t>投标人</w:t>
      </w:r>
      <w:r>
        <w:rPr>
          <w:rFonts w:hint="eastAsia" w:ascii="宋体" w:hAnsi="宋体" w:eastAsia="宋体" w:cs="宋体"/>
          <w:bCs/>
          <w:color w:val="auto"/>
          <w:sz w:val="24"/>
          <w:szCs w:val="24"/>
          <w:highlight w:val="none"/>
        </w:rPr>
        <w:t>对食堂内的消防设备有保管</w:t>
      </w:r>
      <w:r>
        <w:rPr>
          <w:rFonts w:hint="eastAsia" w:ascii="宋体" w:hAnsi="宋体" w:eastAsia="宋体" w:cs="宋体"/>
          <w:bCs/>
          <w:color w:val="auto"/>
          <w:sz w:val="24"/>
          <w:szCs w:val="24"/>
          <w:highlight w:val="none"/>
          <w:lang w:val="en-US" w:eastAsia="zh-CN"/>
        </w:rPr>
        <w:t>巡查</w:t>
      </w:r>
      <w:r>
        <w:rPr>
          <w:rFonts w:hint="eastAsia" w:ascii="宋体" w:hAnsi="宋体" w:eastAsia="宋体" w:cs="宋体"/>
          <w:bCs/>
          <w:color w:val="auto"/>
          <w:sz w:val="24"/>
          <w:szCs w:val="24"/>
          <w:highlight w:val="none"/>
        </w:rPr>
        <w:t>的责任，不得堵塞消防通道。</w:t>
      </w:r>
    </w:p>
    <w:p w14:paraId="74E816E3">
      <w:pPr>
        <w:keepNext w:val="0"/>
        <w:keepLines w:val="0"/>
        <w:pageBreakBefore w:val="0"/>
        <w:numPr>
          <w:ilvl w:val="0"/>
          <w:numId w:val="8"/>
        </w:numPr>
        <w:kinsoku/>
        <w:wordWrap/>
        <w:overflowPunct/>
        <w:topLinePunct w:val="0"/>
        <w:autoSpaceDE/>
        <w:autoSpaceDN/>
        <w:bidi w:val="0"/>
        <w:spacing w:beforeAutospacing="0" w:afterAutospacing="0" w:line="400" w:lineRule="exact"/>
        <w:ind w:left="17" w:leftChars="8" w:firstLine="400" w:firstLineChars="167"/>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应做好食堂清洁工作，不得在餐厅内抽烟、吐痰、随地乱丢垃圾，餐厅每天每餐专人保洁，操作间、配餐室每餐进行“一小清”，每天进行“一大清”，保证地面、墙面、门窗、操作台、料车等光洁无油污</w:t>
      </w:r>
      <w:r>
        <w:rPr>
          <w:rFonts w:hint="eastAsia" w:ascii="宋体" w:hAnsi="宋体" w:eastAsia="宋体" w:cs="宋体"/>
          <w:bCs/>
          <w:color w:val="auto"/>
          <w:sz w:val="24"/>
          <w:szCs w:val="24"/>
          <w:highlight w:val="none"/>
          <w:lang w:eastAsia="zh-CN"/>
        </w:rPr>
        <w:t>。</w:t>
      </w:r>
    </w:p>
    <w:p w14:paraId="6FCA1613">
      <w:pPr>
        <w:keepNext w:val="0"/>
        <w:keepLines w:val="0"/>
        <w:pageBreakBefore w:val="0"/>
        <w:numPr>
          <w:ilvl w:val="0"/>
          <w:numId w:val="8"/>
        </w:numPr>
        <w:kinsoku/>
        <w:wordWrap/>
        <w:overflowPunct/>
        <w:topLinePunct w:val="0"/>
        <w:autoSpaceDE/>
        <w:autoSpaceDN/>
        <w:bidi w:val="0"/>
        <w:spacing w:beforeAutospacing="0" w:afterAutospacing="0" w:line="400" w:lineRule="exact"/>
        <w:ind w:left="17" w:leftChars="8" w:firstLine="400" w:firstLineChars="167"/>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储物间保持整洁，所有货物离地离墙摆放，做好各类餐具的洗涤与消毒，保持餐具干净不油腻，并做好消毒记录。</w:t>
      </w:r>
    </w:p>
    <w:p w14:paraId="4BF50C39">
      <w:pPr>
        <w:keepNext w:val="0"/>
        <w:keepLines w:val="0"/>
        <w:pageBreakBefore w:val="0"/>
        <w:numPr>
          <w:ilvl w:val="0"/>
          <w:numId w:val="8"/>
        </w:numPr>
        <w:kinsoku/>
        <w:wordWrap/>
        <w:overflowPunct/>
        <w:topLinePunct w:val="0"/>
        <w:autoSpaceDE/>
        <w:autoSpaceDN/>
        <w:bidi w:val="0"/>
        <w:spacing w:beforeAutospacing="0" w:afterAutospacing="0" w:line="400" w:lineRule="exact"/>
        <w:ind w:left="17" w:leftChars="8" w:firstLine="400" w:firstLineChars="167"/>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做好防</w:t>
      </w:r>
      <w:r>
        <w:rPr>
          <w:rFonts w:hint="eastAsia" w:ascii="宋体" w:hAnsi="宋体" w:eastAsia="宋体" w:cs="宋体"/>
          <w:b w:val="0"/>
          <w:bCs/>
          <w:color w:val="auto"/>
          <w:sz w:val="24"/>
          <w:szCs w:val="24"/>
          <w:highlight w:val="none"/>
          <w:lang w:val="en-US" w:eastAsia="zh-CN"/>
        </w:rPr>
        <w:t>蚊</w:t>
      </w:r>
      <w:r>
        <w:rPr>
          <w:rFonts w:hint="eastAsia" w:ascii="宋体" w:hAnsi="宋体" w:eastAsia="宋体" w:cs="宋体"/>
          <w:b w:val="0"/>
          <w:bCs/>
          <w:color w:val="auto"/>
          <w:sz w:val="24"/>
          <w:szCs w:val="24"/>
          <w:highlight w:val="none"/>
        </w:rPr>
        <w:t>蝇、防</w:t>
      </w:r>
      <w:r>
        <w:rPr>
          <w:rFonts w:hint="eastAsia" w:ascii="宋体" w:hAnsi="宋体" w:eastAsia="宋体" w:cs="宋体"/>
          <w:b w:val="0"/>
          <w:bCs/>
          <w:color w:val="auto"/>
          <w:sz w:val="24"/>
          <w:szCs w:val="24"/>
          <w:highlight w:val="none"/>
          <w:lang w:val="en-US" w:eastAsia="zh-CN"/>
        </w:rPr>
        <w:t>老</w:t>
      </w:r>
      <w:r>
        <w:rPr>
          <w:rFonts w:hint="eastAsia" w:ascii="宋体" w:hAnsi="宋体" w:eastAsia="宋体" w:cs="宋体"/>
          <w:b w:val="0"/>
          <w:bCs/>
          <w:color w:val="auto"/>
          <w:sz w:val="24"/>
          <w:szCs w:val="24"/>
          <w:highlight w:val="none"/>
        </w:rPr>
        <w:t>鼠、防蟑螂工作，保证下水</w:t>
      </w:r>
      <w:r>
        <w:rPr>
          <w:rFonts w:hint="eastAsia" w:ascii="宋体" w:hAnsi="宋体" w:eastAsia="宋体" w:cs="宋体"/>
          <w:b w:val="0"/>
          <w:bCs/>
          <w:color w:val="auto"/>
          <w:sz w:val="24"/>
          <w:szCs w:val="24"/>
          <w:highlight w:val="none"/>
          <w:lang w:val="en-US" w:eastAsia="zh-CN"/>
        </w:rPr>
        <w:t>道的篦子功能正常</w:t>
      </w:r>
      <w:r>
        <w:rPr>
          <w:rFonts w:hint="eastAsia" w:ascii="宋体" w:hAnsi="宋体" w:eastAsia="宋体" w:cs="宋体"/>
          <w:b w:val="0"/>
          <w:bCs/>
          <w:color w:val="auto"/>
          <w:sz w:val="24"/>
          <w:szCs w:val="24"/>
          <w:highlight w:val="none"/>
          <w:lang w:eastAsia="zh-CN"/>
        </w:rPr>
        <w:t>。</w:t>
      </w:r>
    </w:p>
    <w:p w14:paraId="0C12026C">
      <w:pPr>
        <w:keepNext w:val="0"/>
        <w:keepLines w:val="0"/>
        <w:pageBreakBefore w:val="0"/>
        <w:numPr>
          <w:ilvl w:val="0"/>
          <w:numId w:val="8"/>
        </w:numPr>
        <w:kinsoku/>
        <w:wordWrap/>
        <w:overflowPunct/>
        <w:topLinePunct w:val="0"/>
        <w:autoSpaceDE/>
        <w:autoSpaceDN/>
        <w:bidi w:val="0"/>
        <w:spacing w:beforeAutospacing="0" w:afterAutospacing="0" w:line="400" w:lineRule="exact"/>
        <w:ind w:left="17" w:leftChars="8" w:firstLine="400" w:firstLineChars="167"/>
        <w:textAlignment w:val="auto"/>
        <w:rPr>
          <w:rFonts w:hint="eastAsia" w:ascii="宋体" w:hAnsi="宋体" w:eastAsia="宋体" w:cs="宋体"/>
          <w:bCs/>
          <w:color w:val="auto"/>
          <w:sz w:val="24"/>
          <w:szCs w:val="24"/>
          <w:highlight w:val="none"/>
        </w:rPr>
      </w:pPr>
      <w:r>
        <w:rPr>
          <w:rFonts w:hint="eastAsia" w:ascii="宋体" w:hAnsi="宋体" w:eastAsia="宋体" w:cs="宋体"/>
          <w:strike w:val="0"/>
          <w:dstrike w:val="0"/>
          <w:color w:val="auto"/>
          <w:sz w:val="24"/>
          <w:szCs w:val="24"/>
          <w:highlight w:val="none"/>
        </w:rPr>
        <w:t>投标人</w:t>
      </w:r>
      <w:r>
        <w:rPr>
          <w:rFonts w:hint="eastAsia" w:ascii="宋体" w:hAnsi="宋体" w:eastAsia="宋体" w:cs="宋体"/>
          <w:bCs/>
          <w:color w:val="auto"/>
          <w:sz w:val="24"/>
          <w:szCs w:val="24"/>
          <w:highlight w:val="none"/>
        </w:rPr>
        <w:t>对食堂刀具或危害他人安全的工具须规范管理，未经营时要上锁。</w:t>
      </w:r>
    </w:p>
    <w:p w14:paraId="506483E6">
      <w:pPr>
        <w:keepNext w:val="0"/>
        <w:keepLines w:val="0"/>
        <w:pageBreakBefore w:val="0"/>
        <w:numPr>
          <w:ilvl w:val="0"/>
          <w:numId w:val="8"/>
        </w:numPr>
        <w:kinsoku/>
        <w:wordWrap/>
        <w:overflowPunct/>
        <w:topLinePunct w:val="0"/>
        <w:autoSpaceDE/>
        <w:autoSpaceDN/>
        <w:bidi w:val="0"/>
        <w:spacing w:beforeAutospacing="0" w:afterAutospacing="0" w:line="400" w:lineRule="exact"/>
        <w:ind w:left="17" w:leftChars="8" w:firstLine="400" w:firstLineChars="167"/>
        <w:textAlignment w:val="auto"/>
        <w:rPr>
          <w:rFonts w:hint="eastAsia" w:ascii="宋体" w:hAnsi="宋体" w:eastAsia="宋体" w:cs="宋体"/>
          <w:color w:val="auto"/>
          <w:sz w:val="24"/>
          <w:szCs w:val="24"/>
          <w:highlight w:val="none"/>
        </w:rPr>
      </w:pPr>
      <w:r>
        <w:rPr>
          <w:rFonts w:hint="eastAsia" w:ascii="宋体" w:hAnsi="宋体" w:eastAsia="宋体" w:cs="宋体"/>
          <w:strike w:val="0"/>
          <w:dstrike w:val="0"/>
          <w:color w:val="auto"/>
          <w:sz w:val="24"/>
          <w:szCs w:val="24"/>
          <w:highlight w:val="none"/>
        </w:rPr>
        <w:t>投标人</w:t>
      </w:r>
      <w:r>
        <w:rPr>
          <w:rFonts w:hint="eastAsia" w:ascii="宋体" w:hAnsi="宋体" w:eastAsia="宋体" w:cs="宋体"/>
          <w:bCs/>
          <w:color w:val="auto"/>
          <w:sz w:val="24"/>
          <w:szCs w:val="24"/>
          <w:highlight w:val="none"/>
        </w:rPr>
        <w:t>必须严格按照国家法律、地方法规及学院食堂管理办法的有关规定执行食品卫生安全标准。</w:t>
      </w:r>
    </w:p>
    <w:p w14:paraId="5D6FB32F">
      <w:pPr>
        <w:keepNext w:val="0"/>
        <w:keepLines w:val="0"/>
        <w:pageBreakBefore w:val="0"/>
        <w:numPr>
          <w:ilvl w:val="0"/>
          <w:numId w:val="4"/>
        </w:numPr>
        <w:kinsoku/>
        <w:wordWrap/>
        <w:overflowPunct/>
        <w:topLinePunct w:val="0"/>
        <w:autoSpaceDE/>
        <w:autoSpaceDN/>
        <w:bidi w:val="0"/>
        <w:spacing w:beforeAutospacing="0" w:afterAutospacing="0" w:line="400" w:lineRule="exact"/>
        <w:ind w:left="17" w:leftChars="8" w:firstLine="402" w:firstLineChars="167"/>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财务管理</w:t>
      </w:r>
      <w:r>
        <w:rPr>
          <w:rFonts w:ascii="仿宋_GB2312" w:hAnsi="仿宋_GB2312" w:eastAsia="仿宋_GB2312" w:cs="仿宋_GB2312"/>
          <w:b/>
          <w:color w:val="auto"/>
          <w:sz w:val="24"/>
          <w:szCs w:val="24"/>
          <w:highlight w:val="none"/>
        </w:rPr>
        <w:t>（评审项</w:t>
      </w:r>
      <w:r>
        <w:rPr>
          <w:rFonts w:hint="eastAsia" w:ascii="仿宋_GB2312" w:hAnsi="仿宋_GB2312" w:eastAsia="仿宋_GB2312" w:cs="仿宋_GB2312"/>
          <w:b/>
          <w:color w:val="auto"/>
          <w:sz w:val="24"/>
          <w:szCs w:val="24"/>
          <w:highlight w:val="none"/>
          <w:lang w:val="en-US" w:eastAsia="zh-CN"/>
        </w:rPr>
        <w:t>24</w:t>
      </w:r>
      <w:r>
        <w:rPr>
          <w:rFonts w:ascii="仿宋_GB2312" w:hAnsi="仿宋_GB2312" w:eastAsia="仿宋_GB2312" w:cs="仿宋_GB2312"/>
          <w:b/>
          <w:color w:val="auto"/>
          <w:sz w:val="24"/>
          <w:szCs w:val="24"/>
          <w:highlight w:val="none"/>
        </w:rPr>
        <w:t>）</w:t>
      </w:r>
    </w:p>
    <w:p w14:paraId="1B5CD48C">
      <w:pPr>
        <w:keepNext w:val="0"/>
        <w:keepLines w:val="0"/>
        <w:pageBreakBefore w:val="0"/>
        <w:numPr>
          <w:ilvl w:val="0"/>
          <w:numId w:val="9"/>
        </w:numPr>
        <w:kinsoku/>
        <w:wordWrap/>
        <w:overflowPunct/>
        <w:topLinePunct w:val="0"/>
        <w:autoSpaceDE/>
        <w:autoSpaceDN/>
        <w:bidi w:val="0"/>
        <w:spacing w:beforeAutospacing="0" w:afterAutospacing="0" w:line="400" w:lineRule="exact"/>
        <w:ind w:left="17" w:leftChars="8" w:firstLine="400" w:firstLineChars="167"/>
        <w:textAlignment w:val="auto"/>
        <w:rPr>
          <w:rFonts w:hint="eastAsia" w:ascii="宋体" w:hAnsi="宋体" w:eastAsia="宋体" w:cs="宋体"/>
          <w:bCs/>
          <w:color w:val="auto"/>
          <w:sz w:val="24"/>
          <w:szCs w:val="24"/>
          <w:highlight w:val="none"/>
        </w:rPr>
      </w:pPr>
      <w:r>
        <w:rPr>
          <w:rFonts w:hint="eastAsia" w:ascii="宋体" w:hAnsi="宋体" w:eastAsia="宋体" w:cs="宋体"/>
          <w:strike w:val="0"/>
          <w:dstrike w:val="0"/>
          <w:color w:val="auto"/>
          <w:sz w:val="24"/>
          <w:szCs w:val="24"/>
          <w:highlight w:val="none"/>
        </w:rPr>
        <w:t>投标人</w:t>
      </w:r>
      <w:r>
        <w:rPr>
          <w:rFonts w:hint="eastAsia" w:ascii="宋体" w:hAnsi="宋体" w:eastAsia="宋体" w:cs="宋体"/>
          <w:bCs/>
          <w:color w:val="auto"/>
          <w:sz w:val="24"/>
          <w:szCs w:val="24"/>
          <w:highlight w:val="none"/>
        </w:rPr>
        <w:t>必须按规定建立财务账目，规范财务管理并接受学校有关部门的指导与监督。</w:t>
      </w:r>
    </w:p>
    <w:p w14:paraId="45391FDC">
      <w:pPr>
        <w:keepNext w:val="0"/>
        <w:keepLines w:val="0"/>
        <w:pageBreakBefore w:val="0"/>
        <w:numPr>
          <w:ilvl w:val="0"/>
          <w:numId w:val="9"/>
        </w:numPr>
        <w:kinsoku/>
        <w:wordWrap/>
        <w:overflowPunct/>
        <w:topLinePunct w:val="0"/>
        <w:autoSpaceDE/>
        <w:autoSpaceDN/>
        <w:bidi w:val="0"/>
        <w:spacing w:beforeAutospacing="0" w:afterAutospacing="0" w:line="400" w:lineRule="exact"/>
        <w:ind w:left="17" w:leftChars="8" w:firstLine="400" w:firstLineChars="167"/>
        <w:textAlignment w:val="auto"/>
        <w:rPr>
          <w:rFonts w:hint="eastAsia" w:ascii="宋体" w:hAnsi="宋体" w:eastAsia="宋体" w:cs="宋体"/>
          <w:bCs/>
          <w:color w:val="auto"/>
          <w:sz w:val="24"/>
          <w:szCs w:val="24"/>
          <w:highlight w:val="none"/>
        </w:rPr>
      </w:pPr>
      <w:r>
        <w:rPr>
          <w:rFonts w:hint="eastAsia" w:ascii="宋体" w:hAnsi="宋体" w:eastAsia="宋体" w:cs="宋体"/>
          <w:strike w:val="0"/>
          <w:dstrike w:val="0"/>
          <w:color w:val="auto"/>
          <w:sz w:val="24"/>
          <w:szCs w:val="24"/>
          <w:highlight w:val="none"/>
        </w:rPr>
        <w:t>投标人</w:t>
      </w:r>
      <w:r>
        <w:rPr>
          <w:rFonts w:hint="eastAsia" w:ascii="宋体" w:hAnsi="宋体" w:eastAsia="宋体" w:cs="宋体"/>
          <w:color w:val="auto"/>
          <w:sz w:val="24"/>
          <w:szCs w:val="24"/>
          <w:highlight w:val="none"/>
        </w:rPr>
        <w:t>按照国家《食品安全法》的要求做好每日物资采购的电子台账。</w:t>
      </w:r>
    </w:p>
    <w:p w14:paraId="3ED5DA9F">
      <w:pPr>
        <w:keepNext w:val="0"/>
        <w:keepLines w:val="0"/>
        <w:pageBreakBefore w:val="0"/>
        <w:numPr>
          <w:ilvl w:val="0"/>
          <w:numId w:val="9"/>
        </w:numPr>
        <w:kinsoku/>
        <w:wordWrap/>
        <w:overflowPunct/>
        <w:topLinePunct w:val="0"/>
        <w:autoSpaceDE/>
        <w:autoSpaceDN/>
        <w:bidi w:val="0"/>
        <w:spacing w:beforeAutospacing="0" w:afterAutospacing="0" w:line="400" w:lineRule="exact"/>
        <w:ind w:left="17" w:leftChars="8" w:firstLine="400" w:firstLineChars="167"/>
        <w:textAlignment w:val="auto"/>
        <w:rPr>
          <w:rFonts w:hint="eastAsia" w:ascii="宋体" w:hAnsi="宋体" w:eastAsia="宋体" w:cs="宋体"/>
          <w:bCs/>
          <w:color w:val="auto"/>
          <w:sz w:val="24"/>
          <w:szCs w:val="24"/>
          <w:highlight w:val="none"/>
        </w:rPr>
      </w:pPr>
      <w:r>
        <w:rPr>
          <w:rFonts w:hint="eastAsia" w:ascii="宋体" w:hAnsi="宋体" w:eastAsia="宋体" w:cs="宋体"/>
          <w:strike w:val="0"/>
          <w:dstrike w:val="0"/>
          <w:color w:val="auto"/>
          <w:sz w:val="24"/>
          <w:szCs w:val="24"/>
          <w:highlight w:val="none"/>
        </w:rPr>
        <w:t>投标人</w:t>
      </w:r>
      <w:r>
        <w:rPr>
          <w:rFonts w:hint="eastAsia" w:ascii="宋体" w:hAnsi="宋体" w:eastAsia="宋体" w:cs="宋体"/>
          <w:color w:val="auto"/>
          <w:sz w:val="24"/>
          <w:szCs w:val="24"/>
          <w:highlight w:val="none"/>
        </w:rPr>
        <w:t>按规定每日及时做好食品和物品的出入库管理台账。配备专用出入库电脑和打印机，实时出入库。</w:t>
      </w:r>
    </w:p>
    <w:p w14:paraId="6571B0F8">
      <w:pPr>
        <w:keepNext w:val="0"/>
        <w:keepLines w:val="0"/>
        <w:pageBreakBefore w:val="0"/>
        <w:numPr>
          <w:ilvl w:val="0"/>
          <w:numId w:val="4"/>
        </w:numPr>
        <w:kinsoku/>
        <w:wordWrap/>
        <w:overflowPunct/>
        <w:topLinePunct w:val="0"/>
        <w:autoSpaceDE/>
        <w:autoSpaceDN/>
        <w:bidi w:val="0"/>
        <w:spacing w:beforeAutospacing="0" w:afterAutospacing="0" w:line="400" w:lineRule="exact"/>
        <w:ind w:left="17" w:leftChars="8" w:firstLine="402" w:firstLineChars="167"/>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管理规范</w:t>
      </w:r>
      <w:r>
        <w:rPr>
          <w:rFonts w:ascii="仿宋_GB2312" w:hAnsi="仿宋_GB2312" w:eastAsia="仿宋_GB2312" w:cs="仿宋_GB2312"/>
          <w:b/>
          <w:color w:val="auto"/>
          <w:sz w:val="24"/>
          <w:szCs w:val="24"/>
          <w:highlight w:val="none"/>
        </w:rPr>
        <w:t>（评审项</w:t>
      </w:r>
      <w:r>
        <w:rPr>
          <w:rFonts w:hint="eastAsia" w:ascii="仿宋_GB2312" w:hAnsi="仿宋_GB2312" w:eastAsia="仿宋_GB2312" w:cs="仿宋_GB2312"/>
          <w:b/>
          <w:color w:val="auto"/>
          <w:sz w:val="24"/>
          <w:szCs w:val="24"/>
          <w:highlight w:val="none"/>
          <w:lang w:val="en-US" w:eastAsia="zh-CN"/>
        </w:rPr>
        <w:t>25</w:t>
      </w:r>
      <w:r>
        <w:rPr>
          <w:rFonts w:ascii="仿宋_GB2312" w:hAnsi="仿宋_GB2312" w:eastAsia="仿宋_GB2312" w:cs="仿宋_GB2312"/>
          <w:b/>
          <w:color w:val="auto"/>
          <w:sz w:val="24"/>
          <w:szCs w:val="24"/>
          <w:highlight w:val="none"/>
        </w:rPr>
        <w:t>）</w:t>
      </w:r>
    </w:p>
    <w:p w14:paraId="042C8FBA">
      <w:pPr>
        <w:keepNext w:val="0"/>
        <w:keepLines w:val="0"/>
        <w:pageBreakBefore w:val="0"/>
        <w:numPr>
          <w:ilvl w:val="0"/>
          <w:numId w:val="10"/>
        </w:numPr>
        <w:kinsoku/>
        <w:wordWrap/>
        <w:overflowPunct/>
        <w:topLinePunct w:val="0"/>
        <w:autoSpaceDE/>
        <w:autoSpaceDN/>
        <w:bidi w:val="0"/>
        <w:spacing w:beforeAutospacing="0" w:afterAutospacing="0" w:line="400" w:lineRule="exact"/>
        <w:ind w:left="17" w:leftChars="8" w:firstLine="400" w:firstLineChars="16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按“六T”管理规范（天天处理、天天整合、天天清扫、天天规范、天天检查、天天改进）进行管理和经营，随手清理厨房卫生，实现无水化厨房。</w:t>
      </w:r>
    </w:p>
    <w:p w14:paraId="4CC62C10">
      <w:pPr>
        <w:keepNext w:val="0"/>
        <w:keepLines w:val="0"/>
        <w:pageBreakBefore w:val="0"/>
        <w:numPr>
          <w:ilvl w:val="0"/>
          <w:numId w:val="10"/>
        </w:numPr>
        <w:kinsoku/>
        <w:wordWrap/>
        <w:overflowPunct/>
        <w:topLinePunct w:val="0"/>
        <w:autoSpaceDE/>
        <w:autoSpaceDN/>
        <w:bidi w:val="0"/>
        <w:spacing w:beforeAutospacing="0" w:afterAutospacing="0" w:line="400" w:lineRule="exact"/>
        <w:ind w:left="17" w:leftChars="8" w:firstLine="400" w:firstLineChars="167"/>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按</w:t>
      </w:r>
      <w:r>
        <w:rPr>
          <w:rFonts w:hint="eastAsia" w:ascii="宋体" w:hAnsi="宋体" w:eastAsia="宋体" w:cs="宋体"/>
          <w:color w:val="auto"/>
          <w:sz w:val="24"/>
          <w:szCs w:val="24"/>
          <w:highlight w:val="none"/>
          <w:lang w:val="en-US" w:eastAsia="zh-CN"/>
        </w:rPr>
        <w:t>照</w:t>
      </w:r>
      <w:r>
        <w:rPr>
          <w:rFonts w:hint="eastAsia" w:ascii="宋体" w:hAnsi="宋体" w:eastAsia="宋体" w:cs="宋体"/>
          <w:color w:val="auto"/>
          <w:sz w:val="24"/>
          <w:szCs w:val="24"/>
          <w:highlight w:val="none"/>
        </w:rPr>
        <w:t>国家《食品安全法》的规定程序索证索票，进入食堂的物料必须</w:t>
      </w:r>
      <w:r>
        <w:rPr>
          <w:rFonts w:hint="eastAsia" w:ascii="宋体" w:hAnsi="宋体" w:eastAsia="宋体" w:cs="宋体"/>
          <w:color w:val="auto"/>
          <w:sz w:val="24"/>
          <w:szCs w:val="24"/>
          <w:highlight w:val="none"/>
          <w:lang w:val="en-US" w:eastAsia="zh-CN"/>
        </w:rPr>
        <w:t>查验</w:t>
      </w:r>
      <w:r>
        <w:rPr>
          <w:rFonts w:hint="eastAsia" w:ascii="宋体" w:hAnsi="宋体" w:eastAsia="宋体" w:cs="宋体"/>
          <w:color w:val="auto"/>
          <w:sz w:val="24"/>
          <w:szCs w:val="24"/>
          <w:highlight w:val="none"/>
        </w:rPr>
        <w:t>“三证”(营业执照、食品经营许可证、食品检验合格证)，按照有关部门的要求做好电子台账，建立档案。</w:t>
      </w:r>
    </w:p>
    <w:p w14:paraId="2C0663D8">
      <w:pPr>
        <w:keepNext w:val="0"/>
        <w:keepLines w:val="0"/>
        <w:pageBreakBefore w:val="0"/>
        <w:numPr>
          <w:ilvl w:val="0"/>
          <w:numId w:val="10"/>
        </w:numPr>
        <w:kinsoku/>
        <w:wordWrap/>
        <w:overflowPunct/>
        <w:topLinePunct w:val="0"/>
        <w:autoSpaceDE/>
        <w:autoSpaceDN/>
        <w:bidi w:val="0"/>
        <w:spacing w:beforeAutospacing="0" w:afterAutospacing="0" w:line="400" w:lineRule="exact"/>
        <w:ind w:left="17" w:leftChars="8" w:firstLine="400" w:firstLineChars="167"/>
        <w:textAlignment w:val="auto"/>
        <w:rPr>
          <w:rFonts w:hint="eastAsia" w:ascii="宋体" w:hAnsi="宋体" w:eastAsia="宋体" w:cs="宋体"/>
          <w:bCs/>
          <w:color w:val="auto"/>
          <w:sz w:val="24"/>
          <w:szCs w:val="24"/>
          <w:highlight w:val="none"/>
        </w:rPr>
      </w:pPr>
      <w:r>
        <w:rPr>
          <w:rFonts w:hint="eastAsia" w:ascii="宋体" w:hAnsi="宋体" w:eastAsia="宋体" w:cs="宋体"/>
          <w:strike w:val="0"/>
          <w:dstrike w:val="0"/>
          <w:color w:val="auto"/>
          <w:sz w:val="24"/>
          <w:szCs w:val="24"/>
          <w:highlight w:val="none"/>
        </w:rPr>
        <w:t>投标人</w:t>
      </w:r>
      <w:r>
        <w:rPr>
          <w:rFonts w:hint="eastAsia" w:ascii="宋体" w:hAnsi="宋体" w:eastAsia="宋体" w:cs="宋体"/>
          <w:bCs/>
          <w:color w:val="auto"/>
          <w:sz w:val="24"/>
          <w:szCs w:val="24"/>
          <w:highlight w:val="none"/>
        </w:rPr>
        <w:t>必须按照规定做好每种食品每日留样工作，并做好留样记录，每日食品必须指派专人留样48小时，数量不得少于125克。按月装订成册，</w:t>
      </w:r>
      <w:r>
        <w:rPr>
          <w:rFonts w:hint="eastAsia" w:ascii="宋体" w:hAnsi="宋体" w:eastAsia="宋体" w:cs="宋体"/>
          <w:color w:val="auto"/>
          <w:sz w:val="24"/>
          <w:szCs w:val="24"/>
          <w:highlight w:val="none"/>
        </w:rPr>
        <w:t>逐月</w:t>
      </w:r>
      <w:r>
        <w:rPr>
          <w:rFonts w:hint="eastAsia" w:ascii="宋体" w:hAnsi="宋体" w:eastAsia="宋体" w:cs="宋体"/>
          <w:bCs/>
          <w:color w:val="auto"/>
          <w:sz w:val="24"/>
          <w:szCs w:val="24"/>
          <w:highlight w:val="none"/>
        </w:rPr>
        <w:t>交</w:t>
      </w:r>
      <w:r>
        <w:rPr>
          <w:rFonts w:hint="eastAsia" w:ascii="宋体" w:hAnsi="宋体" w:cs="宋体"/>
          <w:bCs/>
          <w:color w:val="auto"/>
          <w:sz w:val="24"/>
          <w:szCs w:val="24"/>
          <w:highlight w:val="none"/>
          <w:lang w:eastAsia="zh-CN"/>
        </w:rPr>
        <w:t>采购人</w:t>
      </w:r>
      <w:r>
        <w:rPr>
          <w:rFonts w:hint="eastAsia" w:ascii="宋体" w:hAnsi="宋体" w:eastAsia="宋体" w:cs="宋体"/>
          <w:bCs/>
          <w:color w:val="auto"/>
          <w:sz w:val="24"/>
          <w:szCs w:val="24"/>
          <w:highlight w:val="none"/>
        </w:rPr>
        <w:t>后勤管理处留底备案。</w:t>
      </w:r>
    </w:p>
    <w:p w14:paraId="0A86A50A">
      <w:pPr>
        <w:keepNext w:val="0"/>
        <w:keepLines w:val="0"/>
        <w:pageBreakBefore w:val="0"/>
        <w:numPr>
          <w:ilvl w:val="0"/>
          <w:numId w:val="10"/>
        </w:numPr>
        <w:kinsoku/>
        <w:wordWrap/>
        <w:overflowPunct/>
        <w:topLinePunct w:val="0"/>
        <w:autoSpaceDE/>
        <w:autoSpaceDN/>
        <w:bidi w:val="0"/>
        <w:spacing w:beforeAutospacing="0" w:afterAutospacing="0" w:line="400" w:lineRule="exact"/>
        <w:ind w:left="17" w:leftChars="8" w:firstLine="400" w:firstLineChars="167"/>
        <w:textAlignment w:val="auto"/>
        <w:rPr>
          <w:rFonts w:hint="eastAsia" w:ascii="宋体" w:hAnsi="宋体" w:eastAsia="宋体" w:cs="宋体"/>
          <w:color w:val="auto"/>
          <w:sz w:val="24"/>
          <w:szCs w:val="24"/>
          <w:highlight w:val="none"/>
        </w:rPr>
      </w:pPr>
      <w:r>
        <w:rPr>
          <w:rFonts w:hint="eastAsia" w:ascii="宋体" w:hAnsi="宋体" w:eastAsia="宋体" w:cs="宋体"/>
          <w:strike w:val="0"/>
          <w:dstrike w:val="0"/>
          <w:color w:val="auto"/>
          <w:sz w:val="24"/>
          <w:szCs w:val="24"/>
          <w:highlight w:val="none"/>
        </w:rPr>
        <w:t>投标人</w:t>
      </w:r>
      <w:r>
        <w:rPr>
          <w:rFonts w:hint="eastAsia" w:ascii="宋体" w:hAnsi="宋体" w:eastAsia="宋体" w:cs="宋体"/>
          <w:color w:val="auto"/>
          <w:sz w:val="24"/>
          <w:szCs w:val="24"/>
          <w:highlight w:val="none"/>
          <w:lang w:val="en-US" w:eastAsia="zh-CN"/>
        </w:rPr>
        <w:t>必须严格执行学院</w:t>
      </w:r>
      <w:r>
        <w:rPr>
          <w:rFonts w:hint="eastAsia" w:ascii="宋体" w:hAnsi="宋体" w:eastAsia="宋体" w:cs="宋体"/>
          <w:color w:val="auto"/>
          <w:sz w:val="24"/>
          <w:szCs w:val="24"/>
          <w:highlight w:val="none"/>
        </w:rPr>
        <w:t>食堂的各项规章制度。</w:t>
      </w:r>
    </w:p>
    <w:p w14:paraId="39BA4E2A">
      <w:pPr>
        <w:keepNext w:val="0"/>
        <w:keepLines w:val="0"/>
        <w:pageBreakBefore w:val="0"/>
        <w:numPr>
          <w:ilvl w:val="0"/>
          <w:numId w:val="4"/>
        </w:numPr>
        <w:kinsoku/>
        <w:wordWrap/>
        <w:overflowPunct/>
        <w:topLinePunct w:val="0"/>
        <w:autoSpaceDE/>
        <w:autoSpaceDN/>
        <w:bidi w:val="0"/>
        <w:spacing w:beforeAutospacing="0" w:afterAutospacing="0" w:line="400" w:lineRule="exact"/>
        <w:ind w:left="17" w:leftChars="8" w:firstLine="400" w:firstLineChars="167"/>
        <w:textAlignment w:val="auto"/>
        <w:rPr>
          <w:rFonts w:hint="eastAsia" w:ascii="宋体" w:hAnsi="宋体" w:eastAsia="宋体" w:cs="宋体"/>
          <w:b/>
          <w:color w:val="auto"/>
          <w:sz w:val="24"/>
          <w:szCs w:val="24"/>
          <w:highlight w:val="none"/>
        </w:rPr>
      </w:pPr>
      <w:r>
        <w:rPr>
          <w:rFonts w:ascii="宋体" w:hAnsi="宋体" w:eastAsia="宋体" w:cs="宋体"/>
          <w:color w:val="auto"/>
          <w:sz w:val="24"/>
          <w:szCs w:val="24"/>
          <w:highlight w:val="none"/>
        </w:rPr>
        <w:t>★</w:t>
      </w:r>
      <w:r>
        <w:rPr>
          <w:rFonts w:hint="eastAsia" w:ascii="宋体" w:hAnsi="宋体" w:eastAsia="宋体" w:cs="宋体"/>
          <w:b/>
          <w:color w:val="auto"/>
          <w:sz w:val="24"/>
          <w:szCs w:val="24"/>
          <w:highlight w:val="none"/>
        </w:rPr>
        <w:t>其它事项</w:t>
      </w:r>
    </w:p>
    <w:p w14:paraId="58F0FD48">
      <w:pPr>
        <w:keepNext w:val="0"/>
        <w:keepLines w:val="0"/>
        <w:pageBreakBefore w:val="0"/>
        <w:numPr>
          <w:ilvl w:val="0"/>
          <w:numId w:val="11"/>
        </w:numPr>
        <w:kinsoku/>
        <w:wordWrap/>
        <w:overflowPunct/>
        <w:topLinePunct w:val="0"/>
        <w:autoSpaceDE/>
        <w:autoSpaceDN/>
        <w:bidi w:val="0"/>
        <w:spacing w:beforeAutospacing="0" w:afterAutospacing="0" w:line="400" w:lineRule="exact"/>
        <w:ind w:left="17" w:leftChars="8" w:firstLine="400" w:firstLineChars="16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工作时间和开</w:t>
      </w:r>
      <w:r>
        <w:rPr>
          <w:rFonts w:hint="eastAsia" w:ascii="宋体" w:hAnsi="宋体" w:eastAsia="宋体" w:cs="宋体"/>
          <w:color w:val="auto"/>
          <w:sz w:val="24"/>
          <w:szCs w:val="24"/>
          <w:highlight w:val="none"/>
          <w:lang w:val="en-US" w:eastAsia="zh-CN"/>
        </w:rPr>
        <w:t>餐</w:t>
      </w:r>
      <w:r>
        <w:rPr>
          <w:rFonts w:hint="eastAsia" w:ascii="宋体" w:hAnsi="宋体" w:eastAsia="宋体" w:cs="宋体"/>
          <w:color w:val="auto"/>
          <w:sz w:val="24"/>
          <w:szCs w:val="24"/>
          <w:highlight w:val="none"/>
        </w:rPr>
        <w:t>时间按照</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要求执行</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根据需要可调整）</w:t>
      </w:r>
    </w:p>
    <w:p w14:paraId="63F0D58B">
      <w:pPr>
        <w:keepNext w:val="0"/>
        <w:keepLines w:val="0"/>
        <w:pageBreakBefore w:val="0"/>
        <w:kinsoku/>
        <w:wordWrap/>
        <w:overflowPunct/>
        <w:topLinePunct w:val="0"/>
        <w:autoSpaceDE/>
        <w:autoSpaceDN/>
        <w:bidi w:val="0"/>
        <w:spacing w:beforeAutospacing="0" w:afterAutospacing="0" w:line="400" w:lineRule="exact"/>
        <w:ind w:left="17" w:leftChars="8" w:firstLine="400" w:firstLineChars="167"/>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工作时间：</w:t>
      </w:r>
    </w:p>
    <w:p w14:paraId="2B0189B9">
      <w:pPr>
        <w:keepNext w:val="0"/>
        <w:keepLines w:val="0"/>
        <w:pageBreakBefore w:val="0"/>
        <w:kinsoku/>
        <w:wordWrap/>
        <w:overflowPunct/>
        <w:topLinePunct w:val="0"/>
        <w:autoSpaceDE/>
        <w:autoSpaceDN/>
        <w:bidi w:val="0"/>
        <w:spacing w:beforeAutospacing="0" w:afterAutospacing="0" w:line="400" w:lineRule="exact"/>
        <w:ind w:left="17" w:leftChars="8" w:firstLine="400" w:firstLineChars="167"/>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冬季6:00-13:</w:t>
      </w:r>
      <w:r>
        <w:rPr>
          <w:rFonts w:hint="eastAsia" w:ascii="宋体" w:hAnsi="宋体" w:eastAsia="宋体" w:cs="宋体"/>
          <w:bCs/>
          <w:color w:val="auto"/>
          <w:sz w:val="24"/>
          <w:szCs w:val="24"/>
          <w:highlight w:val="none"/>
          <w:lang w:val="en-US" w:eastAsia="zh-CN"/>
        </w:rPr>
        <w:t>0</w:t>
      </w:r>
      <w:r>
        <w:rPr>
          <w:rFonts w:hint="eastAsia" w:ascii="宋体" w:hAnsi="宋体" w:eastAsia="宋体" w:cs="宋体"/>
          <w:bCs/>
          <w:color w:val="auto"/>
          <w:sz w:val="24"/>
          <w:szCs w:val="24"/>
          <w:highlight w:val="none"/>
        </w:rPr>
        <w:t>0；15:</w:t>
      </w:r>
      <w:r>
        <w:rPr>
          <w:rFonts w:hint="eastAsia" w:ascii="宋体" w:hAnsi="宋体" w:eastAsia="宋体" w:cs="宋体"/>
          <w:bCs/>
          <w:color w:val="auto"/>
          <w:sz w:val="24"/>
          <w:szCs w:val="24"/>
          <w:highlight w:val="none"/>
          <w:lang w:val="en-US" w:eastAsia="zh-CN"/>
        </w:rPr>
        <w:t>30</w:t>
      </w:r>
      <w:r>
        <w:rPr>
          <w:rFonts w:hint="eastAsia" w:ascii="宋体" w:hAnsi="宋体" w:eastAsia="宋体" w:cs="宋体"/>
          <w:bCs/>
          <w:color w:val="auto"/>
          <w:sz w:val="24"/>
          <w:szCs w:val="24"/>
          <w:highlight w:val="none"/>
        </w:rPr>
        <w:t>—19:00</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夏季</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0-13:</w:t>
      </w:r>
      <w:r>
        <w:rPr>
          <w:rFonts w:hint="eastAsia" w:ascii="宋体" w:hAnsi="宋体" w:eastAsia="宋体" w:cs="宋体"/>
          <w:bCs/>
          <w:color w:val="auto"/>
          <w:sz w:val="24"/>
          <w:szCs w:val="24"/>
          <w:highlight w:val="none"/>
          <w:lang w:val="en-US" w:eastAsia="zh-CN"/>
        </w:rPr>
        <w:t>0</w:t>
      </w:r>
      <w:r>
        <w:rPr>
          <w:rFonts w:hint="eastAsia" w:ascii="宋体" w:hAnsi="宋体" w:eastAsia="宋体" w:cs="宋体"/>
          <w:bCs/>
          <w:color w:val="auto"/>
          <w:sz w:val="24"/>
          <w:szCs w:val="24"/>
          <w:highlight w:val="none"/>
        </w:rPr>
        <w:t>0；1</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0—19:30。</w:t>
      </w:r>
    </w:p>
    <w:p w14:paraId="1C81B2DC">
      <w:pPr>
        <w:keepNext w:val="0"/>
        <w:keepLines w:val="0"/>
        <w:pageBreakBefore w:val="0"/>
        <w:kinsoku/>
        <w:wordWrap/>
        <w:overflowPunct/>
        <w:topLinePunct w:val="0"/>
        <w:autoSpaceDE/>
        <w:autoSpaceDN/>
        <w:bidi w:val="0"/>
        <w:spacing w:beforeAutospacing="0" w:afterAutospacing="0" w:line="400" w:lineRule="exact"/>
        <w:ind w:left="17" w:leftChars="8" w:firstLine="400" w:firstLineChars="167"/>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开餐时间：</w:t>
      </w:r>
    </w:p>
    <w:p w14:paraId="1F0939BB">
      <w:pPr>
        <w:keepNext w:val="0"/>
        <w:keepLines w:val="0"/>
        <w:pageBreakBefore w:val="0"/>
        <w:kinsoku/>
        <w:wordWrap/>
        <w:overflowPunct/>
        <w:topLinePunct w:val="0"/>
        <w:autoSpaceDE/>
        <w:autoSpaceDN/>
        <w:bidi w:val="0"/>
        <w:spacing w:beforeAutospacing="0" w:afterAutospacing="0" w:line="400" w:lineRule="exact"/>
        <w:ind w:left="17" w:leftChars="8" w:firstLine="400" w:firstLineChars="167"/>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早餐6:30—9:00</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午餐10:</w:t>
      </w:r>
      <w:r>
        <w:rPr>
          <w:rFonts w:hint="eastAsia" w:ascii="宋体" w:hAnsi="宋体" w:cs="宋体"/>
          <w:bCs/>
          <w:color w:val="auto"/>
          <w:sz w:val="24"/>
          <w:szCs w:val="24"/>
          <w:highlight w:val="none"/>
          <w:lang w:val="en-US" w:eastAsia="zh-CN"/>
        </w:rPr>
        <w:t>0</w:t>
      </w:r>
      <w:r>
        <w:rPr>
          <w:rFonts w:hint="eastAsia" w:ascii="宋体" w:hAnsi="宋体" w:eastAsia="宋体" w:cs="宋体"/>
          <w:bCs/>
          <w:color w:val="auto"/>
          <w:sz w:val="24"/>
          <w:szCs w:val="24"/>
          <w:highlight w:val="none"/>
        </w:rPr>
        <w:t>0—13:</w:t>
      </w:r>
      <w:r>
        <w:rPr>
          <w:rFonts w:hint="eastAsia" w:ascii="宋体" w:hAnsi="宋体" w:cs="宋体"/>
          <w:bCs/>
          <w:color w:val="auto"/>
          <w:sz w:val="24"/>
          <w:szCs w:val="24"/>
          <w:highlight w:val="none"/>
          <w:lang w:val="en-US" w:eastAsia="zh-CN"/>
        </w:rPr>
        <w:t>0</w:t>
      </w:r>
      <w:r>
        <w:rPr>
          <w:rFonts w:hint="eastAsia" w:ascii="宋体" w:hAnsi="宋体" w:eastAsia="宋体" w:cs="宋体"/>
          <w:bCs/>
          <w:color w:val="auto"/>
          <w:sz w:val="24"/>
          <w:szCs w:val="24"/>
          <w:highlight w:val="none"/>
        </w:rPr>
        <w:t>0</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晚餐16:30—19:30。</w:t>
      </w:r>
    </w:p>
    <w:p w14:paraId="6C999DBC">
      <w:pPr>
        <w:keepNext w:val="0"/>
        <w:keepLines w:val="0"/>
        <w:pageBreakBefore w:val="0"/>
        <w:numPr>
          <w:ilvl w:val="0"/>
          <w:numId w:val="11"/>
        </w:numPr>
        <w:kinsoku/>
        <w:wordWrap/>
        <w:overflowPunct/>
        <w:topLinePunct w:val="0"/>
        <w:autoSpaceDE/>
        <w:autoSpaceDN/>
        <w:bidi w:val="0"/>
        <w:spacing w:beforeAutospacing="0" w:afterAutospacing="0" w:line="400" w:lineRule="exact"/>
        <w:ind w:left="17" w:leftChars="8" w:firstLine="400" w:firstLineChars="167"/>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员工排班最迟上班时间为早上6:</w:t>
      </w:r>
      <w:r>
        <w:rPr>
          <w:rFonts w:hint="eastAsia" w:ascii="宋体" w:hAnsi="宋体" w:eastAsia="宋体" w:cs="宋体"/>
          <w:bCs/>
          <w:color w:val="auto"/>
          <w:sz w:val="24"/>
          <w:szCs w:val="24"/>
          <w:highlight w:val="none"/>
          <w:lang w:val="en-US" w:eastAsia="zh-CN"/>
        </w:rPr>
        <w:t>0</w:t>
      </w:r>
      <w:r>
        <w:rPr>
          <w:rFonts w:hint="eastAsia" w:ascii="宋体" w:hAnsi="宋体" w:eastAsia="宋体" w:cs="宋体"/>
          <w:bCs/>
          <w:color w:val="auto"/>
          <w:sz w:val="24"/>
          <w:szCs w:val="24"/>
          <w:highlight w:val="none"/>
        </w:rPr>
        <w:t>0（冬季6:</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rPr>
        <w:t>0），下午15:30（周末及各种假日可以视情况推迟上班时间，最多顺延30分钟）。</w:t>
      </w:r>
    </w:p>
    <w:p w14:paraId="7A054C55">
      <w:pPr>
        <w:keepNext w:val="0"/>
        <w:keepLines w:val="0"/>
        <w:pageBreakBefore w:val="0"/>
        <w:numPr>
          <w:ilvl w:val="0"/>
          <w:numId w:val="11"/>
        </w:numPr>
        <w:kinsoku/>
        <w:wordWrap/>
        <w:overflowPunct/>
        <w:topLinePunct w:val="0"/>
        <w:autoSpaceDE/>
        <w:autoSpaceDN/>
        <w:bidi w:val="0"/>
        <w:spacing w:beforeAutospacing="0" w:afterAutospacing="0" w:line="400" w:lineRule="exact"/>
        <w:ind w:left="17" w:leftChars="8" w:firstLine="400" w:firstLineChars="167"/>
        <w:textAlignment w:val="auto"/>
        <w:rPr>
          <w:rFonts w:hint="eastAsia" w:ascii="宋体" w:hAnsi="宋体" w:eastAsia="宋体" w:cs="宋体"/>
          <w:bCs/>
          <w:color w:val="auto"/>
          <w:sz w:val="24"/>
          <w:szCs w:val="24"/>
          <w:highlight w:val="none"/>
        </w:rPr>
      </w:pPr>
      <w:r>
        <w:rPr>
          <w:rFonts w:hint="eastAsia" w:ascii="宋体" w:hAnsi="宋体" w:eastAsia="宋体" w:cs="宋体"/>
          <w:strike w:val="0"/>
          <w:dstrike w:val="0"/>
          <w:color w:val="auto"/>
          <w:sz w:val="24"/>
          <w:szCs w:val="24"/>
          <w:highlight w:val="none"/>
        </w:rPr>
        <w:t>投标人</w:t>
      </w:r>
      <w:r>
        <w:rPr>
          <w:rFonts w:hint="eastAsia" w:ascii="宋体" w:hAnsi="宋体" w:eastAsia="宋体" w:cs="宋体"/>
          <w:bCs/>
          <w:color w:val="auto"/>
          <w:sz w:val="24"/>
          <w:szCs w:val="24"/>
          <w:highlight w:val="none"/>
        </w:rPr>
        <w:t>日常工作按照《餐饮服务食品安全操作规范》、《学校食品安全与营养健康管理规定》</w:t>
      </w:r>
      <w:r>
        <w:rPr>
          <w:rFonts w:hint="eastAsia" w:ascii="宋体" w:hAnsi="宋体" w:eastAsia="宋体" w:cs="宋体"/>
          <w:bCs/>
          <w:color w:val="auto"/>
          <w:sz w:val="24"/>
          <w:szCs w:val="24"/>
          <w:highlight w:val="none"/>
          <w:lang w:val="en-US" w:eastAsia="zh-CN"/>
        </w:rPr>
        <w:t>标准执行。</w:t>
      </w:r>
    </w:p>
    <w:p w14:paraId="582189B2">
      <w:pPr>
        <w:keepNext w:val="0"/>
        <w:keepLines w:val="0"/>
        <w:pageBreakBefore w:val="0"/>
        <w:numPr>
          <w:ilvl w:val="0"/>
          <w:numId w:val="11"/>
        </w:numPr>
        <w:kinsoku/>
        <w:wordWrap/>
        <w:overflowPunct/>
        <w:topLinePunct w:val="0"/>
        <w:autoSpaceDE/>
        <w:autoSpaceDN/>
        <w:bidi w:val="0"/>
        <w:spacing w:beforeAutospacing="0" w:afterAutospacing="0" w:line="400" w:lineRule="exact"/>
        <w:ind w:left="17" w:leftChars="8" w:firstLine="400" w:firstLineChars="167"/>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采购人</w:t>
      </w:r>
      <w:r>
        <w:rPr>
          <w:rFonts w:hint="eastAsia" w:ascii="宋体" w:hAnsi="宋体" w:eastAsia="宋体" w:cs="宋体"/>
          <w:bCs/>
          <w:color w:val="auto"/>
          <w:sz w:val="24"/>
          <w:szCs w:val="24"/>
          <w:highlight w:val="none"/>
          <w:lang w:val="en-US" w:eastAsia="zh-CN"/>
        </w:rPr>
        <w:t>依据《食品安全法》，按照</w:t>
      </w:r>
      <w:r>
        <w:rPr>
          <w:rFonts w:hint="eastAsia" w:ascii="宋体" w:hAnsi="宋体" w:eastAsia="宋体" w:cs="宋体"/>
          <w:bCs/>
          <w:color w:val="auto"/>
          <w:sz w:val="24"/>
          <w:szCs w:val="24"/>
          <w:highlight w:val="none"/>
        </w:rPr>
        <w:t>《餐饮服务食品安全操作规范》</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en-US" w:eastAsia="zh-CN"/>
        </w:rPr>
        <w:t>湄洲湾职业技术学院</w:t>
      </w:r>
      <w:r>
        <w:rPr>
          <w:rFonts w:hint="eastAsia" w:ascii="宋体" w:hAnsi="宋体" w:eastAsia="宋体" w:cs="宋体"/>
          <w:bCs/>
          <w:color w:val="auto"/>
          <w:sz w:val="24"/>
          <w:szCs w:val="24"/>
          <w:highlight w:val="none"/>
          <w:lang w:val="en-US" w:eastAsia="zh-CN"/>
        </w:rPr>
        <w:t>餐厅</w:t>
      </w:r>
      <w:r>
        <w:rPr>
          <w:rFonts w:hint="eastAsia" w:ascii="宋体" w:hAnsi="宋体" w:eastAsia="宋体" w:cs="宋体"/>
          <w:bCs/>
          <w:color w:val="auto"/>
          <w:sz w:val="24"/>
          <w:szCs w:val="24"/>
          <w:highlight w:val="none"/>
        </w:rPr>
        <w:t>日常</w:t>
      </w:r>
      <w:r>
        <w:rPr>
          <w:rFonts w:hint="eastAsia" w:ascii="宋体" w:hAnsi="宋体" w:eastAsia="宋体" w:cs="宋体"/>
          <w:bCs/>
          <w:color w:val="auto"/>
          <w:sz w:val="24"/>
          <w:szCs w:val="24"/>
          <w:highlight w:val="none"/>
          <w:lang w:val="en-US" w:eastAsia="zh-CN"/>
        </w:rPr>
        <w:t>监督</w:t>
      </w:r>
      <w:r>
        <w:rPr>
          <w:rFonts w:hint="eastAsia" w:ascii="宋体" w:hAnsi="宋体" w:eastAsia="宋体" w:cs="宋体"/>
          <w:bCs/>
          <w:color w:val="auto"/>
          <w:sz w:val="24"/>
          <w:szCs w:val="24"/>
          <w:highlight w:val="none"/>
        </w:rPr>
        <w:t>检查量化考核评分</w:t>
      </w:r>
      <w:r>
        <w:rPr>
          <w:rFonts w:hint="eastAsia" w:ascii="宋体" w:hAnsi="宋体" w:eastAsia="宋体" w:cs="宋体"/>
          <w:bCs/>
          <w:color w:val="auto"/>
          <w:sz w:val="24"/>
          <w:szCs w:val="24"/>
          <w:highlight w:val="none"/>
          <w:lang w:eastAsia="zh-CN"/>
        </w:rPr>
        <w:t>》</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附件1）</w:t>
      </w:r>
      <w:r>
        <w:rPr>
          <w:rFonts w:hint="eastAsia" w:ascii="宋体" w:hAnsi="宋体" w:eastAsia="宋体" w:cs="宋体"/>
          <w:bCs/>
          <w:color w:val="auto"/>
          <w:sz w:val="24"/>
          <w:szCs w:val="24"/>
          <w:highlight w:val="none"/>
          <w:lang w:val="en-US" w:eastAsia="zh-CN"/>
        </w:rPr>
        <w:t>和《</w:t>
      </w:r>
      <w:r>
        <w:rPr>
          <w:rFonts w:hint="eastAsia" w:ascii="宋体" w:hAnsi="宋体" w:cs="宋体"/>
          <w:bCs/>
          <w:color w:val="auto"/>
          <w:sz w:val="24"/>
          <w:szCs w:val="24"/>
          <w:highlight w:val="none"/>
          <w:lang w:val="en-US" w:eastAsia="zh-CN"/>
        </w:rPr>
        <w:t>湄洲湾职业技术学院</w:t>
      </w:r>
      <w:r>
        <w:rPr>
          <w:rFonts w:hint="eastAsia" w:ascii="宋体" w:hAnsi="宋体" w:eastAsia="宋体" w:cs="宋体"/>
          <w:bCs/>
          <w:color w:val="auto"/>
          <w:sz w:val="24"/>
          <w:szCs w:val="24"/>
          <w:highlight w:val="none"/>
          <w:lang w:val="en-US" w:eastAsia="zh-CN"/>
        </w:rPr>
        <w:t>学生餐厅服务团队负面清单》</w:t>
      </w:r>
      <w:r>
        <w:rPr>
          <w:rFonts w:hint="eastAsia" w:ascii="宋体" w:hAnsi="宋体" w:cs="宋体"/>
          <w:bCs/>
          <w:color w:val="auto"/>
          <w:sz w:val="24"/>
          <w:szCs w:val="24"/>
          <w:highlight w:val="none"/>
          <w:lang w:val="en-US" w:eastAsia="zh-CN"/>
        </w:rPr>
        <w:t>（附件2）</w:t>
      </w:r>
      <w:r>
        <w:rPr>
          <w:rFonts w:hint="eastAsia" w:ascii="宋体" w:hAnsi="宋体" w:eastAsia="宋体" w:cs="宋体"/>
          <w:bCs/>
          <w:color w:val="auto"/>
          <w:sz w:val="24"/>
          <w:szCs w:val="24"/>
          <w:highlight w:val="none"/>
          <w:lang w:val="en-US" w:eastAsia="zh-CN"/>
        </w:rPr>
        <w:t>等进行管理和处罚。</w:t>
      </w:r>
    </w:p>
    <w:p w14:paraId="429532CE">
      <w:pPr>
        <w:keepNext w:val="0"/>
        <w:keepLines w:val="0"/>
        <w:pageBreakBefore w:val="0"/>
        <w:numPr>
          <w:ilvl w:val="0"/>
          <w:numId w:val="11"/>
        </w:numPr>
        <w:kinsoku/>
        <w:wordWrap/>
        <w:overflowPunct/>
        <w:topLinePunct w:val="0"/>
        <w:autoSpaceDE/>
        <w:autoSpaceDN/>
        <w:bidi w:val="0"/>
        <w:spacing w:beforeAutospacing="0" w:afterAutospacing="0" w:line="400" w:lineRule="exact"/>
        <w:ind w:left="17" w:leftChars="8" w:firstLine="400" w:firstLineChars="167"/>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配合做好</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有关食堂管理的其他事宜，全员无条件接受</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规定的上班时间安排。</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根据需要发出上班时间调整要求，</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无法响应的视为违约</w:t>
      </w:r>
      <w:r>
        <w:rPr>
          <w:rFonts w:hint="eastAsia" w:ascii="宋体" w:hAnsi="宋体" w:eastAsia="宋体" w:cs="宋体"/>
          <w:bCs/>
          <w:color w:val="auto"/>
          <w:sz w:val="24"/>
          <w:szCs w:val="24"/>
          <w:highlight w:val="none"/>
          <w:lang w:val="en-US" w:eastAsia="zh-CN"/>
        </w:rPr>
        <w:t>。</w:t>
      </w:r>
    </w:p>
    <w:p w14:paraId="6DF23834">
      <w:pPr>
        <w:keepNext w:val="0"/>
        <w:keepLines w:val="0"/>
        <w:pageBreakBefore w:val="0"/>
        <w:numPr>
          <w:ilvl w:val="0"/>
          <w:numId w:val="11"/>
        </w:numPr>
        <w:kinsoku/>
        <w:wordWrap/>
        <w:overflowPunct/>
        <w:topLinePunct w:val="0"/>
        <w:autoSpaceDE/>
        <w:autoSpaceDN/>
        <w:bidi w:val="0"/>
        <w:spacing w:beforeAutospacing="0" w:afterAutospacing="0" w:line="400" w:lineRule="exact"/>
        <w:ind w:left="17" w:leftChars="8" w:firstLine="400" w:firstLineChars="167"/>
        <w:textAlignment w:val="auto"/>
        <w:rPr>
          <w:rFonts w:hint="eastAsia" w:ascii="宋体" w:hAnsi="宋体" w:eastAsia="宋体" w:cs="宋体"/>
          <w:b w:val="0"/>
          <w:bCs/>
          <w:color w:val="auto"/>
          <w:sz w:val="24"/>
          <w:szCs w:val="24"/>
          <w:highlight w:val="none"/>
          <w:u w:val="none"/>
        </w:rPr>
      </w:pPr>
      <w:r>
        <w:rPr>
          <w:rFonts w:hint="eastAsia" w:ascii="宋体" w:hAnsi="宋体" w:eastAsia="宋体" w:cs="宋体"/>
          <w:bCs/>
          <w:color w:val="auto"/>
          <w:sz w:val="24"/>
          <w:szCs w:val="24"/>
          <w:highlight w:val="none"/>
          <w:u w:val="none"/>
        </w:rPr>
        <w:t>食堂工作人员按学校校历表，每学期开学前要求提前3天全员到岗（计入考勤）。</w:t>
      </w:r>
      <w:r>
        <w:rPr>
          <w:rFonts w:hint="eastAsia" w:ascii="宋体" w:hAnsi="宋体" w:eastAsia="宋体" w:cs="宋体"/>
          <w:b w:val="0"/>
          <w:bCs/>
          <w:color w:val="auto"/>
          <w:sz w:val="24"/>
          <w:szCs w:val="24"/>
          <w:highlight w:val="none"/>
          <w:u w:val="none"/>
        </w:rPr>
        <w:t>特殊情况下</w:t>
      </w:r>
      <w:r>
        <w:rPr>
          <w:rFonts w:hint="eastAsia" w:ascii="宋体" w:hAnsi="宋体" w:eastAsia="宋体" w:cs="宋体"/>
          <w:b w:val="0"/>
          <w:bCs/>
          <w:color w:val="auto"/>
          <w:sz w:val="24"/>
          <w:szCs w:val="24"/>
          <w:highlight w:val="none"/>
          <w:u w:val="none"/>
          <w:lang w:eastAsia="zh-CN"/>
        </w:rPr>
        <w:t>（</w:t>
      </w:r>
      <w:r>
        <w:rPr>
          <w:rFonts w:hint="eastAsia" w:ascii="宋体" w:hAnsi="宋体" w:eastAsia="宋体" w:cs="宋体"/>
          <w:b w:val="0"/>
          <w:bCs/>
          <w:color w:val="auto"/>
          <w:sz w:val="24"/>
          <w:szCs w:val="24"/>
          <w:highlight w:val="none"/>
          <w:u w:val="none"/>
          <w:lang w:val="en-US" w:eastAsia="zh-CN"/>
        </w:rPr>
        <w:t>如教学计划改变提前开学等）</w:t>
      </w:r>
      <w:r>
        <w:rPr>
          <w:rFonts w:hint="eastAsia" w:ascii="宋体" w:hAnsi="宋体" w:eastAsia="宋体" w:cs="宋体"/>
          <w:b w:val="0"/>
          <w:bCs/>
          <w:color w:val="auto"/>
          <w:sz w:val="24"/>
          <w:szCs w:val="24"/>
          <w:highlight w:val="none"/>
          <w:u w:val="none"/>
        </w:rPr>
        <w:t>，学院要求学生提前返校上课的，根据实际情况进行考勤。</w:t>
      </w:r>
    </w:p>
    <w:p w14:paraId="7FA44DCA">
      <w:pPr>
        <w:keepNext w:val="0"/>
        <w:keepLines w:val="0"/>
        <w:pageBreakBefore w:val="0"/>
        <w:numPr>
          <w:ilvl w:val="0"/>
          <w:numId w:val="11"/>
        </w:numPr>
        <w:kinsoku/>
        <w:wordWrap/>
        <w:overflowPunct/>
        <w:topLinePunct w:val="0"/>
        <w:autoSpaceDE/>
        <w:autoSpaceDN/>
        <w:bidi w:val="0"/>
        <w:spacing w:beforeAutospacing="0" w:afterAutospacing="0" w:line="400" w:lineRule="exact"/>
        <w:ind w:left="17" w:leftChars="8" w:firstLine="400" w:firstLineChars="167"/>
        <w:textAlignment w:val="auto"/>
        <w:rPr>
          <w:rFonts w:hint="eastAsia" w:ascii="宋体" w:hAnsi="宋体" w:cs="宋体"/>
          <w:b/>
          <w:bCs/>
          <w:color w:val="auto"/>
          <w:sz w:val="24"/>
          <w:szCs w:val="24"/>
          <w:highlight w:val="none"/>
        </w:rPr>
      </w:pPr>
      <w:r>
        <w:rPr>
          <w:rFonts w:hint="eastAsia" w:ascii="宋体" w:hAnsi="宋体" w:eastAsia="宋体" w:cs="宋体"/>
          <w:bCs/>
          <w:color w:val="auto"/>
          <w:sz w:val="24"/>
          <w:szCs w:val="24"/>
          <w:highlight w:val="none"/>
        </w:rPr>
        <w:t>早餐员工在正常工作时间外提早上班为专项补贴，根据上班时间由</w:t>
      </w:r>
      <w:r>
        <w:rPr>
          <w:rFonts w:hint="eastAsia" w:ascii="宋体" w:hAnsi="宋体" w:eastAsia="宋体" w:cs="宋体"/>
          <w:strike w:val="0"/>
          <w:dstrike w:val="0"/>
          <w:color w:val="auto"/>
          <w:sz w:val="24"/>
          <w:szCs w:val="24"/>
          <w:highlight w:val="none"/>
        </w:rPr>
        <w:t>投标人</w:t>
      </w:r>
      <w:r>
        <w:rPr>
          <w:rFonts w:hint="eastAsia" w:ascii="宋体" w:hAnsi="宋体" w:eastAsia="宋体" w:cs="宋体"/>
          <w:bCs/>
          <w:color w:val="auto"/>
          <w:sz w:val="24"/>
          <w:szCs w:val="24"/>
          <w:highlight w:val="none"/>
        </w:rPr>
        <w:t>自行补助。</w:t>
      </w:r>
      <w:r>
        <w:rPr>
          <w:rFonts w:hint="eastAsia" w:ascii="宋体" w:hAnsi="宋体" w:cs="宋体"/>
          <w:bCs/>
          <w:color w:val="auto"/>
          <w:sz w:val="24"/>
          <w:szCs w:val="24"/>
          <w:highlight w:val="none"/>
          <w:lang w:eastAsia="zh-CN"/>
        </w:rPr>
        <w:t>采购人</w:t>
      </w:r>
      <w:r>
        <w:rPr>
          <w:rFonts w:hint="eastAsia" w:ascii="宋体" w:hAnsi="宋体" w:eastAsia="宋体" w:cs="宋体"/>
          <w:bCs/>
          <w:color w:val="auto"/>
          <w:sz w:val="24"/>
          <w:szCs w:val="24"/>
          <w:highlight w:val="none"/>
        </w:rPr>
        <w:t>有权根据需要对所有员工进行临时调度、调整工作时间，人员无法满足即可视为旷工</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缺勤）</w:t>
      </w:r>
      <w:r>
        <w:rPr>
          <w:rFonts w:hint="eastAsia" w:ascii="宋体" w:hAnsi="宋体" w:eastAsia="宋体" w:cs="宋体"/>
          <w:bCs/>
          <w:color w:val="auto"/>
          <w:sz w:val="24"/>
          <w:szCs w:val="24"/>
          <w:highlight w:val="none"/>
        </w:rPr>
        <w:t>。</w:t>
      </w:r>
    </w:p>
    <w:p w14:paraId="48ECA73C">
      <w:pPr>
        <w:pStyle w:val="19"/>
        <w:widowControl/>
        <w:numPr>
          <w:ilvl w:val="0"/>
          <w:numId w:val="0"/>
        </w:numPr>
        <w:spacing w:before="75" w:beforeAutospacing="0" w:after="75" w:afterAutospacing="0"/>
        <w:ind w:leftChars="0"/>
        <w:rPr>
          <w:rStyle w:val="26"/>
          <w:rFonts w:hint="eastAsia" w:ascii="宋体" w:hAnsi="宋体" w:cs="宋体"/>
          <w:color w:val="auto"/>
          <w:highlight w:val="none"/>
        </w:rPr>
      </w:pPr>
      <w:r>
        <w:rPr>
          <w:rFonts w:hint="eastAsia" w:ascii="宋体" w:hAnsi="宋体" w:cs="宋体"/>
          <w:b/>
          <w:bCs/>
          <w:color w:val="auto"/>
          <w:highlight w:val="none"/>
          <w:lang w:eastAsia="zh-CN"/>
        </w:rPr>
        <w:t>三、</w:t>
      </w:r>
      <w:r>
        <w:rPr>
          <w:rFonts w:hint="eastAsia" w:ascii="宋体" w:hAnsi="宋体" w:cs="宋体"/>
          <w:b/>
          <w:bCs/>
          <w:color w:val="auto"/>
          <w:highlight w:val="none"/>
        </w:rPr>
        <w:t>商务条件</w:t>
      </w:r>
      <w:r>
        <w:rPr>
          <w:rStyle w:val="26"/>
          <w:rFonts w:hint="eastAsia" w:ascii="宋体" w:hAnsi="宋体" w:cs="宋体"/>
          <w:bCs/>
          <w:color w:val="auto"/>
          <w:highlight w:val="none"/>
        </w:rPr>
        <w:t>（以下</w:t>
      </w:r>
      <w:r>
        <w:rPr>
          <w:rStyle w:val="26"/>
          <w:rFonts w:hint="eastAsia" w:ascii="宋体" w:hAnsi="宋体" w:cs="宋体"/>
          <w:color w:val="auto"/>
          <w:highlight w:val="none"/>
        </w:rPr>
        <w:t>内容为不允许负偏离的实质性要求）</w:t>
      </w:r>
    </w:p>
    <w:p w14:paraId="5FE85237">
      <w:pPr>
        <w:pStyle w:val="19"/>
        <w:widowControl/>
        <w:numPr>
          <w:ilvl w:val="0"/>
          <w:numId w:val="0"/>
        </w:numPr>
        <w:spacing w:before="75" w:beforeAutospacing="0" w:after="75" w:afterAutospacing="0"/>
        <w:ind w:leftChars="0"/>
        <w:rPr>
          <w:rStyle w:val="26"/>
          <w:rFonts w:hint="default" w:ascii="宋体" w:hAnsi="宋体" w:eastAsia="宋体" w:cs="宋体"/>
          <w:color w:val="auto"/>
          <w:highlight w:val="none"/>
          <w:lang w:val="en-US" w:eastAsia="zh-CN"/>
        </w:rPr>
      </w:pPr>
      <w:r>
        <w:rPr>
          <w:rStyle w:val="26"/>
          <w:rFonts w:hint="eastAsia" w:ascii="宋体" w:hAnsi="宋体" w:cs="宋体"/>
          <w:color w:val="auto"/>
          <w:highlight w:val="none"/>
          <w:lang w:eastAsia="zh-CN"/>
        </w:rPr>
        <w:t>采购包</w:t>
      </w:r>
      <w:r>
        <w:rPr>
          <w:rStyle w:val="26"/>
          <w:rFonts w:hint="eastAsia" w:ascii="宋体" w:hAnsi="宋体" w:cs="宋体"/>
          <w:color w:val="auto"/>
          <w:highlight w:val="none"/>
          <w:lang w:val="en-US" w:eastAsia="zh-CN"/>
        </w:rPr>
        <w:t>1</w:t>
      </w:r>
    </w:p>
    <w:tbl>
      <w:tblPr>
        <w:tblStyle w:val="2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18"/>
        <w:gridCol w:w="1830"/>
        <w:gridCol w:w="6819"/>
      </w:tblGrid>
      <w:tr w14:paraId="20D88C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8" w:type="dxa"/>
          </w:tcPr>
          <w:p w14:paraId="7021C0E3">
            <w:pPr>
              <w:jc w:val="both"/>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序号</w:t>
            </w:r>
          </w:p>
        </w:tc>
        <w:tc>
          <w:tcPr>
            <w:tcW w:w="1830" w:type="dxa"/>
          </w:tcPr>
          <w:p w14:paraId="59ACE738">
            <w:pPr>
              <w:jc w:val="both"/>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类型</w:t>
            </w:r>
          </w:p>
        </w:tc>
        <w:tc>
          <w:tcPr>
            <w:tcW w:w="6819" w:type="dxa"/>
          </w:tcPr>
          <w:p w14:paraId="41B6332E">
            <w:pPr>
              <w:jc w:val="both"/>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要求</w:t>
            </w:r>
          </w:p>
        </w:tc>
      </w:tr>
      <w:tr w14:paraId="26861D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8" w:type="dxa"/>
          </w:tcPr>
          <w:p w14:paraId="0C1DB20F">
            <w:pPr>
              <w:jc w:val="both"/>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1</w:t>
            </w:r>
          </w:p>
        </w:tc>
        <w:tc>
          <w:tcPr>
            <w:tcW w:w="1830" w:type="dxa"/>
          </w:tcPr>
          <w:p w14:paraId="7F7A420E">
            <w:pPr>
              <w:jc w:val="both"/>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CN"/>
              </w:rPr>
              <w:t>交付</w:t>
            </w:r>
            <w:r>
              <w:rPr>
                <w:rFonts w:hint="eastAsia" w:ascii="宋体" w:hAnsi="宋体" w:eastAsia="宋体" w:cs="宋体"/>
                <w:color w:val="auto"/>
                <w:sz w:val="24"/>
                <w:szCs w:val="24"/>
                <w:highlight w:val="none"/>
                <w:lang w:val="en-US" w:eastAsia="zh-Hans"/>
              </w:rPr>
              <w:t>时间</w:t>
            </w:r>
          </w:p>
        </w:tc>
        <w:tc>
          <w:tcPr>
            <w:tcW w:w="6819" w:type="dxa"/>
          </w:tcPr>
          <w:p w14:paraId="781A62EB">
            <w:pPr>
              <w:jc w:val="both"/>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CN"/>
              </w:rPr>
              <w:t>服务期限</w:t>
            </w:r>
            <w:r>
              <w:rPr>
                <w:rFonts w:hint="eastAsia" w:ascii="宋体" w:hAnsi="宋体" w:eastAsia="宋体" w:cs="宋体"/>
                <w:color w:val="auto"/>
                <w:sz w:val="24"/>
                <w:szCs w:val="24"/>
                <w:highlight w:val="none"/>
                <w:lang w:val="en-US" w:eastAsia="zh-Hans"/>
              </w:rPr>
              <w:t>为2025</w:t>
            </w:r>
            <w:r>
              <w:rPr>
                <w:rFonts w:hint="eastAsia" w:ascii="宋体" w:hAnsi="宋体" w:eastAsia="宋体" w:cs="宋体"/>
                <w:color w:val="auto"/>
                <w:sz w:val="24"/>
                <w:szCs w:val="24"/>
                <w:highlight w:val="none"/>
                <w:lang w:val="en-US" w:eastAsia="zh-CN"/>
              </w:rPr>
              <w:t>年</w:t>
            </w:r>
            <w:r>
              <w:rPr>
                <w:rFonts w:hint="eastAsia" w:ascii="宋体" w:hAnsi="宋体" w:eastAsia="宋体" w:cs="宋体"/>
                <w:color w:val="auto"/>
                <w:sz w:val="24"/>
                <w:szCs w:val="24"/>
                <w:highlight w:val="none"/>
                <w:lang w:val="en-US" w:eastAsia="zh-Hans"/>
              </w:rPr>
              <w:t>8</w:t>
            </w:r>
            <w:r>
              <w:rPr>
                <w:rFonts w:hint="eastAsia" w:ascii="宋体" w:hAnsi="宋体" w:eastAsia="宋体" w:cs="宋体"/>
                <w:color w:val="auto"/>
                <w:sz w:val="24"/>
                <w:szCs w:val="24"/>
                <w:highlight w:val="none"/>
                <w:lang w:val="en-US" w:eastAsia="zh-CN"/>
              </w:rPr>
              <w:t>月</w:t>
            </w:r>
            <w:r>
              <w:rPr>
                <w:rFonts w:hint="eastAsia" w:ascii="宋体" w:hAnsi="宋体" w:eastAsia="宋体" w:cs="宋体"/>
                <w:color w:val="auto"/>
                <w:sz w:val="24"/>
                <w:szCs w:val="24"/>
                <w:highlight w:val="none"/>
                <w:lang w:val="en-US" w:eastAsia="zh-Hans"/>
              </w:rPr>
              <w:t>-2028</w:t>
            </w:r>
            <w:r>
              <w:rPr>
                <w:rFonts w:hint="eastAsia" w:ascii="宋体" w:hAnsi="宋体" w:eastAsia="宋体" w:cs="宋体"/>
                <w:color w:val="auto"/>
                <w:sz w:val="24"/>
                <w:szCs w:val="24"/>
                <w:highlight w:val="none"/>
                <w:lang w:val="en-US" w:eastAsia="zh-CN"/>
              </w:rPr>
              <w:t>年</w:t>
            </w:r>
            <w:r>
              <w:rPr>
                <w:rFonts w:hint="eastAsia" w:ascii="宋体" w:hAnsi="宋体" w:eastAsia="宋体" w:cs="宋体"/>
                <w:color w:val="auto"/>
                <w:sz w:val="24"/>
                <w:szCs w:val="24"/>
                <w:highlight w:val="none"/>
                <w:lang w:val="en-US" w:eastAsia="zh-Hans"/>
              </w:rPr>
              <w:t>7</w:t>
            </w:r>
            <w:r>
              <w:rPr>
                <w:rFonts w:hint="eastAsia" w:ascii="宋体" w:hAnsi="宋体" w:eastAsia="宋体" w:cs="宋体"/>
                <w:color w:val="auto"/>
                <w:sz w:val="24"/>
                <w:szCs w:val="24"/>
                <w:highlight w:val="none"/>
                <w:lang w:val="en-US" w:eastAsia="zh-CN"/>
              </w:rPr>
              <w:t>月</w:t>
            </w:r>
            <w:r>
              <w:rPr>
                <w:rFonts w:hint="eastAsia" w:ascii="宋体" w:hAnsi="宋体" w:eastAsia="宋体" w:cs="宋体"/>
                <w:color w:val="auto"/>
                <w:sz w:val="24"/>
                <w:szCs w:val="24"/>
                <w:highlight w:val="none"/>
                <w:lang w:val="en-US" w:eastAsia="zh-Hans"/>
              </w:rPr>
              <w:t>。</w:t>
            </w:r>
            <w:r>
              <w:rPr>
                <w:rFonts w:hint="eastAsia" w:ascii="宋体" w:hAnsi="宋体" w:eastAsia="宋体" w:cs="宋体"/>
                <w:color w:val="auto"/>
                <w:sz w:val="24"/>
                <w:szCs w:val="24"/>
                <w:highlight w:val="none"/>
                <w:lang w:val="en-US" w:eastAsia="zh-CN"/>
              </w:rPr>
              <w:t>合同签订后按采购</w:t>
            </w:r>
            <w:r>
              <w:rPr>
                <w:rFonts w:hint="eastAsia" w:ascii="宋体" w:hAnsi="宋体" w:eastAsia="宋体" w:cs="宋体"/>
                <w:color w:val="auto"/>
                <w:sz w:val="24"/>
                <w:szCs w:val="24"/>
                <w:highlight w:val="none"/>
                <w:lang w:val="en-US" w:eastAsia="zh-Hans"/>
              </w:rPr>
              <w:t>人</w:t>
            </w:r>
            <w:r>
              <w:rPr>
                <w:rFonts w:hint="eastAsia" w:ascii="宋体" w:hAnsi="宋体" w:eastAsia="宋体" w:cs="宋体"/>
                <w:color w:val="auto"/>
                <w:sz w:val="24"/>
                <w:szCs w:val="24"/>
                <w:highlight w:val="none"/>
                <w:lang w:val="en-US" w:eastAsia="zh-CN"/>
              </w:rPr>
              <w:t>通知入驻进场</w:t>
            </w:r>
            <w:r>
              <w:rPr>
                <w:rFonts w:hint="eastAsia" w:ascii="宋体" w:hAnsi="宋体" w:eastAsia="宋体" w:cs="宋体"/>
                <w:color w:val="auto"/>
                <w:sz w:val="24"/>
                <w:szCs w:val="24"/>
                <w:highlight w:val="none"/>
                <w:lang w:val="en-US" w:eastAsia="zh-Hans"/>
              </w:rPr>
              <w:t>，中标人需在</w:t>
            </w:r>
            <w:r>
              <w:rPr>
                <w:rFonts w:hint="eastAsia" w:ascii="宋体" w:hAnsi="宋体" w:eastAsia="宋体" w:cs="宋体"/>
                <w:color w:val="auto"/>
                <w:sz w:val="24"/>
                <w:szCs w:val="24"/>
                <w:highlight w:val="none"/>
                <w:lang w:val="en-US" w:eastAsia="zh-CN"/>
              </w:rPr>
              <w:t>接到通知起</w:t>
            </w:r>
            <w:r>
              <w:rPr>
                <w:rFonts w:hint="eastAsia" w:ascii="宋体" w:hAnsi="宋体" w:eastAsia="宋体" w:cs="宋体"/>
                <w:color w:val="auto"/>
                <w:sz w:val="24"/>
                <w:szCs w:val="24"/>
                <w:highlight w:val="none"/>
                <w:lang w:val="en-US" w:eastAsia="zh-Hans"/>
              </w:rPr>
              <w:t>10个日历天内完成部署及开餐前准备工作（仅支付开学前3天的工资）；</w:t>
            </w:r>
          </w:p>
        </w:tc>
      </w:tr>
      <w:tr w14:paraId="46BDA2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8" w:type="dxa"/>
          </w:tcPr>
          <w:p w14:paraId="5CDCA7A1">
            <w:pPr>
              <w:jc w:val="both"/>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2</w:t>
            </w:r>
          </w:p>
        </w:tc>
        <w:tc>
          <w:tcPr>
            <w:tcW w:w="1830" w:type="dxa"/>
          </w:tcPr>
          <w:p w14:paraId="768347F4">
            <w:pPr>
              <w:jc w:val="both"/>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交</w:t>
            </w:r>
            <w:r>
              <w:rPr>
                <w:rFonts w:hint="eastAsia" w:ascii="宋体" w:hAnsi="宋体" w:eastAsia="宋体" w:cs="宋体"/>
                <w:color w:val="auto"/>
                <w:sz w:val="24"/>
                <w:szCs w:val="24"/>
                <w:highlight w:val="none"/>
                <w:lang w:val="en-US" w:eastAsia="zh-CN"/>
              </w:rPr>
              <w:t>付</w:t>
            </w:r>
            <w:r>
              <w:rPr>
                <w:rFonts w:hint="eastAsia" w:ascii="宋体" w:hAnsi="宋体" w:eastAsia="宋体" w:cs="宋体"/>
                <w:color w:val="auto"/>
                <w:sz w:val="24"/>
                <w:szCs w:val="24"/>
                <w:highlight w:val="none"/>
                <w:lang w:val="en-US" w:eastAsia="zh-Hans"/>
              </w:rPr>
              <w:t>地点</w:t>
            </w:r>
          </w:p>
        </w:tc>
        <w:tc>
          <w:tcPr>
            <w:tcW w:w="6819" w:type="dxa"/>
          </w:tcPr>
          <w:p w14:paraId="5BF0E46C">
            <w:pPr>
              <w:jc w:val="both"/>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湄洲湾职业技术学院（莆田市涵江区梧塘镇荔涵东大道1001号）</w:t>
            </w:r>
          </w:p>
        </w:tc>
      </w:tr>
      <w:tr w14:paraId="736F1E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8" w:type="dxa"/>
          </w:tcPr>
          <w:p w14:paraId="624A7D68">
            <w:pPr>
              <w:jc w:val="both"/>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3</w:t>
            </w:r>
          </w:p>
        </w:tc>
        <w:tc>
          <w:tcPr>
            <w:tcW w:w="1830" w:type="dxa"/>
          </w:tcPr>
          <w:p w14:paraId="24565CC0">
            <w:pPr>
              <w:jc w:val="both"/>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交货条件</w:t>
            </w:r>
          </w:p>
        </w:tc>
        <w:tc>
          <w:tcPr>
            <w:tcW w:w="6819" w:type="dxa"/>
          </w:tcPr>
          <w:p w14:paraId="7883EF55">
            <w:pPr>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验收合格</w:t>
            </w:r>
          </w:p>
        </w:tc>
      </w:tr>
      <w:tr w14:paraId="1C9C18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8" w:type="dxa"/>
          </w:tcPr>
          <w:p w14:paraId="7959F684">
            <w:pPr>
              <w:jc w:val="both"/>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4</w:t>
            </w:r>
          </w:p>
        </w:tc>
        <w:tc>
          <w:tcPr>
            <w:tcW w:w="1830" w:type="dxa"/>
          </w:tcPr>
          <w:p w14:paraId="01F3784D">
            <w:pPr>
              <w:jc w:val="both"/>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是否邀请投标人验收</w:t>
            </w:r>
          </w:p>
        </w:tc>
        <w:tc>
          <w:tcPr>
            <w:tcW w:w="6819" w:type="dxa"/>
          </w:tcPr>
          <w:p w14:paraId="10EBBAF7">
            <w:pPr>
              <w:jc w:val="both"/>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不邀请投标人验收</w:t>
            </w:r>
          </w:p>
        </w:tc>
      </w:tr>
      <w:tr w14:paraId="353A3F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8" w:type="dxa"/>
          </w:tcPr>
          <w:p w14:paraId="5C826F06">
            <w:pPr>
              <w:jc w:val="both"/>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5</w:t>
            </w:r>
          </w:p>
        </w:tc>
        <w:tc>
          <w:tcPr>
            <w:tcW w:w="1830" w:type="dxa"/>
          </w:tcPr>
          <w:p w14:paraId="375ACF31">
            <w:pPr>
              <w:jc w:val="both"/>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履约验收方式</w:t>
            </w:r>
          </w:p>
        </w:tc>
        <w:tc>
          <w:tcPr>
            <w:tcW w:w="6819" w:type="dxa"/>
          </w:tcPr>
          <w:p w14:paraId="6C9E3C59">
            <w:pPr>
              <w:jc w:val="both"/>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按招标文件要求及国家的有关标准要求</w:t>
            </w:r>
          </w:p>
        </w:tc>
      </w:tr>
      <w:tr w14:paraId="4D962E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8" w:type="dxa"/>
          </w:tcPr>
          <w:p w14:paraId="198A2DF3">
            <w:pPr>
              <w:jc w:val="both"/>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6</w:t>
            </w:r>
          </w:p>
        </w:tc>
        <w:tc>
          <w:tcPr>
            <w:tcW w:w="1830" w:type="dxa"/>
          </w:tcPr>
          <w:p w14:paraId="71873CD3">
            <w:pPr>
              <w:jc w:val="both"/>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合同支付方式</w:t>
            </w:r>
          </w:p>
        </w:tc>
        <w:tc>
          <w:tcPr>
            <w:tcW w:w="6819" w:type="dxa"/>
          </w:tcPr>
          <w:p w14:paraId="735B0CFA">
            <w:pPr>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left="6" w:firstLine="410" w:firstLineChars="171"/>
              <w:jc w:val="left"/>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1.中标人以中标金额为结算依据，税费由中标人承担，每月结算一次，结算与付款流程按学院财务有关规定执行。</w:t>
            </w:r>
          </w:p>
          <w:p w14:paraId="65075B79">
            <w:pPr>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left="6" w:firstLine="410" w:firstLineChars="171"/>
              <w:jc w:val="left"/>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2.每月团队服务费用中标人须与采购人在次月15日内做好考核结算工作并提供发票及相关材料，采购人自收到发票及相关材料后30天内支付服务费用，</w:t>
            </w:r>
            <w:r>
              <w:rPr>
                <w:rFonts w:hint="eastAsia" w:ascii="宋体" w:hAnsi="宋体" w:eastAsia="宋体" w:cs="宋体"/>
                <w:color w:val="auto"/>
                <w:kern w:val="0"/>
                <w:sz w:val="24"/>
                <w:szCs w:val="24"/>
                <w:highlight w:val="none"/>
                <w:lang w:val="en-US" w:eastAsia="zh-CN" w:bidi="ar-SA"/>
              </w:rPr>
              <w:t>【因采购人使用的是政府资金，采购人在前款规定的付款时间为向政府采购支付部门提出办理财政支付申请手续的时间（不含政府财政支付部门审核的时间），在规定时间内提出支付申请手续后即视为采购人已经按期支付】</w:t>
            </w:r>
            <w:r>
              <w:rPr>
                <w:rFonts w:hint="eastAsia" w:ascii="宋体" w:hAnsi="宋体" w:eastAsia="宋体" w:cs="宋体"/>
                <w:bCs/>
                <w:color w:val="auto"/>
                <w:kern w:val="0"/>
                <w:sz w:val="24"/>
                <w:szCs w:val="24"/>
                <w:highlight w:val="none"/>
                <w:lang w:val="en-US" w:eastAsia="zh-CN" w:bidi="ar-SA"/>
              </w:rPr>
              <w:t>。中标人不提供上述发票或者提供的发票不合格的，采购人可顺延付款。</w:t>
            </w:r>
          </w:p>
          <w:p w14:paraId="1AB8F50C">
            <w:pPr>
              <w:keepNext w:val="0"/>
              <w:keepLines w:val="0"/>
              <w:pageBreakBefore w:val="0"/>
              <w:widowControl w:val="0"/>
              <w:numPr>
                <w:ilvl w:val="0"/>
                <w:numId w:val="0"/>
              </w:numPr>
              <w:kinsoku/>
              <w:wordWrap/>
              <w:overflowPunct/>
              <w:topLinePunct w:val="0"/>
              <w:autoSpaceDE/>
              <w:autoSpaceDN/>
              <w:bidi w:val="0"/>
              <w:spacing w:beforeAutospacing="0" w:afterAutospacing="0" w:line="400" w:lineRule="exact"/>
              <w:ind w:left="19" w:leftChars="9" w:firstLine="439" w:firstLineChars="182"/>
              <w:jc w:val="both"/>
              <w:textAlignment w:val="auto"/>
              <w:rPr>
                <w:rFonts w:hint="eastAsia" w:ascii="Calibri" w:hAnsi="Calibri" w:eastAsia="宋体" w:cs="Times New Roman"/>
                <w:b/>
                <w:bCs/>
                <w:color w:val="auto"/>
                <w:kern w:val="0"/>
                <w:sz w:val="24"/>
                <w:szCs w:val="24"/>
                <w:highlight w:val="none"/>
                <w:vertAlign w:val="superscript"/>
                <w:lang w:val="en-US" w:eastAsia="zh-CN" w:bidi="ar-SA"/>
              </w:rPr>
            </w:pPr>
            <w:r>
              <w:rPr>
                <w:rFonts w:hint="eastAsia" w:ascii="Calibri" w:hAnsi="Calibri" w:eastAsia="宋体" w:cs="Times New Roman"/>
                <w:b/>
                <w:bCs/>
                <w:color w:val="auto"/>
                <w:kern w:val="0"/>
                <w:sz w:val="24"/>
                <w:szCs w:val="24"/>
                <w:highlight w:val="none"/>
                <w:lang w:val="en-US" w:eastAsia="zh-CN" w:bidi="ar-SA"/>
              </w:rPr>
              <w:t>3.</w:t>
            </w:r>
            <w:r>
              <w:rPr>
                <w:rFonts w:hint="default" w:ascii="Calibri" w:hAnsi="Calibri" w:eastAsia="宋体" w:cs="Times New Roman"/>
                <w:b/>
                <w:bCs/>
                <w:color w:val="auto"/>
                <w:kern w:val="0"/>
                <w:sz w:val="24"/>
                <w:szCs w:val="24"/>
                <w:highlight w:val="none"/>
                <w:lang w:val="en-US" w:eastAsia="zh-CN" w:bidi="ar-SA"/>
              </w:rPr>
              <w:t>每月应付款金额=每月基本工资（中标价）</w:t>
            </w:r>
            <w:r>
              <w:rPr>
                <w:rFonts w:hint="default" w:ascii="Calibri" w:hAnsi="Calibri" w:eastAsia="宋体" w:cs="Times New Roman"/>
                <w:b/>
                <w:bCs/>
                <w:color w:val="auto"/>
                <w:kern w:val="0"/>
                <w:sz w:val="24"/>
                <w:szCs w:val="24"/>
                <w:highlight w:val="none"/>
                <w:vertAlign w:val="superscript"/>
                <w:lang w:val="en-US" w:eastAsia="zh-CN" w:bidi="ar-SA"/>
              </w:rPr>
              <w:t>①</w:t>
            </w:r>
            <w:r>
              <w:rPr>
                <w:rFonts w:hint="default" w:ascii="Calibri" w:hAnsi="Calibri" w:eastAsia="宋体" w:cs="Times New Roman"/>
                <w:b/>
                <w:bCs/>
                <w:color w:val="auto"/>
                <w:kern w:val="0"/>
                <w:sz w:val="24"/>
                <w:szCs w:val="24"/>
                <w:highlight w:val="none"/>
                <w:lang w:val="en-US" w:eastAsia="zh-CN" w:bidi="ar-SA"/>
              </w:rPr>
              <w:t>+用餐人数附加费用</w:t>
            </w:r>
            <w:r>
              <w:rPr>
                <w:rFonts w:hint="default" w:ascii="Calibri" w:hAnsi="Calibri" w:eastAsia="宋体" w:cs="Times New Roman"/>
                <w:b/>
                <w:bCs/>
                <w:color w:val="auto"/>
                <w:kern w:val="0"/>
                <w:sz w:val="24"/>
                <w:szCs w:val="24"/>
                <w:highlight w:val="none"/>
                <w:vertAlign w:val="superscript"/>
                <w:lang w:val="en-US" w:eastAsia="zh-CN" w:bidi="ar-SA"/>
              </w:rPr>
              <w:t>②</w:t>
            </w:r>
            <w:r>
              <w:rPr>
                <w:rFonts w:hint="default" w:ascii="Calibri" w:hAnsi="Calibri" w:eastAsia="宋体" w:cs="Times New Roman"/>
                <w:b/>
                <w:bCs/>
                <w:color w:val="auto"/>
                <w:kern w:val="0"/>
                <w:sz w:val="24"/>
                <w:szCs w:val="24"/>
                <w:highlight w:val="none"/>
                <w:lang w:val="en-US" w:eastAsia="zh-CN" w:bidi="ar-SA"/>
              </w:rPr>
              <w:t>-用餐人数核减费用</w:t>
            </w:r>
            <w:r>
              <w:rPr>
                <w:rFonts w:hint="default" w:ascii="Calibri" w:hAnsi="Calibri" w:eastAsia="宋体" w:cs="Times New Roman"/>
                <w:b/>
                <w:bCs/>
                <w:color w:val="auto"/>
                <w:kern w:val="0"/>
                <w:sz w:val="24"/>
                <w:szCs w:val="24"/>
                <w:highlight w:val="none"/>
                <w:vertAlign w:val="superscript"/>
                <w:lang w:val="en-US" w:eastAsia="zh-CN" w:bidi="ar-SA"/>
              </w:rPr>
              <w:t>③</w:t>
            </w:r>
            <w:r>
              <w:rPr>
                <w:rFonts w:hint="default" w:ascii="Calibri" w:hAnsi="Calibri" w:eastAsia="宋体" w:cs="Times New Roman"/>
                <w:b/>
                <w:bCs/>
                <w:color w:val="auto"/>
                <w:kern w:val="0"/>
                <w:sz w:val="24"/>
                <w:szCs w:val="24"/>
                <w:highlight w:val="none"/>
                <w:lang w:val="en-US" w:eastAsia="zh-CN" w:bidi="ar-SA"/>
              </w:rPr>
              <w:t>-员工缺勤核减</w:t>
            </w:r>
            <w:r>
              <w:rPr>
                <w:rFonts w:hint="default" w:ascii="Calibri" w:hAnsi="Calibri" w:eastAsia="宋体" w:cs="Times New Roman"/>
                <w:b/>
                <w:bCs/>
                <w:color w:val="auto"/>
                <w:kern w:val="0"/>
                <w:sz w:val="24"/>
                <w:szCs w:val="24"/>
                <w:highlight w:val="none"/>
                <w:vertAlign w:val="superscript"/>
                <w:lang w:val="en-US" w:eastAsia="zh-CN" w:bidi="ar-SA"/>
              </w:rPr>
              <w:t>④</w:t>
            </w:r>
            <w:r>
              <w:rPr>
                <w:rFonts w:hint="default" w:ascii="Calibri" w:hAnsi="Calibri" w:eastAsia="宋体" w:cs="Times New Roman"/>
                <w:b/>
                <w:bCs/>
                <w:color w:val="auto"/>
                <w:kern w:val="0"/>
                <w:sz w:val="24"/>
                <w:szCs w:val="24"/>
                <w:highlight w:val="none"/>
                <w:lang w:val="en-US" w:eastAsia="zh-CN" w:bidi="ar-SA"/>
              </w:rPr>
              <w:t>-当月其它扣款</w:t>
            </w:r>
            <w:r>
              <w:rPr>
                <w:rFonts w:hint="default" w:ascii="Calibri" w:hAnsi="Calibri" w:eastAsia="宋体" w:cs="Times New Roman"/>
                <w:b/>
                <w:bCs/>
                <w:color w:val="auto"/>
                <w:kern w:val="0"/>
                <w:sz w:val="24"/>
                <w:szCs w:val="24"/>
                <w:highlight w:val="none"/>
                <w:vertAlign w:val="superscript"/>
                <w:lang w:val="en-US" w:eastAsia="zh-CN" w:bidi="ar-SA"/>
              </w:rPr>
              <w:t>⑤</w:t>
            </w:r>
            <w:r>
              <w:rPr>
                <w:rFonts w:hint="eastAsia" w:ascii="Calibri" w:hAnsi="Calibri" w:eastAsia="宋体" w:cs="Times New Roman"/>
                <w:b/>
                <w:bCs/>
                <w:strike w:val="0"/>
                <w:dstrike w:val="0"/>
                <w:color w:val="auto"/>
                <w:kern w:val="0"/>
                <w:sz w:val="24"/>
                <w:szCs w:val="24"/>
                <w:highlight w:val="none"/>
                <w:u w:val="none"/>
                <w:lang w:val="en-US" w:eastAsia="zh-CN" w:bidi="ar-SA"/>
              </w:rPr>
              <w:t>-</w:t>
            </w:r>
            <w:r>
              <w:rPr>
                <w:rFonts w:hint="eastAsia" w:ascii="Calibri" w:hAnsi="Calibri" w:eastAsia="宋体" w:cs="Times New Roman"/>
                <w:b/>
                <w:bCs/>
                <w:color w:val="auto"/>
                <w:kern w:val="0"/>
                <w:sz w:val="24"/>
                <w:szCs w:val="24"/>
                <w:highlight w:val="none"/>
                <w:vertAlign w:val="baseline"/>
                <w:lang w:val="en-US" w:eastAsia="zh-CN" w:bidi="ar-SA"/>
              </w:rPr>
              <w:t>员工</w:t>
            </w:r>
            <w:r>
              <w:rPr>
                <w:rFonts w:hint="eastAsia" w:ascii="Calibri" w:hAnsi="Calibri" w:eastAsia="宋体" w:cs="Times New Roman"/>
                <w:b/>
                <w:bCs/>
                <w:color w:val="auto"/>
                <w:kern w:val="0"/>
                <w:sz w:val="24"/>
                <w:szCs w:val="24"/>
                <w:highlight w:val="none"/>
                <w:lang w:val="en-US" w:eastAsia="zh-CN" w:bidi="ar-SA"/>
              </w:rPr>
              <w:t>伙食费</w:t>
            </w:r>
            <w:r>
              <w:rPr>
                <w:rFonts w:hint="default" w:ascii="Calibri" w:hAnsi="Calibri" w:eastAsia="宋体" w:cs="Times New Roman"/>
                <w:b/>
                <w:bCs/>
                <w:color w:val="auto"/>
                <w:kern w:val="0"/>
                <w:sz w:val="24"/>
                <w:szCs w:val="24"/>
                <w:highlight w:val="none"/>
                <w:vertAlign w:val="superscript"/>
                <w:lang w:val="en-US" w:eastAsia="zh-CN" w:bidi="ar-SA"/>
              </w:rPr>
              <w:t>⑥</w:t>
            </w:r>
            <w:r>
              <w:rPr>
                <w:rFonts w:hint="eastAsia" w:ascii="Calibri" w:hAnsi="Calibri" w:eastAsia="宋体" w:cs="Times New Roman"/>
                <w:b/>
                <w:bCs/>
                <w:color w:val="auto"/>
                <w:kern w:val="0"/>
                <w:sz w:val="24"/>
                <w:szCs w:val="24"/>
                <w:highlight w:val="none"/>
                <w:vertAlign w:val="baseline"/>
                <w:lang w:val="en-US" w:eastAsia="zh-CN" w:bidi="ar-SA"/>
              </w:rPr>
              <w:t>+</w:t>
            </w:r>
            <w:r>
              <w:rPr>
                <w:rFonts w:hint="default" w:ascii="Calibri" w:hAnsi="Calibri" w:eastAsia="宋体" w:cs="Times New Roman"/>
                <w:b/>
                <w:bCs/>
                <w:strike w:val="0"/>
                <w:dstrike w:val="0"/>
                <w:color w:val="auto"/>
                <w:kern w:val="0"/>
                <w:sz w:val="24"/>
                <w:szCs w:val="24"/>
                <w:highlight w:val="none"/>
                <w:u w:val="none"/>
                <w:lang w:val="en-US" w:eastAsia="zh-CN" w:bidi="ar-SA"/>
              </w:rPr>
              <w:t>绩效奖惩费用</w:t>
            </w:r>
            <w:r>
              <w:rPr>
                <w:rFonts w:hint="eastAsia" w:ascii="Calibri" w:hAnsi="Calibri" w:eastAsia="宋体" w:cs="Times New Roman"/>
                <w:b/>
                <w:bCs/>
                <w:color w:val="auto"/>
                <w:kern w:val="0"/>
                <w:sz w:val="24"/>
                <w:szCs w:val="24"/>
                <w:highlight w:val="none"/>
                <w:vertAlign w:val="superscript"/>
                <w:lang w:val="en-US" w:eastAsia="zh-CN" w:bidi="ar-SA"/>
              </w:rPr>
              <w:t>⑦</w:t>
            </w:r>
            <w:r>
              <w:rPr>
                <w:rFonts w:hint="eastAsia" w:ascii="宋体" w:hAnsi="宋体" w:eastAsia="宋体" w:cs="宋体"/>
                <w:b w:val="0"/>
                <w:bCs w:val="0"/>
                <w:color w:val="auto"/>
                <w:kern w:val="0"/>
                <w:sz w:val="24"/>
                <w:szCs w:val="24"/>
                <w:highlight w:val="none"/>
                <w:lang w:val="en-US" w:eastAsia="zh-CN" w:bidi="ar-SA"/>
              </w:rPr>
              <w:t>；</w:t>
            </w:r>
          </w:p>
          <w:p w14:paraId="2B6073F0">
            <w:pPr>
              <w:keepNext w:val="0"/>
              <w:keepLines w:val="0"/>
              <w:pageBreakBefore w:val="0"/>
              <w:widowControl w:val="0"/>
              <w:numPr>
                <w:ilvl w:val="0"/>
                <w:numId w:val="0"/>
              </w:numPr>
              <w:kinsoku/>
              <w:wordWrap/>
              <w:overflowPunct/>
              <w:topLinePunct w:val="0"/>
              <w:autoSpaceDE/>
              <w:autoSpaceDN/>
              <w:bidi w:val="0"/>
              <w:spacing w:beforeAutospacing="0" w:afterAutospacing="0" w:line="400" w:lineRule="exact"/>
              <w:ind w:left="19" w:leftChars="9" w:firstLine="439" w:firstLineChars="182"/>
              <w:jc w:val="both"/>
              <w:textAlignment w:val="auto"/>
              <w:rPr>
                <w:rFonts w:hint="eastAsia" w:ascii="Calibri" w:hAnsi="Calibri" w:eastAsia="宋体" w:cs="Times New Roman"/>
                <w:b/>
                <w:bCs/>
                <w:strike w:val="0"/>
                <w:dstrike w:val="0"/>
                <w:color w:val="auto"/>
                <w:kern w:val="0"/>
                <w:sz w:val="24"/>
                <w:szCs w:val="24"/>
                <w:highlight w:val="none"/>
                <w:u w:val="none"/>
                <w:lang w:val="en-US" w:eastAsia="zh-CN" w:bidi="ar-SA"/>
              </w:rPr>
            </w:pPr>
            <w:r>
              <w:rPr>
                <w:rFonts w:hint="eastAsia" w:ascii="Calibri" w:hAnsi="Calibri" w:eastAsia="宋体" w:cs="Times New Roman"/>
                <w:b/>
                <w:bCs/>
                <w:strike w:val="0"/>
                <w:dstrike w:val="0"/>
                <w:color w:val="auto"/>
                <w:kern w:val="0"/>
                <w:sz w:val="24"/>
                <w:szCs w:val="24"/>
                <w:highlight w:val="none"/>
                <w:u w:val="none"/>
                <w:lang w:val="en-US" w:eastAsia="zh-CN" w:bidi="ar-SA"/>
              </w:rPr>
              <w:t>4.【</w:t>
            </w:r>
            <w:r>
              <w:rPr>
                <w:rFonts w:hint="default" w:ascii="Calibri" w:hAnsi="Calibri" w:eastAsia="宋体" w:cs="Times New Roman"/>
                <w:b/>
                <w:bCs/>
                <w:strike w:val="0"/>
                <w:dstrike w:val="0"/>
                <w:color w:val="auto"/>
                <w:kern w:val="0"/>
                <w:sz w:val="24"/>
                <w:szCs w:val="24"/>
                <w:highlight w:val="none"/>
                <w:u w:val="none"/>
                <w:lang w:val="en-US" w:eastAsia="zh-CN" w:bidi="ar-SA"/>
              </w:rPr>
              <w:t>每个学期校历表中的最后一个月</w:t>
            </w:r>
            <w:r>
              <w:rPr>
                <w:rFonts w:hint="eastAsia" w:ascii="Calibri" w:hAnsi="Calibri" w:eastAsia="宋体" w:cs="Times New Roman"/>
                <w:b/>
                <w:bCs/>
                <w:strike w:val="0"/>
                <w:dstrike w:val="0"/>
                <w:color w:val="auto"/>
                <w:kern w:val="0"/>
                <w:sz w:val="24"/>
                <w:szCs w:val="24"/>
                <w:highlight w:val="none"/>
                <w:u w:val="none"/>
                <w:lang w:val="en-US" w:eastAsia="zh-CN" w:bidi="ar-SA"/>
              </w:rPr>
              <w:t>（工作时间以15天为分界线）</w:t>
            </w:r>
            <w:r>
              <w:rPr>
                <w:rFonts w:hint="default" w:ascii="Calibri" w:hAnsi="Calibri" w:eastAsia="宋体" w:cs="Times New Roman"/>
                <w:b/>
                <w:bCs/>
                <w:strike w:val="0"/>
                <w:dstrike w:val="0"/>
                <w:color w:val="auto"/>
                <w:kern w:val="0"/>
                <w:sz w:val="24"/>
                <w:szCs w:val="24"/>
                <w:highlight w:val="none"/>
                <w:u w:val="none"/>
                <w:lang w:val="en-US" w:eastAsia="zh-CN" w:bidi="ar-SA"/>
              </w:rPr>
              <w:t>结算绩效奖惩费用，其它月份和寒暑假</w:t>
            </w:r>
            <w:r>
              <w:rPr>
                <w:rFonts w:hint="eastAsia" w:ascii="Calibri" w:hAnsi="Calibri" w:eastAsia="宋体" w:cs="Times New Roman"/>
                <w:b/>
                <w:bCs/>
                <w:strike w:val="0"/>
                <w:dstrike w:val="0"/>
                <w:color w:val="auto"/>
                <w:kern w:val="0"/>
                <w:sz w:val="24"/>
                <w:szCs w:val="24"/>
                <w:highlight w:val="none"/>
                <w:u w:val="none"/>
                <w:lang w:val="en-US" w:eastAsia="zh-CN" w:bidi="ar-SA"/>
              </w:rPr>
              <w:t>期间</w:t>
            </w:r>
            <w:r>
              <w:rPr>
                <w:rFonts w:hint="default" w:ascii="Calibri" w:hAnsi="Calibri" w:eastAsia="宋体" w:cs="Times New Roman"/>
                <w:b/>
                <w:bCs/>
                <w:strike w:val="0"/>
                <w:dstrike w:val="0"/>
                <w:color w:val="auto"/>
                <w:kern w:val="0"/>
                <w:sz w:val="24"/>
                <w:szCs w:val="24"/>
                <w:highlight w:val="none"/>
                <w:u w:val="none"/>
                <w:lang w:val="en-US" w:eastAsia="zh-CN" w:bidi="ar-SA"/>
              </w:rPr>
              <w:t>不结算绩效奖惩费用</w:t>
            </w:r>
            <w:r>
              <w:rPr>
                <w:rFonts w:hint="eastAsia" w:ascii="Calibri" w:hAnsi="Calibri" w:eastAsia="宋体" w:cs="Times New Roman"/>
                <w:b/>
                <w:bCs/>
                <w:strike w:val="0"/>
                <w:dstrike w:val="0"/>
                <w:color w:val="auto"/>
                <w:kern w:val="0"/>
                <w:sz w:val="24"/>
                <w:szCs w:val="24"/>
                <w:highlight w:val="none"/>
                <w:u w:val="none"/>
                <w:lang w:val="en-US" w:eastAsia="zh-CN" w:bidi="ar-SA"/>
              </w:rPr>
              <w:t>。如7月1日-15日之间学校放假，则6-7月份合并结算团队费用，绩效奖惩费用纳入6-7月份进行测算；如7月16日-31日之间学校放假，则7月份本月单独结算团队费用，绩效奖征费用纳入7月份进行测算。】</w:t>
            </w:r>
          </w:p>
          <w:p w14:paraId="576CF8C8">
            <w:pPr>
              <w:keepNext w:val="0"/>
              <w:keepLines w:val="0"/>
              <w:pageBreakBefore w:val="0"/>
              <w:widowControl w:val="0"/>
              <w:numPr>
                <w:ilvl w:val="0"/>
                <w:numId w:val="0"/>
              </w:numPr>
              <w:kinsoku/>
              <w:wordWrap/>
              <w:overflowPunct/>
              <w:topLinePunct w:val="0"/>
              <w:autoSpaceDE/>
              <w:autoSpaceDN/>
              <w:bidi w:val="0"/>
              <w:spacing w:beforeAutospacing="0" w:afterAutospacing="0" w:line="400" w:lineRule="exact"/>
              <w:ind w:left="19" w:leftChars="9" w:firstLine="439" w:firstLineChars="182"/>
              <w:jc w:val="both"/>
              <w:textAlignment w:val="auto"/>
              <w:rPr>
                <w:rFonts w:hint="default" w:ascii="Calibri" w:hAnsi="Calibri" w:eastAsia="宋体" w:cs="Times New Roman"/>
                <w:b/>
                <w:bCs/>
                <w:strike w:val="0"/>
                <w:dstrike w:val="0"/>
                <w:color w:val="auto"/>
                <w:kern w:val="0"/>
                <w:sz w:val="24"/>
                <w:szCs w:val="24"/>
                <w:highlight w:val="none"/>
                <w:u w:val="none"/>
                <w:lang w:val="en-US" w:eastAsia="zh-CN" w:bidi="ar-SA"/>
              </w:rPr>
            </w:pPr>
            <w:r>
              <w:rPr>
                <w:rFonts w:hint="eastAsia" w:ascii="宋体" w:hAnsi="宋体" w:eastAsia="宋体" w:cs="宋体"/>
                <w:b/>
                <w:bCs/>
                <w:color w:val="auto"/>
                <w:kern w:val="0"/>
                <w:sz w:val="24"/>
                <w:szCs w:val="24"/>
                <w:highlight w:val="none"/>
                <w:u w:val="none"/>
                <w:lang w:val="en-US" w:eastAsia="zh-CN" w:bidi="ar-SA"/>
              </w:rPr>
              <w:t>5.</w:t>
            </w:r>
            <w:r>
              <w:rPr>
                <w:rFonts w:hint="eastAsia" w:ascii="宋体" w:hAnsi="宋体" w:cs="宋体"/>
                <w:b/>
                <w:bCs/>
                <w:color w:val="auto"/>
                <w:sz w:val="24"/>
                <w:szCs w:val="24"/>
                <w:highlight w:val="none"/>
                <w:lang w:val="en-US" w:eastAsia="zh-CN"/>
              </w:rPr>
              <w:t>每学期团队服务费占营业总额比例不得超过28%。</w:t>
            </w:r>
          </w:p>
          <w:p w14:paraId="36AF67E4">
            <w:pPr>
              <w:keepNext w:val="0"/>
              <w:keepLines w:val="0"/>
              <w:pageBreakBefore w:val="0"/>
              <w:widowControl w:val="0"/>
              <w:kinsoku/>
              <w:wordWrap/>
              <w:overflowPunct/>
              <w:topLinePunct w:val="0"/>
              <w:autoSpaceDE/>
              <w:autoSpaceDN/>
              <w:bidi w:val="0"/>
              <w:spacing w:beforeAutospacing="0" w:afterAutospacing="0" w:line="400" w:lineRule="exact"/>
              <w:ind w:left="6" w:firstLine="412" w:firstLineChars="171"/>
              <w:jc w:val="both"/>
              <w:textAlignment w:val="auto"/>
              <w:rPr>
                <w:rFonts w:hint="eastAsia" w:ascii="宋体" w:hAnsi="宋体" w:eastAsia="宋体" w:cs="宋体"/>
                <w:b/>
                <w:bCs/>
                <w:color w:val="auto"/>
                <w:kern w:val="0"/>
                <w:sz w:val="24"/>
                <w:szCs w:val="24"/>
                <w:highlight w:val="none"/>
                <w:u w:val="none"/>
                <w:lang w:val="en-US" w:eastAsia="zh-CN" w:bidi="ar-SA"/>
              </w:rPr>
            </w:pPr>
            <w:r>
              <w:rPr>
                <w:rFonts w:hint="eastAsia" w:ascii="宋体" w:hAnsi="宋体" w:cs="宋体"/>
                <w:b/>
                <w:bCs/>
                <w:color w:val="auto"/>
                <w:kern w:val="0"/>
                <w:sz w:val="24"/>
                <w:szCs w:val="24"/>
                <w:highlight w:val="none"/>
                <w:u w:val="none"/>
                <w:lang w:val="en-US" w:eastAsia="zh-CN" w:bidi="ar-SA"/>
              </w:rPr>
              <w:t>6</w:t>
            </w:r>
            <w:r>
              <w:rPr>
                <w:rFonts w:hint="eastAsia" w:ascii="宋体" w:hAnsi="宋体" w:eastAsia="宋体" w:cs="宋体"/>
                <w:b/>
                <w:bCs/>
                <w:color w:val="auto"/>
                <w:kern w:val="0"/>
                <w:sz w:val="24"/>
                <w:szCs w:val="24"/>
                <w:highlight w:val="none"/>
                <w:u w:val="none"/>
                <w:lang w:val="en-US" w:eastAsia="zh-CN" w:bidi="ar-SA"/>
              </w:rPr>
              <w:t>.学校寒、暑假餐厅值班营业期间（从校历放假之日起算），当月不进行综合测评和满意度测评。按实际出勤人数按天累计，仅发基本工资</w:t>
            </w:r>
            <w:r>
              <w:rPr>
                <w:rFonts w:hint="default" w:ascii="Calibri" w:hAnsi="Calibri" w:eastAsia="宋体" w:cs="宋体"/>
                <w:b/>
                <w:bCs/>
                <w:color w:val="auto"/>
                <w:kern w:val="0"/>
                <w:sz w:val="24"/>
                <w:szCs w:val="24"/>
                <w:highlight w:val="none"/>
                <w:u w:val="none"/>
                <w:vertAlign w:val="superscript"/>
                <w:lang w:val="en-US" w:eastAsia="zh-CN" w:bidi="ar-SA"/>
              </w:rPr>
              <w:t>①</w:t>
            </w:r>
            <w:r>
              <w:rPr>
                <w:rFonts w:hint="eastAsia" w:ascii="宋体" w:hAnsi="宋体" w:eastAsia="宋体" w:cs="宋体"/>
                <w:b/>
                <w:bCs/>
                <w:color w:val="auto"/>
                <w:kern w:val="0"/>
                <w:sz w:val="24"/>
                <w:szCs w:val="24"/>
                <w:highlight w:val="none"/>
                <w:u w:val="none"/>
                <w:lang w:val="en-US" w:eastAsia="zh-CN" w:bidi="ar-SA"/>
              </w:rPr>
              <w:t>，</w:t>
            </w:r>
            <w:r>
              <w:rPr>
                <w:rFonts w:hint="eastAsia" w:ascii="宋体" w:hAnsi="宋体" w:cs="宋体"/>
                <w:b/>
                <w:bCs/>
                <w:color w:val="auto"/>
                <w:kern w:val="0"/>
                <w:sz w:val="24"/>
                <w:szCs w:val="24"/>
                <w:highlight w:val="none"/>
                <w:u w:val="none"/>
                <w:lang w:val="en-US" w:eastAsia="zh-CN" w:bidi="ar-SA"/>
              </w:rPr>
              <w:t>值班结束时统一</w:t>
            </w:r>
            <w:r>
              <w:rPr>
                <w:rFonts w:hint="eastAsia" w:ascii="宋体" w:hAnsi="宋体" w:eastAsia="宋体" w:cs="宋体"/>
                <w:b/>
                <w:bCs/>
                <w:color w:val="auto"/>
                <w:kern w:val="0"/>
                <w:sz w:val="24"/>
                <w:szCs w:val="24"/>
                <w:highlight w:val="none"/>
                <w:u w:val="none"/>
                <w:lang w:val="en-US" w:eastAsia="zh-CN" w:bidi="ar-SA"/>
              </w:rPr>
              <w:t>结算。</w:t>
            </w:r>
          </w:p>
          <w:p w14:paraId="758CE22A">
            <w:pPr>
              <w:keepNext w:val="0"/>
              <w:keepLines w:val="0"/>
              <w:pageBreakBefore w:val="0"/>
              <w:widowControl w:val="0"/>
              <w:kinsoku/>
              <w:wordWrap/>
              <w:overflowPunct/>
              <w:topLinePunct w:val="0"/>
              <w:autoSpaceDE/>
              <w:autoSpaceDN/>
              <w:bidi w:val="0"/>
              <w:spacing w:beforeAutospacing="0" w:afterAutospacing="0" w:line="400" w:lineRule="exact"/>
              <w:ind w:left="6" w:firstLine="412" w:firstLineChars="171"/>
              <w:jc w:val="both"/>
              <w:textAlignment w:val="auto"/>
              <w:rPr>
                <w:rFonts w:hint="default" w:ascii="宋体" w:hAnsi="宋体" w:eastAsia="宋体" w:cs="宋体"/>
                <w:b/>
                <w:bCs/>
                <w:color w:val="auto"/>
                <w:kern w:val="0"/>
                <w:sz w:val="24"/>
                <w:szCs w:val="24"/>
                <w:highlight w:val="none"/>
                <w:u w:val="none"/>
                <w:lang w:val="en-US" w:eastAsia="zh-CN" w:bidi="ar-SA"/>
              </w:rPr>
            </w:pPr>
            <w:r>
              <w:rPr>
                <w:rFonts w:hint="eastAsia" w:ascii="宋体" w:hAnsi="宋体" w:cs="宋体"/>
                <w:b/>
                <w:bCs/>
                <w:color w:val="auto"/>
                <w:kern w:val="0"/>
                <w:sz w:val="24"/>
                <w:szCs w:val="24"/>
                <w:highlight w:val="none"/>
                <w:u w:val="none"/>
                <w:lang w:val="en-US" w:eastAsia="zh-CN" w:bidi="ar-SA"/>
              </w:rPr>
              <w:t>寒暑假值班期间盈亏情况不纳入学期的成本绩效奖励成本核算（以值班期间所在月份算）。</w:t>
            </w:r>
          </w:p>
          <w:p w14:paraId="71EA5068">
            <w:pPr>
              <w:keepNext w:val="0"/>
              <w:keepLines w:val="0"/>
              <w:pageBreakBefore w:val="0"/>
              <w:widowControl w:val="0"/>
              <w:kinsoku/>
              <w:wordWrap/>
              <w:overflowPunct/>
              <w:topLinePunct w:val="0"/>
              <w:autoSpaceDE/>
              <w:autoSpaceDN/>
              <w:bidi w:val="0"/>
              <w:spacing w:beforeAutospacing="0" w:afterAutospacing="0" w:line="400" w:lineRule="exact"/>
              <w:ind w:left="6" w:firstLine="412" w:firstLineChars="171"/>
              <w:jc w:val="both"/>
              <w:textAlignment w:val="auto"/>
              <w:rPr>
                <w:rFonts w:hint="eastAsia" w:ascii="宋体" w:hAnsi="宋体" w:eastAsia="宋体" w:cs="宋体"/>
                <w:b/>
                <w:bCs/>
                <w:color w:val="auto"/>
                <w:kern w:val="0"/>
                <w:sz w:val="24"/>
                <w:szCs w:val="24"/>
                <w:highlight w:val="none"/>
                <w:u w:val="single"/>
                <w:lang w:val="en-US" w:eastAsia="zh-CN" w:bidi="ar-SA"/>
              </w:rPr>
            </w:pPr>
            <w:r>
              <w:rPr>
                <w:rFonts w:hint="eastAsia" w:ascii="宋体" w:hAnsi="宋体" w:cs="宋体"/>
                <w:b/>
                <w:bCs/>
                <w:color w:val="auto"/>
                <w:kern w:val="0"/>
                <w:sz w:val="24"/>
                <w:szCs w:val="24"/>
                <w:highlight w:val="none"/>
                <w:u w:val="single"/>
                <w:lang w:val="en-US" w:eastAsia="zh-CN" w:bidi="ar-SA"/>
              </w:rPr>
              <w:t>7</w:t>
            </w:r>
            <w:r>
              <w:rPr>
                <w:rFonts w:hint="eastAsia" w:ascii="宋体" w:hAnsi="宋体" w:eastAsia="宋体" w:cs="宋体"/>
                <w:b/>
                <w:bCs/>
                <w:color w:val="auto"/>
                <w:kern w:val="0"/>
                <w:sz w:val="24"/>
                <w:szCs w:val="24"/>
                <w:highlight w:val="none"/>
                <w:u w:val="single"/>
                <w:lang w:val="en-US" w:eastAsia="zh-CN" w:bidi="ar-SA"/>
              </w:rPr>
              <w:t>.寒、暑假每月应付款金额=值班期间出勤人次汇总*中标平均日工资。</w:t>
            </w:r>
          </w:p>
          <w:p w14:paraId="4FF75096">
            <w:pPr>
              <w:keepNext w:val="0"/>
              <w:keepLines w:val="0"/>
              <w:pageBreakBefore w:val="0"/>
              <w:widowControl w:val="0"/>
              <w:kinsoku/>
              <w:wordWrap/>
              <w:overflowPunct/>
              <w:topLinePunct w:val="0"/>
              <w:autoSpaceDE/>
              <w:autoSpaceDN/>
              <w:bidi w:val="0"/>
              <w:spacing w:beforeAutospacing="0" w:afterAutospacing="0" w:line="400" w:lineRule="exact"/>
              <w:ind w:left="6" w:firstLine="412" w:firstLineChars="171"/>
              <w:jc w:val="both"/>
              <w:textAlignment w:val="auto"/>
              <w:rPr>
                <w:rFonts w:hint="eastAsia" w:ascii="宋体" w:hAnsi="宋体" w:eastAsia="宋体" w:cs="宋体"/>
                <w:b/>
                <w:bCs/>
                <w:color w:val="auto"/>
                <w:kern w:val="0"/>
                <w:sz w:val="24"/>
                <w:szCs w:val="24"/>
                <w:highlight w:val="none"/>
                <w:u w:val="none"/>
                <w:lang w:val="en-US" w:eastAsia="zh-CN" w:bidi="ar-SA"/>
              </w:rPr>
            </w:pPr>
            <w:r>
              <w:rPr>
                <w:rFonts w:hint="eastAsia" w:ascii="宋体" w:hAnsi="宋体" w:cs="宋体"/>
                <w:b/>
                <w:bCs/>
                <w:color w:val="auto"/>
                <w:kern w:val="0"/>
                <w:sz w:val="24"/>
                <w:szCs w:val="24"/>
                <w:highlight w:val="none"/>
                <w:u w:val="none"/>
                <w:lang w:val="en-US" w:eastAsia="zh-CN" w:bidi="ar-SA"/>
              </w:rPr>
              <w:t>8</w:t>
            </w:r>
            <w:r>
              <w:rPr>
                <w:rFonts w:hint="eastAsia" w:ascii="宋体" w:hAnsi="宋体" w:eastAsia="宋体" w:cs="宋体"/>
                <w:b/>
                <w:bCs/>
                <w:color w:val="auto"/>
                <w:kern w:val="0"/>
                <w:sz w:val="24"/>
                <w:szCs w:val="24"/>
                <w:highlight w:val="none"/>
                <w:u w:val="none"/>
                <w:lang w:val="en-US" w:eastAsia="zh-CN" w:bidi="ar-SA"/>
              </w:rPr>
              <w:t>.说明：</w:t>
            </w:r>
          </w:p>
          <w:p w14:paraId="72F4A418">
            <w:pPr>
              <w:keepNext w:val="0"/>
              <w:keepLines w:val="0"/>
              <w:pageBreakBefore w:val="0"/>
              <w:widowControl w:val="0"/>
              <w:numPr>
                <w:ilvl w:val="0"/>
                <w:numId w:val="12"/>
              </w:numPr>
              <w:kinsoku/>
              <w:wordWrap/>
              <w:overflowPunct/>
              <w:topLinePunct w:val="0"/>
              <w:autoSpaceDE/>
              <w:autoSpaceDN/>
              <w:bidi w:val="0"/>
              <w:spacing w:beforeAutospacing="0" w:afterAutospacing="0" w:line="400" w:lineRule="exact"/>
              <w:ind w:left="0" w:leftChars="0" w:firstLine="400" w:firstLineChars="0"/>
              <w:jc w:val="both"/>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每月基本工资</w:t>
            </w:r>
            <w:r>
              <w:rPr>
                <w:rFonts w:hint="eastAsia" w:ascii="宋体" w:hAnsi="宋体" w:eastAsia="宋体" w:cs="宋体"/>
                <w:b w:val="0"/>
                <w:bCs w:val="0"/>
                <w:color w:val="auto"/>
                <w:kern w:val="0"/>
                <w:sz w:val="24"/>
                <w:szCs w:val="24"/>
                <w:highlight w:val="none"/>
                <w:lang w:val="en-US" w:eastAsia="zh-CN" w:bidi="ar-SA"/>
              </w:rPr>
              <w:t>：每月基本工资=中标平均日单价（</w:t>
            </w:r>
            <w:r>
              <w:rPr>
                <w:rFonts w:hint="eastAsia" w:ascii="宋体" w:hAnsi="宋体" w:eastAsia="宋体" w:cs="宋体"/>
                <w:b/>
                <w:bCs/>
                <w:color w:val="auto"/>
                <w:kern w:val="0"/>
                <w:sz w:val="24"/>
                <w:szCs w:val="24"/>
                <w:highlight w:val="none"/>
                <w:lang w:val="en-US" w:eastAsia="zh-CN" w:bidi="ar-SA"/>
              </w:rPr>
              <w:t>即中标金额/28天</w:t>
            </w:r>
            <w:r>
              <w:rPr>
                <w:rFonts w:hint="eastAsia" w:ascii="宋体" w:hAnsi="宋体" w:eastAsia="宋体" w:cs="宋体"/>
                <w:b w:val="0"/>
                <w:bCs w:val="0"/>
                <w:color w:val="auto"/>
                <w:kern w:val="0"/>
                <w:sz w:val="24"/>
                <w:szCs w:val="24"/>
                <w:highlight w:val="none"/>
                <w:lang w:val="en-US" w:eastAsia="zh-CN" w:bidi="ar-SA"/>
              </w:rPr>
              <w:t>）*实际工作天数；</w:t>
            </w:r>
          </w:p>
          <w:p w14:paraId="1B33357F">
            <w:pPr>
              <w:keepNext w:val="0"/>
              <w:keepLines w:val="0"/>
              <w:pageBreakBefore w:val="0"/>
              <w:widowControl w:val="0"/>
              <w:kinsoku/>
              <w:wordWrap/>
              <w:overflowPunct/>
              <w:topLinePunct w:val="0"/>
              <w:autoSpaceDE/>
              <w:autoSpaceDN/>
              <w:bidi w:val="0"/>
              <w:spacing w:beforeAutospacing="0" w:afterAutospacing="0" w:line="400" w:lineRule="exact"/>
              <w:ind w:left="6" w:firstLine="410" w:firstLineChars="171"/>
              <w:jc w:val="both"/>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注：其中法定节假日（学生上课期间的清明节、五一节、国庆节等法定节假日放假）不管是否餐厅值班，均计为工作天数。</w:t>
            </w:r>
            <w:r>
              <w:rPr>
                <w:rFonts w:hint="eastAsia" w:ascii="宋体" w:hAnsi="宋体" w:eastAsia="宋体" w:cs="宋体"/>
                <w:b w:val="0"/>
                <w:bCs w:val="0"/>
                <w:color w:val="auto"/>
                <w:kern w:val="0"/>
                <w:sz w:val="24"/>
                <w:szCs w:val="24"/>
                <w:highlight w:val="none"/>
                <w:u w:val="single"/>
                <w:lang w:val="en-US" w:eastAsia="zh-CN" w:bidi="ar-SA"/>
              </w:rPr>
              <w:t>实际工作天数超过28天的，以28天计</w:t>
            </w:r>
            <w:r>
              <w:rPr>
                <w:rFonts w:hint="eastAsia" w:ascii="宋体" w:hAnsi="宋体" w:eastAsia="宋体" w:cs="宋体"/>
                <w:b w:val="0"/>
                <w:bCs w:val="0"/>
                <w:color w:val="auto"/>
                <w:kern w:val="0"/>
                <w:sz w:val="24"/>
                <w:szCs w:val="24"/>
                <w:highlight w:val="none"/>
                <w:lang w:val="en-US" w:eastAsia="zh-CN" w:bidi="ar-SA"/>
              </w:rPr>
              <w:t>。</w:t>
            </w:r>
          </w:p>
          <w:p w14:paraId="032A1590">
            <w:pPr>
              <w:keepNext w:val="0"/>
              <w:keepLines w:val="0"/>
              <w:pageBreakBefore w:val="0"/>
              <w:widowControl w:val="0"/>
              <w:numPr>
                <w:ilvl w:val="0"/>
                <w:numId w:val="12"/>
              </w:numPr>
              <w:kinsoku/>
              <w:wordWrap/>
              <w:overflowPunct/>
              <w:topLinePunct w:val="0"/>
              <w:autoSpaceDE/>
              <w:autoSpaceDN/>
              <w:bidi w:val="0"/>
              <w:spacing w:beforeAutospacing="0" w:afterAutospacing="0" w:line="400" w:lineRule="exact"/>
              <w:ind w:left="0" w:leftChars="0" w:firstLine="400" w:firstLineChars="0"/>
              <w:jc w:val="both"/>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用餐人数附加费用</w:t>
            </w:r>
          </w:p>
          <w:p w14:paraId="0C446BB7">
            <w:pPr>
              <w:keepNext w:val="0"/>
              <w:keepLines w:val="0"/>
              <w:pageBreakBefore w:val="0"/>
              <w:widowControl w:val="0"/>
              <w:numPr>
                <w:ilvl w:val="0"/>
                <w:numId w:val="0"/>
              </w:numPr>
              <w:kinsoku/>
              <w:wordWrap/>
              <w:overflowPunct/>
              <w:topLinePunct w:val="0"/>
              <w:autoSpaceDE/>
              <w:autoSpaceDN/>
              <w:bidi w:val="0"/>
              <w:spacing w:beforeAutospacing="0" w:afterAutospacing="0" w:line="400" w:lineRule="exact"/>
              <w:ind w:left="0" w:leftChars="0" w:firstLine="434" w:firstLineChars="181"/>
              <w:jc w:val="both"/>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每日午餐用餐刷卡人次超出约定1500人次</w:t>
            </w:r>
            <w:r>
              <w:rPr>
                <w:rFonts w:hint="eastAsia" w:ascii="宋体" w:hAnsi="宋体" w:eastAsia="宋体" w:cs="宋体"/>
                <w:bCs/>
                <w:color w:val="auto"/>
                <w:kern w:val="2"/>
                <w:sz w:val="24"/>
                <w:szCs w:val="24"/>
                <w:highlight w:val="none"/>
                <w:u w:val="single"/>
                <w:lang w:val="en-US" w:eastAsia="zh-CN" w:bidi="ar-SA"/>
              </w:rPr>
              <w:t>（含各类公务活动，其中学校各类公务用餐人数以校方相关证明为准，师生用餐以系统刷卡人次记录为准）</w:t>
            </w:r>
            <w:r>
              <w:rPr>
                <w:rFonts w:hint="eastAsia" w:ascii="宋体" w:hAnsi="宋体" w:eastAsia="宋体" w:cs="宋体"/>
                <w:bCs/>
                <w:color w:val="auto"/>
                <w:kern w:val="2"/>
                <w:sz w:val="24"/>
                <w:szCs w:val="24"/>
                <w:highlight w:val="none"/>
                <w:lang w:val="en-US" w:eastAsia="zh-CN" w:bidi="ar-SA"/>
              </w:rPr>
              <w:t>，每超出约定用餐人次</w:t>
            </w:r>
            <w:r>
              <w:rPr>
                <w:rFonts w:hint="eastAsia" w:ascii="宋体" w:hAnsi="宋体" w:eastAsia="宋体" w:cs="宋体"/>
                <w:b w:val="0"/>
                <w:bCs w:val="0"/>
                <w:color w:val="auto"/>
                <w:kern w:val="2"/>
                <w:sz w:val="24"/>
                <w:szCs w:val="24"/>
                <w:highlight w:val="none"/>
                <w:lang w:val="en-US" w:eastAsia="zh-CN" w:bidi="ar-SA"/>
              </w:rPr>
              <w:t>60人</w:t>
            </w:r>
            <w:r>
              <w:rPr>
                <w:rFonts w:hint="eastAsia" w:ascii="宋体" w:hAnsi="宋体" w:eastAsia="宋体" w:cs="宋体"/>
                <w:bCs/>
                <w:color w:val="auto"/>
                <w:kern w:val="2"/>
                <w:sz w:val="24"/>
                <w:szCs w:val="24"/>
                <w:highlight w:val="none"/>
                <w:lang w:val="en-US" w:eastAsia="zh-CN" w:bidi="ar-SA"/>
              </w:rPr>
              <w:t>增加服务人员岗位1名（每月累计超过10天及以上，以超过1500人次10天以上的最低值计算），以此类推。</w:t>
            </w:r>
            <w:r>
              <w:rPr>
                <w:rFonts w:hint="eastAsia" w:ascii="宋体" w:hAnsi="宋体" w:eastAsia="宋体" w:cs="宋体"/>
                <w:color w:val="auto"/>
                <w:kern w:val="2"/>
                <w:sz w:val="24"/>
                <w:szCs w:val="24"/>
                <w:highlight w:val="none"/>
                <w:lang w:val="en-US" w:eastAsia="zh-CN" w:bidi="ar-SA"/>
              </w:rPr>
              <w:t>增加人员费用须经采购人现场经理、食堂管理人员及主管人员签证，</w:t>
            </w:r>
            <w:r>
              <w:rPr>
                <w:rFonts w:hint="eastAsia" w:ascii="宋体" w:hAnsi="宋体" w:eastAsia="宋体" w:cs="宋体"/>
                <w:bCs/>
                <w:color w:val="auto"/>
                <w:kern w:val="2"/>
                <w:sz w:val="24"/>
                <w:szCs w:val="24"/>
                <w:highlight w:val="none"/>
                <w:lang w:val="en-US" w:eastAsia="zh-CN" w:bidi="ar-SA"/>
              </w:rPr>
              <w:t>按中标人均价格（</w:t>
            </w:r>
            <w:r>
              <w:rPr>
                <w:rFonts w:hint="eastAsia" w:ascii="宋体" w:hAnsi="宋体" w:eastAsia="宋体" w:cs="宋体"/>
                <w:b/>
                <w:bCs/>
                <w:color w:val="auto"/>
                <w:kern w:val="2"/>
                <w:sz w:val="24"/>
                <w:szCs w:val="24"/>
                <w:highlight w:val="none"/>
                <w:lang w:val="en-US" w:eastAsia="zh-CN" w:bidi="ar-SA"/>
              </w:rPr>
              <w:t>即中标金额/(</w:t>
            </w:r>
            <w:r>
              <w:rPr>
                <w:rFonts w:hint="eastAsia" w:ascii="宋体" w:hAnsi="宋体" w:eastAsia="宋体" w:cs="宋体"/>
                <w:b/>
                <w:bCs/>
                <w:color w:val="auto"/>
                <w:kern w:val="2"/>
                <w:sz w:val="24"/>
                <w:szCs w:val="24"/>
                <w:highlight w:val="none"/>
                <w:u w:val="single"/>
                <w:lang w:val="en-US" w:eastAsia="zh-CN" w:bidi="ar-SA"/>
              </w:rPr>
              <w:t>最低配备人数*28</w:t>
            </w:r>
            <w:r>
              <w:rPr>
                <w:rFonts w:hint="eastAsia" w:ascii="宋体" w:hAnsi="宋体" w:eastAsia="宋体" w:cs="宋体"/>
                <w:b/>
                <w:bCs/>
                <w:color w:val="auto"/>
                <w:kern w:val="2"/>
                <w:sz w:val="24"/>
                <w:szCs w:val="24"/>
                <w:highlight w:val="none"/>
                <w:lang w:val="en-US" w:eastAsia="zh-CN" w:bidi="ar-SA"/>
              </w:rPr>
              <w:t>)</w:t>
            </w:r>
            <w:r>
              <w:rPr>
                <w:rFonts w:hint="eastAsia" w:ascii="宋体" w:hAnsi="宋体" w:eastAsia="宋体" w:cs="宋体"/>
                <w:bCs/>
                <w:color w:val="auto"/>
                <w:kern w:val="2"/>
                <w:sz w:val="24"/>
                <w:szCs w:val="24"/>
                <w:highlight w:val="none"/>
                <w:lang w:val="en-US" w:eastAsia="zh-CN" w:bidi="ar-SA"/>
              </w:rPr>
              <w:t>）计算，</w:t>
            </w:r>
            <w:r>
              <w:rPr>
                <w:rFonts w:hint="eastAsia" w:ascii="宋体" w:hAnsi="宋体" w:eastAsia="宋体" w:cs="宋体"/>
                <w:b/>
                <w:color w:val="auto"/>
                <w:kern w:val="2"/>
                <w:sz w:val="24"/>
                <w:szCs w:val="24"/>
                <w:highlight w:val="none"/>
                <w:u w:val="single"/>
                <w:lang w:val="en-US" w:eastAsia="zh-CN" w:bidi="ar-SA"/>
              </w:rPr>
              <w:t>增加人员岗位费用另行向采购人收取，按月结算支付，纳入食堂运营成本</w:t>
            </w:r>
            <w:r>
              <w:rPr>
                <w:rFonts w:hint="eastAsia" w:ascii="宋体" w:hAnsi="宋体" w:eastAsia="宋体" w:cs="宋体"/>
                <w:b/>
                <w:color w:val="auto"/>
                <w:kern w:val="2"/>
                <w:sz w:val="24"/>
                <w:szCs w:val="24"/>
                <w:highlight w:val="none"/>
                <w:lang w:val="en-US" w:eastAsia="zh-CN" w:bidi="ar-SA"/>
              </w:rPr>
              <w:t>。</w:t>
            </w:r>
          </w:p>
          <w:p w14:paraId="345CA48B">
            <w:pPr>
              <w:keepNext w:val="0"/>
              <w:keepLines w:val="0"/>
              <w:pageBreakBefore w:val="0"/>
              <w:widowControl w:val="0"/>
              <w:numPr>
                <w:ilvl w:val="0"/>
                <w:numId w:val="12"/>
              </w:numPr>
              <w:kinsoku/>
              <w:wordWrap/>
              <w:overflowPunct/>
              <w:topLinePunct w:val="0"/>
              <w:autoSpaceDE/>
              <w:autoSpaceDN/>
              <w:bidi w:val="0"/>
              <w:spacing w:beforeAutospacing="0" w:afterAutospacing="0" w:line="400" w:lineRule="exact"/>
              <w:ind w:left="0" w:leftChars="0" w:firstLine="400" w:firstLineChars="0"/>
              <w:jc w:val="both"/>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b/>
                <w:bCs w:val="0"/>
                <w:color w:val="auto"/>
                <w:kern w:val="2"/>
                <w:sz w:val="24"/>
                <w:szCs w:val="24"/>
                <w:highlight w:val="none"/>
                <w:lang w:val="en-US" w:eastAsia="zh-CN" w:bidi="ar-SA"/>
              </w:rPr>
              <w:t>用餐人数核减费用</w:t>
            </w:r>
          </w:p>
          <w:p w14:paraId="1CEB421E">
            <w:pPr>
              <w:keepNext w:val="0"/>
              <w:keepLines w:val="0"/>
              <w:pageBreakBefore w:val="0"/>
              <w:widowControl w:val="0"/>
              <w:numPr>
                <w:ilvl w:val="0"/>
                <w:numId w:val="0"/>
              </w:numPr>
              <w:kinsoku/>
              <w:wordWrap/>
              <w:overflowPunct/>
              <w:topLinePunct w:val="0"/>
              <w:autoSpaceDE/>
              <w:autoSpaceDN/>
              <w:bidi w:val="0"/>
              <w:spacing w:beforeAutospacing="0" w:afterAutospacing="0" w:line="400" w:lineRule="exact"/>
              <w:ind w:left="0" w:leftChars="0" w:firstLine="434" w:firstLineChars="181"/>
              <w:jc w:val="both"/>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bCs/>
                <w:color w:val="auto"/>
                <w:kern w:val="2"/>
                <w:sz w:val="24"/>
                <w:szCs w:val="24"/>
                <w:highlight w:val="none"/>
                <w:lang w:val="en-US" w:eastAsia="zh-CN" w:bidi="ar-SA"/>
              </w:rPr>
              <w:t>若每日午餐用餐人次为1000人以下，甲方核减20%（含）的团队服务费用（以系统刷卡人次记录为准，每月累计午餐用餐人次低于1000人的天数超过10天及以上。</w:t>
            </w:r>
            <w:r>
              <w:rPr>
                <w:rFonts w:hint="eastAsia" w:ascii="Times New Roman" w:hAnsi="Times New Roman" w:eastAsia="宋体" w:cs="Times New Roman"/>
                <w:b/>
                <w:color w:val="auto"/>
                <w:kern w:val="2"/>
                <w:sz w:val="24"/>
                <w:szCs w:val="24"/>
                <w:highlight w:val="none"/>
                <w:u w:val="single"/>
                <w:lang w:val="en-US" w:eastAsia="zh-CN" w:bidi="ar-SA"/>
              </w:rPr>
              <w:t>学院安排的全部或部分学生放假、寒暑假值班、周末及法定节假日不计入午餐用餐人数低于1000人次的累计核减天数</w:t>
            </w:r>
            <w:r>
              <w:rPr>
                <w:rFonts w:hint="eastAsia" w:ascii="Times New Roman" w:hAnsi="Times New Roman" w:eastAsia="宋体" w:cs="Times New Roman"/>
                <w:b/>
                <w:color w:val="auto"/>
                <w:kern w:val="2"/>
                <w:sz w:val="24"/>
                <w:szCs w:val="24"/>
                <w:highlight w:val="none"/>
                <w:lang w:val="en-US" w:eastAsia="zh-CN" w:bidi="ar-SA"/>
              </w:rPr>
              <w:t>）</w:t>
            </w:r>
            <w:r>
              <w:rPr>
                <w:rFonts w:hint="eastAsia" w:ascii="Times New Roman" w:hAnsi="Times New Roman" w:eastAsia="宋体" w:cs="Times New Roman"/>
                <w:bCs/>
                <w:color w:val="auto"/>
                <w:kern w:val="2"/>
                <w:sz w:val="24"/>
                <w:szCs w:val="24"/>
                <w:highlight w:val="none"/>
                <w:lang w:val="en-US" w:eastAsia="zh-CN" w:bidi="ar-SA"/>
              </w:rPr>
              <w:t>。</w:t>
            </w:r>
          </w:p>
          <w:p w14:paraId="07A0396E">
            <w:pPr>
              <w:keepNext w:val="0"/>
              <w:keepLines w:val="0"/>
              <w:pageBreakBefore w:val="0"/>
              <w:widowControl w:val="0"/>
              <w:numPr>
                <w:ilvl w:val="0"/>
                <w:numId w:val="12"/>
              </w:numPr>
              <w:kinsoku/>
              <w:wordWrap/>
              <w:overflowPunct/>
              <w:topLinePunct w:val="0"/>
              <w:autoSpaceDE/>
              <w:autoSpaceDN/>
              <w:bidi w:val="0"/>
              <w:spacing w:beforeAutospacing="0" w:afterAutospacing="0" w:line="400" w:lineRule="exact"/>
              <w:ind w:left="0" w:leftChars="0" w:firstLine="40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Times New Roman" w:hAnsi="Times New Roman" w:eastAsia="宋体" w:cs="Times New Roman"/>
                <w:b/>
                <w:bCs w:val="0"/>
                <w:color w:val="auto"/>
                <w:kern w:val="2"/>
                <w:sz w:val="24"/>
                <w:szCs w:val="24"/>
                <w:highlight w:val="none"/>
                <w:lang w:val="en-US" w:eastAsia="zh-CN" w:bidi="ar-SA"/>
              </w:rPr>
              <w:t>员工缺勤核减：</w:t>
            </w:r>
          </w:p>
          <w:p w14:paraId="2A5A5248">
            <w:pPr>
              <w:keepNext w:val="0"/>
              <w:keepLines w:val="0"/>
              <w:pageBreakBefore w:val="0"/>
              <w:widowControl w:val="0"/>
              <w:numPr>
                <w:ilvl w:val="0"/>
                <w:numId w:val="13"/>
              </w:numPr>
              <w:kinsoku/>
              <w:wordWrap/>
              <w:overflowPunct/>
              <w:topLinePunct w:val="0"/>
              <w:autoSpaceDE/>
              <w:autoSpaceDN/>
              <w:bidi w:val="0"/>
              <w:spacing w:beforeAutospacing="0" w:afterAutospacing="0" w:line="400" w:lineRule="exact"/>
              <w:ind w:left="5" w:leftChars="0" w:firstLine="415" w:firstLineChars="0"/>
              <w:jc w:val="both"/>
              <w:textAlignment w:val="auto"/>
              <w:rPr>
                <w:rFonts w:hint="eastAsia" w:ascii="宋体" w:hAnsi="宋体" w:eastAsia="宋体" w:cs="宋体"/>
                <w:b/>
                <w:color w:val="auto"/>
                <w:kern w:val="0"/>
                <w:sz w:val="24"/>
                <w:szCs w:val="24"/>
                <w:highlight w:val="none"/>
                <w:u w:val="single"/>
                <w:lang w:val="en-US" w:eastAsia="zh-CN" w:bidi="ar-SA"/>
              </w:rPr>
            </w:pPr>
            <w:r>
              <w:rPr>
                <w:rFonts w:hint="eastAsia" w:ascii="宋体" w:hAnsi="宋体" w:eastAsia="宋体" w:cs="宋体"/>
                <w:color w:val="auto"/>
                <w:kern w:val="2"/>
                <w:sz w:val="24"/>
                <w:szCs w:val="24"/>
                <w:highlight w:val="none"/>
                <w:lang w:val="en-US" w:eastAsia="zh-CN" w:bidi="ar-SA"/>
              </w:rPr>
              <w:t>出勤人员每减少1名，</w:t>
            </w:r>
            <w:r>
              <w:rPr>
                <w:rFonts w:hint="eastAsia" w:ascii="宋体" w:hAnsi="宋体" w:eastAsia="宋体" w:cs="宋体"/>
                <w:color w:val="auto"/>
                <w:kern w:val="2"/>
                <w:sz w:val="24"/>
                <w:szCs w:val="24"/>
                <w:highlight w:val="none"/>
                <w:u w:val="single"/>
                <w:lang w:val="en-US" w:eastAsia="zh-CN" w:bidi="ar-SA"/>
              </w:rPr>
              <w:t>按中标人均日平均工资（每月按28天核算）核减1名人员费用</w:t>
            </w:r>
            <w:r>
              <w:rPr>
                <w:rFonts w:hint="eastAsia" w:ascii="Times New Roman" w:hAnsi="Times New Roman" w:eastAsia="宋体" w:cs="Times New Roman"/>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每日汇总人数，按月累计结算</w:t>
            </w:r>
            <w:r>
              <w:rPr>
                <w:rFonts w:hint="eastAsia" w:ascii="宋体" w:hAnsi="宋体" w:eastAsia="宋体" w:cs="宋体"/>
                <w:bCs/>
                <w:color w:val="auto"/>
                <w:kern w:val="0"/>
                <w:sz w:val="24"/>
                <w:szCs w:val="24"/>
                <w:highlight w:val="none"/>
                <w:lang w:val="en-US" w:eastAsia="zh-CN" w:bidi="ar-SA"/>
              </w:rPr>
              <w:t>。</w:t>
            </w:r>
          </w:p>
          <w:p w14:paraId="29898772">
            <w:pPr>
              <w:keepNext w:val="0"/>
              <w:keepLines w:val="0"/>
              <w:pageBreakBefore w:val="0"/>
              <w:widowControl w:val="0"/>
              <w:numPr>
                <w:ilvl w:val="0"/>
                <w:numId w:val="13"/>
              </w:numPr>
              <w:kinsoku/>
              <w:wordWrap/>
              <w:overflowPunct/>
              <w:topLinePunct w:val="0"/>
              <w:autoSpaceDE/>
              <w:autoSpaceDN/>
              <w:bidi w:val="0"/>
              <w:spacing w:beforeAutospacing="0" w:afterAutospacing="0" w:line="400" w:lineRule="exact"/>
              <w:ind w:left="5" w:leftChars="0" w:firstLine="415" w:firstLineChars="0"/>
              <w:jc w:val="both"/>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聘用人员每超龄1名（</w:t>
            </w:r>
            <w:r>
              <w:rPr>
                <w:rFonts w:hint="eastAsia" w:ascii="宋体" w:hAnsi="宋体" w:eastAsia="宋体" w:cs="宋体"/>
                <w:b/>
                <w:bCs/>
                <w:i w:val="0"/>
                <w:iCs w:val="0"/>
                <w:smallCaps w:val="0"/>
                <w:color w:val="auto"/>
                <w:kern w:val="2"/>
                <w:sz w:val="24"/>
                <w:szCs w:val="24"/>
                <w:highlight w:val="none"/>
                <w:lang w:val="en-US" w:eastAsia="zh-CN" w:bidi="ar-SA"/>
              </w:rPr>
              <w:t>如果员工初次聘用时低于59周岁，之后一直在食堂工作未间断，合同期内则不视为超龄）</w:t>
            </w:r>
            <w:r>
              <w:rPr>
                <w:rFonts w:hint="eastAsia" w:ascii="Times New Roman" w:hAnsi="Times New Roman" w:eastAsia="宋体" w:cs="Times New Roman"/>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u w:val="single"/>
                <w:lang w:val="en-US" w:eastAsia="zh-CN" w:bidi="ar-SA"/>
              </w:rPr>
              <w:t>按中标人均日平均工资（每月按28天核算）核减1名人员费用</w:t>
            </w:r>
            <w:r>
              <w:rPr>
                <w:rFonts w:hint="eastAsia" w:ascii="Times New Roman" w:hAnsi="Times New Roman" w:eastAsia="宋体" w:cs="Times New Roman"/>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每日汇总人数，按月累计结算</w:t>
            </w:r>
            <w:r>
              <w:rPr>
                <w:rFonts w:hint="eastAsia" w:ascii="Times New Roman" w:hAnsi="Times New Roman" w:eastAsia="宋体" w:cs="Times New Roman"/>
                <w:color w:val="auto"/>
                <w:kern w:val="2"/>
                <w:sz w:val="24"/>
                <w:szCs w:val="24"/>
                <w:highlight w:val="none"/>
                <w:lang w:val="en-US" w:eastAsia="zh-CN" w:bidi="ar-SA"/>
              </w:rPr>
              <w:t>。</w:t>
            </w:r>
          </w:p>
          <w:p w14:paraId="256988F2">
            <w:pPr>
              <w:keepNext w:val="0"/>
              <w:keepLines w:val="0"/>
              <w:pageBreakBefore w:val="0"/>
              <w:widowControl w:val="0"/>
              <w:numPr>
                <w:ilvl w:val="0"/>
                <w:numId w:val="13"/>
              </w:numPr>
              <w:kinsoku/>
              <w:wordWrap/>
              <w:overflowPunct/>
              <w:topLinePunct w:val="0"/>
              <w:autoSpaceDE/>
              <w:autoSpaceDN/>
              <w:bidi w:val="0"/>
              <w:spacing w:beforeAutospacing="0" w:afterAutospacing="0" w:line="400" w:lineRule="exact"/>
              <w:ind w:left="5" w:leftChars="0" w:firstLine="415" w:firstLineChars="0"/>
              <w:jc w:val="both"/>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每学期开学前要求提前3天全员到岗</w:t>
            </w:r>
            <w:r>
              <w:rPr>
                <w:rFonts w:hint="eastAsia" w:ascii="宋体" w:hAnsi="宋体" w:eastAsia="宋体" w:cs="宋体"/>
                <w:b/>
                <w:color w:val="auto"/>
                <w:kern w:val="2"/>
                <w:sz w:val="24"/>
                <w:szCs w:val="24"/>
                <w:highlight w:val="none"/>
                <w:lang w:val="en-US" w:eastAsia="zh-CN" w:bidi="ar-SA"/>
              </w:rPr>
              <w:t>，纳入考勤，支付管理费用（</w:t>
            </w:r>
            <w:r>
              <w:rPr>
                <w:rFonts w:hint="eastAsia" w:ascii="宋体" w:hAnsi="宋体" w:eastAsia="宋体" w:cs="宋体"/>
                <w:b/>
                <w:color w:val="auto"/>
                <w:kern w:val="2"/>
                <w:sz w:val="24"/>
                <w:szCs w:val="24"/>
                <w:highlight w:val="none"/>
                <w:u w:val="single"/>
                <w:lang w:val="en-US" w:eastAsia="zh-CN" w:bidi="ar-SA"/>
              </w:rPr>
              <w:t>以学校放假校历安排或以学生开学返校通知为准，</w:t>
            </w:r>
            <w:r>
              <w:rPr>
                <w:rFonts w:hint="eastAsia" w:ascii="宋体" w:hAnsi="宋体" w:eastAsia="宋体" w:cs="宋体"/>
                <w:b/>
                <w:color w:val="auto"/>
                <w:kern w:val="0"/>
                <w:sz w:val="24"/>
                <w:szCs w:val="24"/>
                <w:highlight w:val="none"/>
                <w:u w:val="single"/>
                <w:lang w:val="en-US" w:eastAsia="zh-CN" w:bidi="ar-SA"/>
              </w:rPr>
              <w:t>此3天内未完全到岗人员，按实际出勤人数计算）</w:t>
            </w:r>
          </w:p>
          <w:p w14:paraId="2FE54C3E">
            <w:pPr>
              <w:keepNext w:val="0"/>
              <w:keepLines w:val="0"/>
              <w:pageBreakBefore w:val="0"/>
              <w:widowControl w:val="0"/>
              <w:numPr>
                <w:ilvl w:val="0"/>
                <w:numId w:val="12"/>
              </w:numPr>
              <w:kinsoku/>
              <w:wordWrap/>
              <w:overflowPunct/>
              <w:topLinePunct w:val="0"/>
              <w:autoSpaceDE/>
              <w:autoSpaceDN/>
              <w:bidi w:val="0"/>
              <w:spacing w:beforeAutospacing="0" w:afterAutospacing="0" w:line="400" w:lineRule="exact"/>
              <w:ind w:left="0" w:leftChars="0" w:firstLine="400" w:firstLineChars="0"/>
              <w:jc w:val="both"/>
              <w:textAlignment w:val="auto"/>
              <w:rPr>
                <w:rFonts w:hint="eastAsia" w:ascii="Times New Roman" w:hAnsi="Times New Roman" w:eastAsia="宋体" w:cs="宋体"/>
                <w:b/>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当月其它扣款：</w:t>
            </w:r>
            <w:r>
              <w:rPr>
                <w:rFonts w:hint="eastAsia" w:ascii="Times New Roman" w:hAnsi="Times New Roman" w:eastAsia="宋体" w:cs="Times New Roman"/>
                <w:color w:val="auto"/>
                <w:kern w:val="2"/>
                <w:sz w:val="24"/>
                <w:szCs w:val="24"/>
                <w:highlight w:val="none"/>
                <w:lang w:val="en-US" w:eastAsia="zh-CN" w:bidi="ar-SA"/>
              </w:rPr>
              <w:t>每个月食堂日常监督检查发现的问题处罚汇总和负面清单违约金，违约金直接从当月服务费用中扣除。</w:t>
            </w:r>
          </w:p>
          <w:p w14:paraId="21E5EC97">
            <w:pPr>
              <w:keepNext w:val="0"/>
              <w:keepLines w:val="0"/>
              <w:pageBreakBefore w:val="0"/>
              <w:widowControl w:val="0"/>
              <w:numPr>
                <w:ilvl w:val="0"/>
                <w:numId w:val="12"/>
              </w:numPr>
              <w:kinsoku/>
              <w:wordWrap/>
              <w:overflowPunct/>
              <w:topLinePunct w:val="0"/>
              <w:autoSpaceDE/>
              <w:autoSpaceDN/>
              <w:bidi w:val="0"/>
              <w:spacing w:beforeAutospacing="0" w:afterAutospacing="0" w:line="400" w:lineRule="exact"/>
              <w:ind w:left="0" w:leftChars="0" w:firstLine="400" w:firstLineChars="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员工伙食费：</w:t>
            </w:r>
            <w:r>
              <w:rPr>
                <w:rFonts w:hint="eastAsia" w:ascii="宋体" w:hAnsi="宋体" w:eastAsia="宋体" w:cs="宋体"/>
                <w:b w:val="0"/>
                <w:bCs/>
                <w:color w:val="auto"/>
                <w:kern w:val="2"/>
                <w:sz w:val="24"/>
                <w:szCs w:val="24"/>
                <w:highlight w:val="none"/>
                <w:lang w:val="en-US" w:eastAsia="zh-CN" w:bidi="ar-SA"/>
              </w:rPr>
              <w:t>服务人员餐费每人每日15元标准收取。按食堂每天出勤人数计算，按月累计。</w:t>
            </w:r>
          </w:p>
          <w:p w14:paraId="2DB35AC6">
            <w:pPr>
              <w:keepNext w:val="0"/>
              <w:keepLines w:val="0"/>
              <w:pageBreakBefore w:val="0"/>
              <w:widowControl w:val="0"/>
              <w:numPr>
                <w:ilvl w:val="0"/>
                <w:numId w:val="12"/>
              </w:numPr>
              <w:kinsoku/>
              <w:wordWrap/>
              <w:overflowPunct/>
              <w:topLinePunct w:val="0"/>
              <w:autoSpaceDE/>
              <w:autoSpaceDN/>
              <w:bidi w:val="0"/>
              <w:spacing w:beforeAutospacing="0" w:afterAutospacing="0" w:line="400" w:lineRule="exact"/>
              <w:ind w:left="0" w:leftChars="0" w:firstLine="400" w:firstLineChars="0"/>
              <w:jc w:val="both"/>
              <w:textAlignment w:val="auto"/>
              <w:rPr>
                <w:rFonts w:hint="eastAsia" w:ascii="Times New Roman" w:hAnsi="Times New Roman" w:eastAsia="宋体" w:cs="Times New Roman"/>
                <w:b/>
                <w:color w:val="auto"/>
                <w:kern w:val="2"/>
                <w:sz w:val="24"/>
                <w:szCs w:val="24"/>
                <w:highlight w:val="none"/>
                <w:u w:val="singl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绩效奖惩费用（按学期结算，每学期一次）</w:t>
            </w:r>
            <w:r>
              <w:rPr>
                <w:rFonts w:hint="eastAsia" w:ascii="Times New Roman" w:hAnsi="Times New Roman" w:eastAsia="宋体" w:cs="Times New Roman"/>
                <w:color w:val="auto"/>
                <w:kern w:val="2"/>
                <w:sz w:val="24"/>
                <w:szCs w:val="24"/>
                <w:highlight w:val="none"/>
                <w:lang w:val="en-US" w:eastAsia="zh-CN" w:bidi="ar-SA"/>
              </w:rPr>
              <w:t>：综合考核评分≥90分，绩效奖励4.0万元；90分＞综合考核评分≥85分，绩效奖励3.0万元；85分＞综合考核评分≥80分，绩效奖励2.0万元；80分＞综合考核评分≥75分，绩效奖励1.0万元；75分＞综合考核评分≥70分，绩效扣罚2.0万元；70分＞综合考核评分≥65分，绩效扣罚3.0万元；65分＞综合考核评分≥60分，绩效扣罚3.0万元；60分＞综合考核评分，绩效扣罚4.0万元。</w:t>
            </w:r>
          </w:p>
          <w:p w14:paraId="64422D66">
            <w:pPr>
              <w:keepNext w:val="0"/>
              <w:keepLines w:val="0"/>
              <w:pageBreakBefore w:val="0"/>
              <w:widowControl w:val="0"/>
              <w:numPr>
                <w:ilvl w:val="0"/>
                <w:numId w:val="0"/>
              </w:numPr>
              <w:kinsoku/>
              <w:wordWrap/>
              <w:overflowPunct/>
              <w:topLinePunct w:val="0"/>
              <w:autoSpaceDE/>
              <w:autoSpaceDN/>
              <w:bidi w:val="0"/>
              <w:spacing w:beforeAutospacing="0" w:afterAutospacing="0" w:line="400" w:lineRule="exact"/>
              <w:ind w:left="19" w:leftChars="9" w:firstLine="388" w:firstLineChars="161"/>
              <w:jc w:val="both"/>
              <w:textAlignment w:val="auto"/>
              <w:rPr>
                <w:rFonts w:hint="eastAsia" w:ascii="Times New Roman" w:hAnsi="Times New Roman" w:eastAsia="宋体" w:cs="Times New Roman"/>
                <w:b/>
                <w:bCs w:val="0"/>
                <w:color w:val="auto"/>
                <w:kern w:val="2"/>
                <w:sz w:val="24"/>
                <w:szCs w:val="24"/>
                <w:highlight w:val="none"/>
                <w:u w:val="single"/>
                <w:lang w:val="en-US" w:eastAsia="zh-CN" w:bidi="ar-SA"/>
              </w:rPr>
            </w:pPr>
            <w:r>
              <w:rPr>
                <w:rFonts w:hint="eastAsia" w:ascii="Times New Roman" w:hAnsi="Times New Roman" w:eastAsia="宋体" w:cs="Times New Roman"/>
                <w:b/>
                <w:bCs w:val="0"/>
                <w:color w:val="auto"/>
                <w:kern w:val="2"/>
                <w:sz w:val="24"/>
                <w:szCs w:val="24"/>
                <w:highlight w:val="none"/>
                <w:u w:val="single"/>
                <w:lang w:val="en-US" w:eastAsia="zh-CN" w:bidi="ar-SA"/>
              </w:rPr>
              <w:t>学期食堂盈利=本学期食堂营业总收入—本学期食堂运营成本（团队管理总费用、食材支出费用）</w:t>
            </w:r>
          </w:p>
          <w:p w14:paraId="6A13DA87">
            <w:pPr>
              <w:keepNext w:val="0"/>
              <w:keepLines w:val="0"/>
              <w:pageBreakBefore w:val="0"/>
              <w:widowControl w:val="0"/>
              <w:numPr>
                <w:ilvl w:val="0"/>
                <w:numId w:val="0"/>
              </w:numPr>
              <w:kinsoku/>
              <w:wordWrap/>
              <w:overflowPunct/>
              <w:topLinePunct w:val="0"/>
              <w:autoSpaceDE/>
              <w:autoSpaceDN/>
              <w:bidi w:val="0"/>
              <w:spacing w:beforeAutospacing="0" w:afterAutospacing="0" w:line="400" w:lineRule="exact"/>
              <w:ind w:left="0" w:leftChars="0" w:firstLine="436" w:firstLineChars="181"/>
              <w:jc w:val="both"/>
              <w:textAlignment w:val="auto"/>
              <w:rPr>
                <w:rFonts w:hint="default" w:ascii="Times New Roman" w:hAnsi="Times New Roman" w:eastAsia="宋体" w:cs="Times New Roman"/>
                <w:b/>
                <w:color w:val="auto"/>
                <w:kern w:val="2"/>
                <w:sz w:val="24"/>
                <w:szCs w:val="24"/>
                <w:highlight w:val="none"/>
                <w:u w:val="single"/>
                <w:lang w:val="en-US" w:eastAsia="zh-CN" w:bidi="ar-SA"/>
              </w:rPr>
            </w:pPr>
            <w:r>
              <w:rPr>
                <w:rFonts w:hint="eastAsia" w:ascii="Times New Roman" w:hAnsi="Times New Roman" w:eastAsia="宋体" w:cs="Times New Roman"/>
                <w:b/>
                <w:color w:val="auto"/>
                <w:kern w:val="2"/>
                <w:sz w:val="24"/>
                <w:szCs w:val="24"/>
                <w:highlight w:val="none"/>
                <w:u w:val="single"/>
                <w:lang w:val="en-US" w:eastAsia="zh-CN" w:bidi="ar-SA"/>
              </w:rPr>
              <w:t>学期绩效奖励费用不得高于本学期食堂盈利。如果本学期亏损，则本学期绩效奖励为0元。</w:t>
            </w:r>
          </w:p>
          <w:p w14:paraId="03E2F6EF">
            <w:pPr>
              <w:keepNext w:val="0"/>
              <w:keepLines w:val="0"/>
              <w:pageBreakBefore w:val="0"/>
              <w:widowControl w:val="0"/>
              <w:numPr>
                <w:ilvl w:val="0"/>
                <w:numId w:val="12"/>
              </w:numPr>
              <w:kinsoku/>
              <w:wordWrap/>
              <w:overflowPunct/>
              <w:topLinePunct w:val="0"/>
              <w:autoSpaceDE/>
              <w:autoSpaceDN/>
              <w:bidi w:val="0"/>
              <w:spacing w:beforeAutospacing="0" w:afterAutospacing="0" w:line="400" w:lineRule="exact"/>
              <w:ind w:left="0" w:leftChars="0" w:firstLine="400" w:firstLineChars="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食堂学期综合考核评分：</w:t>
            </w:r>
          </w:p>
          <w:p w14:paraId="49B02999">
            <w:pPr>
              <w:keepNext w:val="0"/>
              <w:keepLines w:val="0"/>
              <w:pageBreakBefore w:val="0"/>
              <w:kinsoku/>
              <w:wordWrap/>
              <w:overflowPunct/>
              <w:topLinePunct w:val="0"/>
              <w:autoSpaceDE/>
              <w:autoSpaceDN/>
              <w:bidi w:val="0"/>
              <w:spacing w:beforeAutospacing="0" w:afterAutospacing="0" w:line="400" w:lineRule="exact"/>
              <w:ind w:left="6" w:firstLine="410" w:firstLineChars="171"/>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根据学院有关食堂经营和管理考核办法进行考评，以学生食堂满意度测评（每</w:t>
            </w:r>
            <w:r>
              <w:rPr>
                <w:rFonts w:hint="eastAsia" w:ascii="宋体" w:hAnsi="宋体" w:cs="宋体"/>
                <w:color w:val="auto"/>
                <w:sz w:val="24"/>
                <w:szCs w:val="24"/>
                <w:highlight w:val="none"/>
                <w:lang w:val="en-US" w:eastAsia="zh-CN"/>
              </w:rPr>
              <w:t>学期</w:t>
            </w:r>
            <w:r>
              <w:rPr>
                <w:rFonts w:hint="eastAsia" w:ascii="宋体" w:hAnsi="宋体" w:cs="宋体"/>
                <w:color w:val="auto"/>
                <w:sz w:val="24"/>
                <w:szCs w:val="24"/>
                <w:highlight w:val="none"/>
              </w:rPr>
              <w:t>不定期测评至少</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次，可以采用线上</w:t>
            </w:r>
            <w:r>
              <w:rPr>
                <w:rFonts w:hint="eastAsia" w:ascii="宋体" w:hAnsi="宋体" w:cs="宋体"/>
                <w:color w:val="auto"/>
                <w:sz w:val="24"/>
                <w:szCs w:val="24"/>
                <w:highlight w:val="none"/>
                <w:lang w:val="en-US" w:eastAsia="zh-CN"/>
              </w:rPr>
              <w:t>测评</w:t>
            </w:r>
            <w:r>
              <w:rPr>
                <w:rFonts w:hint="eastAsia" w:ascii="宋体" w:hAnsi="宋体" w:cs="宋体"/>
                <w:color w:val="auto"/>
                <w:sz w:val="24"/>
                <w:szCs w:val="24"/>
                <w:highlight w:val="none"/>
              </w:rPr>
              <w:t>或线下测评</w:t>
            </w:r>
            <w:r>
              <w:rPr>
                <w:rFonts w:hint="eastAsia" w:ascii="宋体" w:hAnsi="宋体" w:cs="宋体"/>
                <w:color w:val="auto"/>
                <w:sz w:val="24"/>
                <w:szCs w:val="24"/>
                <w:highlight w:val="none"/>
                <w:lang w:val="en-US" w:eastAsia="zh-CN"/>
              </w:rPr>
              <w:t>方式</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食堂日常监督检查量化考核结果</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u w:val="single"/>
                <w:lang w:val="en-US" w:eastAsia="zh-CN"/>
              </w:rPr>
              <w:t>后勤管理处、食堂管理人员、学生代表、教师代表、膳食委员会等</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每月不定期至少</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次）</w:t>
            </w:r>
            <w:r>
              <w:rPr>
                <w:rFonts w:hint="eastAsia" w:ascii="宋体" w:hAnsi="宋体" w:cs="宋体"/>
                <w:color w:val="auto"/>
                <w:sz w:val="24"/>
                <w:szCs w:val="24"/>
                <w:highlight w:val="none"/>
              </w:rPr>
              <w:t>为</w:t>
            </w:r>
            <w:r>
              <w:rPr>
                <w:rFonts w:hint="eastAsia" w:ascii="宋体" w:hAnsi="宋体" w:cs="宋体"/>
                <w:color w:val="auto"/>
                <w:sz w:val="24"/>
                <w:szCs w:val="24"/>
                <w:highlight w:val="none"/>
                <w:lang w:val="en-US" w:eastAsia="zh-CN"/>
              </w:rPr>
              <w:t>每学期</w:t>
            </w:r>
            <w:r>
              <w:rPr>
                <w:rFonts w:hint="eastAsia" w:ascii="宋体" w:hAnsi="宋体" w:cs="宋体"/>
                <w:color w:val="auto"/>
                <w:sz w:val="24"/>
                <w:szCs w:val="24"/>
                <w:highlight w:val="none"/>
              </w:rPr>
              <w:t>综合考评依据，奖优罚劣（食堂管理督导表格</w:t>
            </w:r>
            <w:r>
              <w:rPr>
                <w:rFonts w:hint="eastAsia" w:ascii="宋体" w:hAnsi="宋体" w:cs="宋体"/>
                <w:color w:val="auto"/>
                <w:sz w:val="24"/>
                <w:szCs w:val="24"/>
                <w:highlight w:val="none"/>
                <w:lang w:val="en-US" w:eastAsia="zh-CN"/>
              </w:rPr>
              <w:t>暨</w:t>
            </w:r>
            <w:r>
              <w:rPr>
                <w:rFonts w:hint="eastAsia" w:ascii="宋体" w:hAnsi="宋体" w:cs="宋体"/>
                <w:bCs/>
                <w:strike w:val="0"/>
                <w:dstrike w:val="0"/>
                <w:color w:val="auto"/>
                <w:sz w:val="24"/>
                <w:szCs w:val="24"/>
                <w:highlight w:val="none"/>
              </w:rPr>
              <w:t>日常</w:t>
            </w:r>
            <w:r>
              <w:rPr>
                <w:rFonts w:hint="eastAsia" w:ascii="宋体" w:hAnsi="宋体" w:cs="宋体"/>
                <w:bCs/>
                <w:strike w:val="0"/>
                <w:dstrike w:val="0"/>
                <w:color w:val="auto"/>
                <w:sz w:val="24"/>
                <w:szCs w:val="24"/>
                <w:highlight w:val="none"/>
                <w:lang w:val="en-US" w:eastAsia="zh-CN"/>
              </w:rPr>
              <w:t>监督</w:t>
            </w:r>
            <w:r>
              <w:rPr>
                <w:rFonts w:hint="eastAsia" w:ascii="宋体" w:hAnsi="宋体" w:cs="宋体"/>
                <w:bCs/>
                <w:strike w:val="0"/>
                <w:dstrike w:val="0"/>
                <w:color w:val="auto"/>
                <w:sz w:val="24"/>
                <w:szCs w:val="24"/>
                <w:highlight w:val="none"/>
              </w:rPr>
              <w:t>检查量化考核</w:t>
            </w:r>
            <w:r>
              <w:rPr>
                <w:rFonts w:hint="eastAsia" w:ascii="宋体" w:hAnsi="宋体" w:cs="宋体"/>
                <w:color w:val="auto"/>
                <w:sz w:val="24"/>
                <w:szCs w:val="24"/>
                <w:highlight w:val="none"/>
              </w:rPr>
              <w:t>评分表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会随着</w:t>
            </w:r>
            <w:r>
              <w:rPr>
                <w:rFonts w:hint="eastAsia" w:ascii="宋体" w:hAnsi="宋体" w:cs="宋体"/>
                <w:color w:val="auto"/>
                <w:sz w:val="24"/>
                <w:szCs w:val="24"/>
                <w:highlight w:val="none"/>
                <w:lang w:val="en-US" w:eastAsia="zh-CN"/>
              </w:rPr>
              <w:t>相应</w:t>
            </w:r>
            <w:r>
              <w:rPr>
                <w:rFonts w:hint="eastAsia" w:ascii="宋体" w:hAnsi="宋体" w:cs="宋体"/>
                <w:color w:val="auto"/>
                <w:sz w:val="24"/>
                <w:szCs w:val="24"/>
                <w:highlight w:val="none"/>
              </w:rPr>
              <w:t>政策调整）</w:t>
            </w:r>
            <w:r>
              <w:rPr>
                <w:rFonts w:hint="eastAsia" w:ascii="宋体" w:hAnsi="宋体" w:cs="宋体"/>
                <w:color w:val="auto"/>
                <w:sz w:val="24"/>
                <w:szCs w:val="24"/>
                <w:highlight w:val="none"/>
                <w:lang w:eastAsia="zh-CN"/>
              </w:rPr>
              <w:t>。</w:t>
            </w:r>
          </w:p>
          <w:p w14:paraId="70E2D25D">
            <w:pPr>
              <w:keepNext w:val="0"/>
              <w:keepLines w:val="0"/>
              <w:pageBreakBefore w:val="0"/>
              <w:kinsoku/>
              <w:wordWrap/>
              <w:overflowPunct/>
              <w:topLinePunct w:val="0"/>
              <w:autoSpaceDE/>
              <w:autoSpaceDN/>
              <w:bidi w:val="0"/>
              <w:spacing w:beforeAutospacing="0" w:afterAutospacing="0" w:line="400" w:lineRule="exact"/>
              <w:ind w:left="6" w:firstLine="410" w:firstLineChars="171"/>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学期</w:t>
            </w:r>
            <w:r>
              <w:rPr>
                <w:rFonts w:hint="eastAsia" w:ascii="宋体" w:hAnsi="宋体" w:cs="宋体"/>
                <w:color w:val="auto"/>
                <w:sz w:val="24"/>
                <w:szCs w:val="24"/>
                <w:highlight w:val="none"/>
              </w:rPr>
              <w:t>综合考核评分计算公式：</w:t>
            </w:r>
          </w:p>
          <w:p w14:paraId="7D92BE22">
            <w:pPr>
              <w:keepNext w:val="0"/>
              <w:keepLines w:val="0"/>
              <w:pageBreakBefore w:val="0"/>
              <w:kinsoku/>
              <w:wordWrap/>
              <w:overflowPunct/>
              <w:topLinePunct w:val="0"/>
              <w:autoSpaceDE/>
              <w:autoSpaceDN/>
              <w:bidi w:val="0"/>
              <w:spacing w:beforeAutospacing="0" w:afterAutospacing="0" w:line="400" w:lineRule="exact"/>
              <w:ind w:left="6" w:firstLine="410" w:firstLineChars="171"/>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学期</w:t>
            </w:r>
            <w:r>
              <w:rPr>
                <w:rFonts w:hint="eastAsia" w:ascii="宋体" w:hAnsi="宋体" w:cs="宋体"/>
                <w:color w:val="auto"/>
                <w:sz w:val="24"/>
                <w:szCs w:val="24"/>
                <w:highlight w:val="none"/>
              </w:rPr>
              <w:t>综合考核评分=</w:t>
            </w:r>
            <w:r>
              <w:rPr>
                <w:rFonts w:hint="eastAsia" w:ascii="宋体" w:hAnsi="宋体" w:cs="宋体"/>
                <w:b/>
                <w:bCs/>
                <w:color w:val="auto"/>
                <w:sz w:val="24"/>
                <w:szCs w:val="24"/>
                <w:highlight w:val="none"/>
                <w:u w:val="single"/>
                <w:lang w:val="en-US" w:eastAsia="zh-CN"/>
              </w:rPr>
              <w:t>5</w:t>
            </w:r>
            <w:r>
              <w:rPr>
                <w:rFonts w:hint="eastAsia" w:ascii="宋体" w:hAnsi="宋体" w:cs="宋体"/>
                <w:b/>
                <w:bCs/>
                <w:color w:val="auto"/>
                <w:sz w:val="24"/>
                <w:szCs w:val="24"/>
                <w:highlight w:val="none"/>
                <w:u w:val="single"/>
              </w:rPr>
              <w:t>0%×</w:t>
            </w:r>
            <w:r>
              <w:rPr>
                <w:rFonts w:hint="eastAsia" w:ascii="宋体" w:hAnsi="宋体" w:cs="宋体"/>
                <w:b/>
                <w:bCs/>
                <w:color w:val="auto"/>
                <w:sz w:val="24"/>
                <w:szCs w:val="24"/>
                <w:highlight w:val="none"/>
                <w:u w:val="single"/>
                <w:lang w:val="en-US" w:eastAsia="zh-CN"/>
              </w:rPr>
              <w:t>本学期</w:t>
            </w:r>
            <w:r>
              <w:rPr>
                <w:rFonts w:hint="eastAsia" w:ascii="宋体" w:hAnsi="宋体" w:cs="宋体"/>
                <w:b/>
                <w:bCs/>
                <w:color w:val="auto"/>
                <w:sz w:val="24"/>
                <w:szCs w:val="24"/>
                <w:highlight w:val="none"/>
                <w:u w:val="single"/>
              </w:rPr>
              <w:t>食堂</w:t>
            </w:r>
            <w:r>
              <w:rPr>
                <w:rFonts w:hint="eastAsia" w:ascii="宋体" w:hAnsi="宋体" w:cs="宋体"/>
                <w:b/>
                <w:bCs/>
                <w:color w:val="auto"/>
                <w:sz w:val="24"/>
                <w:szCs w:val="24"/>
                <w:highlight w:val="none"/>
                <w:u w:val="single"/>
                <w:lang w:val="en-US" w:eastAsia="zh-CN"/>
              </w:rPr>
              <w:t>日常管理</w:t>
            </w:r>
            <w:r>
              <w:rPr>
                <w:rFonts w:hint="eastAsia" w:ascii="宋体" w:hAnsi="宋体" w:cs="宋体"/>
                <w:b/>
                <w:bCs/>
                <w:color w:val="auto"/>
                <w:sz w:val="24"/>
                <w:szCs w:val="24"/>
                <w:highlight w:val="none"/>
                <w:u w:val="single"/>
              </w:rPr>
              <w:t>检查结果</w:t>
            </w:r>
            <w:r>
              <w:rPr>
                <w:rFonts w:hint="eastAsia" w:ascii="宋体" w:hAnsi="宋体" w:cs="宋体"/>
                <w:b/>
                <w:bCs/>
                <w:color w:val="auto"/>
                <w:sz w:val="24"/>
                <w:szCs w:val="24"/>
                <w:highlight w:val="none"/>
                <w:u w:val="single"/>
                <w:lang w:val="en-US" w:eastAsia="zh-CN"/>
              </w:rPr>
              <w:t>平均分</w:t>
            </w:r>
            <w:r>
              <w:rPr>
                <w:rFonts w:hint="eastAsia" w:ascii="宋体" w:hAnsi="宋体" w:cs="宋体"/>
                <w:b/>
                <w:bCs/>
                <w:color w:val="auto"/>
                <w:sz w:val="24"/>
                <w:szCs w:val="24"/>
                <w:highlight w:val="none"/>
                <w:u w:val="single"/>
              </w:rPr>
              <w:t>+</w:t>
            </w:r>
            <w:r>
              <w:rPr>
                <w:rFonts w:hint="eastAsia" w:ascii="宋体" w:hAnsi="宋体" w:cs="宋体"/>
                <w:b/>
                <w:bCs/>
                <w:color w:val="auto"/>
                <w:sz w:val="24"/>
                <w:szCs w:val="24"/>
                <w:highlight w:val="none"/>
                <w:u w:val="single"/>
                <w:lang w:val="en-US" w:eastAsia="zh-CN"/>
              </w:rPr>
              <w:t>5</w:t>
            </w:r>
            <w:r>
              <w:rPr>
                <w:rFonts w:hint="eastAsia" w:ascii="宋体" w:hAnsi="宋体" w:cs="宋体"/>
                <w:b/>
                <w:bCs/>
                <w:color w:val="auto"/>
                <w:sz w:val="24"/>
                <w:szCs w:val="24"/>
                <w:highlight w:val="none"/>
                <w:u w:val="single"/>
              </w:rPr>
              <w:t>0%×</w:t>
            </w:r>
            <w:r>
              <w:rPr>
                <w:rFonts w:hint="eastAsia" w:ascii="宋体" w:hAnsi="宋体" w:cs="宋体"/>
                <w:b/>
                <w:bCs/>
                <w:color w:val="auto"/>
                <w:sz w:val="24"/>
                <w:szCs w:val="24"/>
                <w:highlight w:val="none"/>
                <w:u w:val="single"/>
                <w:lang w:val="en-US" w:eastAsia="zh-CN"/>
              </w:rPr>
              <w:t>本学期</w:t>
            </w:r>
            <w:r>
              <w:rPr>
                <w:rFonts w:hint="eastAsia" w:ascii="宋体" w:hAnsi="宋体" w:cs="宋体"/>
                <w:b/>
                <w:bCs/>
                <w:color w:val="auto"/>
                <w:sz w:val="24"/>
                <w:szCs w:val="24"/>
                <w:highlight w:val="none"/>
                <w:u w:val="single"/>
              </w:rPr>
              <w:t>学生满意度调查表中（基本满意以上的）的比例</w:t>
            </w:r>
            <w:r>
              <w:rPr>
                <w:rFonts w:hint="eastAsia" w:ascii="宋体" w:hAnsi="宋体" w:cs="宋体"/>
                <w:b/>
                <w:bCs/>
                <w:color w:val="auto"/>
                <w:sz w:val="24"/>
                <w:szCs w:val="24"/>
                <w:highlight w:val="none"/>
                <w:u w:val="single"/>
                <w:lang w:val="en-US" w:eastAsia="zh-CN"/>
              </w:rPr>
              <w:t>平均值</w:t>
            </w:r>
            <w:r>
              <w:rPr>
                <w:rFonts w:hint="eastAsia" w:ascii="宋体" w:hAnsi="宋体" w:cs="宋体"/>
                <w:color w:val="auto"/>
                <w:sz w:val="24"/>
                <w:szCs w:val="24"/>
                <w:highlight w:val="none"/>
              </w:rPr>
              <w:t>。</w:t>
            </w:r>
          </w:p>
          <w:p w14:paraId="6AD8C802">
            <w:pPr>
              <w:keepNext w:val="0"/>
              <w:keepLines w:val="0"/>
              <w:pageBreakBefore w:val="0"/>
              <w:widowControl w:val="0"/>
              <w:numPr>
                <w:ilvl w:val="0"/>
                <w:numId w:val="12"/>
              </w:numPr>
              <w:kinsoku/>
              <w:wordWrap/>
              <w:overflowPunct/>
              <w:topLinePunct w:val="0"/>
              <w:autoSpaceDE/>
              <w:autoSpaceDN/>
              <w:bidi w:val="0"/>
              <w:spacing w:beforeAutospacing="0" w:afterAutospacing="0" w:line="400" w:lineRule="exact"/>
              <w:ind w:left="0" w:leftChars="0" w:firstLine="400" w:firstLineChars="0"/>
              <w:jc w:val="both"/>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b/>
                <w:bCs/>
                <w:color w:val="auto"/>
                <w:kern w:val="2"/>
                <w:sz w:val="24"/>
                <w:szCs w:val="24"/>
                <w:highlight w:val="none"/>
                <w:lang w:val="en-US" w:eastAsia="zh-CN" w:bidi="ar-SA"/>
              </w:rPr>
              <w:t>违约处罚金采购人有权直接从服务费用或履约保证金中扣除。</w:t>
            </w:r>
          </w:p>
        </w:tc>
      </w:tr>
      <w:tr w14:paraId="7333E1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8" w:type="dxa"/>
          </w:tcPr>
          <w:p w14:paraId="6682B757">
            <w:pPr>
              <w:jc w:val="both"/>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7</w:t>
            </w:r>
          </w:p>
        </w:tc>
        <w:tc>
          <w:tcPr>
            <w:tcW w:w="1830" w:type="dxa"/>
          </w:tcPr>
          <w:p w14:paraId="27017E55">
            <w:pPr>
              <w:jc w:val="both"/>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履约保证金</w:t>
            </w:r>
          </w:p>
        </w:tc>
        <w:tc>
          <w:tcPr>
            <w:tcW w:w="6819" w:type="dxa"/>
          </w:tcPr>
          <w:p w14:paraId="4D7FEAF4">
            <w:pPr>
              <w:jc w:val="both"/>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履约保证金：贰拾万元整。</w:t>
            </w:r>
          </w:p>
          <w:p w14:paraId="4721ACE0">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1.中标人在合同签署生效后五个工作日内，须向采购人交纳履约保证金人民币贰拾万元整（¥200000.00元）,</w:t>
            </w:r>
            <w:r>
              <w:rPr>
                <w:rFonts w:hint="eastAsia" w:ascii="宋体" w:hAnsi="宋体" w:eastAsia="宋体" w:cs="宋体"/>
                <w:color w:val="auto"/>
                <w:sz w:val="24"/>
                <w:szCs w:val="24"/>
                <w:highlight w:val="none"/>
              </w:rPr>
              <w:t>可以采取电汇、提供政府采购电子履约保函（保险）等形式，否则</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有权取消其中标资格，并不退还投标保证金。</w:t>
            </w:r>
          </w:p>
          <w:p w14:paraId="0580144D">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中标人必须于合同到期前提前2周做好交接准备工作，交由</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进行资产清单和各项移交事宜。</w:t>
            </w:r>
          </w:p>
          <w:p w14:paraId="2A36ECAE">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如中标人不能全面、适当地履行本合同义务，则</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有权直接从履约保证金中扣除其所遭受的全部损失，或者根据本合同中关于违约责任的约定扣除中标人应当支付的全部违约金。</w:t>
            </w:r>
          </w:p>
          <w:p w14:paraId="7E9A44CB">
            <w:pPr>
              <w:ind w:firstLine="480" w:firstLineChars="200"/>
              <w:rPr>
                <w:rFonts w:hint="default"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b/>
                <w:bCs/>
                <w:color w:val="auto"/>
                <w:sz w:val="24"/>
                <w:szCs w:val="24"/>
                <w:highlight w:val="none"/>
              </w:rPr>
              <w:t>合同期限届满</w:t>
            </w: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个月</w:t>
            </w:r>
            <w:r>
              <w:rPr>
                <w:rFonts w:hint="eastAsia" w:ascii="宋体" w:hAnsi="宋体" w:eastAsia="宋体" w:cs="宋体"/>
                <w:b/>
                <w:bCs/>
                <w:color w:val="auto"/>
                <w:sz w:val="24"/>
                <w:szCs w:val="24"/>
                <w:highlight w:val="none"/>
                <w:lang w:val="en-US" w:eastAsia="zh-CN"/>
              </w:rPr>
              <w:t>时</w:t>
            </w:r>
            <w:r>
              <w:rPr>
                <w:rFonts w:hint="eastAsia" w:ascii="宋体" w:hAnsi="宋体" w:eastAsia="宋体" w:cs="宋体"/>
                <w:b/>
                <w:bCs/>
                <w:color w:val="auto"/>
                <w:sz w:val="24"/>
                <w:szCs w:val="24"/>
                <w:highlight w:val="none"/>
              </w:rPr>
              <w:t>，如中标人无违约、拖欠费用等服务质量问题并认真履行食堂交接工作，</w:t>
            </w:r>
            <w:r>
              <w:rPr>
                <w:rFonts w:hint="eastAsia" w:ascii="宋体" w:hAnsi="宋体" w:eastAsia="宋体" w:cs="宋体"/>
                <w:b/>
                <w:bCs/>
                <w:color w:val="auto"/>
                <w:sz w:val="24"/>
                <w:szCs w:val="24"/>
                <w:highlight w:val="none"/>
                <w:lang w:eastAsia="zh-CN"/>
              </w:rPr>
              <w:t>采购人</w:t>
            </w:r>
            <w:r>
              <w:rPr>
                <w:rFonts w:hint="eastAsia" w:ascii="宋体" w:hAnsi="宋体" w:eastAsia="宋体" w:cs="宋体"/>
                <w:b/>
                <w:bCs/>
                <w:color w:val="auto"/>
                <w:sz w:val="24"/>
                <w:szCs w:val="24"/>
                <w:highlight w:val="none"/>
              </w:rPr>
              <w:t>全额</w:t>
            </w:r>
            <w:r>
              <w:rPr>
                <w:rFonts w:hint="eastAsia" w:ascii="宋体" w:hAnsi="宋体" w:eastAsia="宋体" w:cs="宋体"/>
                <w:b/>
                <w:bCs/>
                <w:color w:val="auto"/>
                <w:sz w:val="24"/>
                <w:szCs w:val="24"/>
                <w:highlight w:val="none"/>
                <w:lang w:val="en-US" w:eastAsia="zh-CN"/>
              </w:rPr>
              <w:t>无息</w:t>
            </w:r>
            <w:r>
              <w:rPr>
                <w:rFonts w:hint="eastAsia" w:ascii="宋体" w:hAnsi="宋体" w:eastAsia="宋体" w:cs="宋体"/>
                <w:b/>
                <w:bCs/>
                <w:color w:val="auto"/>
                <w:sz w:val="24"/>
                <w:szCs w:val="24"/>
                <w:highlight w:val="none"/>
              </w:rPr>
              <w:t>退还该履约保证金。</w:t>
            </w:r>
          </w:p>
        </w:tc>
      </w:tr>
      <w:tr w14:paraId="0A4E87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174" w:hRule="atLeast"/>
        </w:trPr>
        <w:tc>
          <w:tcPr>
            <w:tcW w:w="718" w:type="dxa"/>
          </w:tcPr>
          <w:p w14:paraId="1D04153B">
            <w:pPr>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830" w:type="dxa"/>
          </w:tcPr>
          <w:p w14:paraId="7C6039BD">
            <w:pPr>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其他</w:t>
            </w:r>
          </w:p>
        </w:tc>
        <w:tc>
          <w:tcPr>
            <w:tcW w:w="6819" w:type="dxa"/>
          </w:tcPr>
          <w:p w14:paraId="24B3A363">
            <w:pPr>
              <w:keepNext w:val="0"/>
              <w:keepLines w:val="0"/>
              <w:pageBreakBefore w:val="0"/>
              <w:widowControl w:val="0"/>
              <w:kinsoku/>
              <w:wordWrap/>
              <w:overflowPunct/>
              <w:topLinePunct w:val="0"/>
              <w:autoSpaceDE/>
              <w:autoSpaceDN/>
              <w:bidi w:val="0"/>
              <w:spacing w:beforeAutospacing="0" w:afterAutospacing="0" w:line="400" w:lineRule="exact"/>
              <w:ind w:left="17" w:leftChars="8" w:firstLine="400" w:firstLineChars="167"/>
              <w:jc w:val="both"/>
              <w:textAlignment w:val="auto"/>
              <w:rPr>
                <w:rFonts w:hint="eastAsia" w:ascii="宋体" w:hAnsi="宋体" w:eastAsia="宋体" w:cs="宋体"/>
                <w:b w:val="0"/>
                <w:bCs w:val="0"/>
                <w:strike w:val="0"/>
                <w:dstrike w:val="0"/>
                <w:color w:val="auto"/>
                <w:kern w:val="2"/>
                <w:sz w:val="24"/>
                <w:szCs w:val="24"/>
                <w:highlight w:val="none"/>
                <w:lang w:val="en-US" w:eastAsia="zh-CN" w:bidi="ar-SA"/>
              </w:rPr>
            </w:pPr>
            <w:r>
              <w:rPr>
                <w:rFonts w:hint="eastAsia" w:ascii="宋体" w:hAnsi="宋体" w:eastAsia="宋体" w:cs="宋体"/>
                <w:b w:val="0"/>
                <w:bCs w:val="0"/>
                <w:strike w:val="0"/>
                <w:dstrike w:val="0"/>
                <w:color w:val="auto"/>
                <w:kern w:val="2"/>
                <w:sz w:val="24"/>
                <w:szCs w:val="24"/>
                <w:highlight w:val="none"/>
                <w:lang w:val="en-US" w:eastAsia="zh-CN" w:bidi="ar-SA"/>
              </w:rPr>
              <w:t>委托管理期限（服务期限）：合同期为3年（2025年8月-2028年7月），合同结束时间以第3年下学期结束时间（预计7月初结束）为准。</w:t>
            </w:r>
          </w:p>
          <w:p w14:paraId="15292C2A">
            <w:p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合同签订后按采购</w:t>
            </w:r>
            <w:r>
              <w:rPr>
                <w:rFonts w:hint="eastAsia" w:ascii="宋体" w:hAnsi="宋体" w:eastAsia="宋体" w:cs="宋体"/>
                <w:color w:val="auto"/>
                <w:sz w:val="24"/>
                <w:szCs w:val="24"/>
                <w:highlight w:val="none"/>
                <w:lang w:val="en-US" w:eastAsia="zh-Hans"/>
              </w:rPr>
              <w:t>人</w:t>
            </w:r>
            <w:r>
              <w:rPr>
                <w:rFonts w:hint="eastAsia" w:ascii="宋体" w:hAnsi="宋体" w:cs="宋体"/>
                <w:color w:val="auto"/>
                <w:sz w:val="24"/>
                <w:szCs w:val="24"/>
                <w:highlight w:val="none"/>
                <w:lang w:val="en-US" w:eastAsia="zh-CN"/>
              </w:rPr>
              <w:t>通知入驻</w:t>
            </w:r>
            <w:r>
              <w:rPr>
                <w:rFonts w:hint="eastAsia" w:ascii="宋体" w:hAnsi="宋体" w:eastAsia="宋体" w:cs="宋体"/>
                <w:color w:val="auto"/>
                <w:sz w:val="24"/>
                <w:szCs w:val="24"/>
                <w:highlight w:val="none"/>
                <w:lang w:val="en-US" w:eastAsia="zh-CN"/>
              </w:rPr>
              <w:t>进场</w:t>
            </w:r>
            <w:r>
              <w:rPr>
                <w:rFonts w:hint="eastAsia" w:ascii="宋体" w:hAnsi="宋体" w:eastAsia="宋体" w:cs="宋体"/>
                <w:color w:val="auto"/>
                <w:sz w:val="24"/>
                <w:szCs w:val="24"/>
                <w:highlight w:val="none"/>
                <w:lang w:val="en-US" w:eastAsia="zh-Hans"/>
              </w:rPr>
              <w:t>，中标人需在</w:t>
            </w:r>
            <w:r>
              <w:rPr>
                <w:rFonts w:hint="eastAsia" w:ascii="宋体" w:hAnsi="宋体" w:eastAsia="宋体" w:cs="宋体"/>
                <w:color w:val="auto"/>
                <w:sz w:val="24"/>
                <w:szCs w:val="24"/>
                <w:highlight w:val="none"/>
                <w:lang w:val="en-US" w:eastAsia="zh-CN"/>
              </w:rPr>
              <w:t>接到通知起</w:t>
            </w:r>
            <w:r>
              <w:rPr>
                <w:rFonts w:hint="eastAsia" w:ascii="宋体" w:hAnsi="宋体" w:eastAsia="宋体" w:cs="宋体"/>
                <w:color w:val="auto"/>
                <w:sz w:val="24"/>
                <w:szCs w:val="24"/>
                <w:highlight w:val="none"/>
                <w:lang w:val="en-US" w:eastAsia="zh-Hans"/>
              </w:rPr>
              <w:t>10个日历天内完成部署及开餐前准备工作（仅支付开学前3天的工资）；</w:t>
            </w:r>
          </w:p>
        </w:tc>
      </w:tr>
    </w:tbl>
    <w:p w14:paraId="4ACAE142">
      <w:pPr>
        <w:keepNext w:val="0"/>
        <w:keepLines w:val="0"/>
        <w:pageBreakBefore w:val="0"/>
        <w:kinsoku/>
        <w:wordWrap/>
        <w:overflowPunct/>
        <w:topLinePunct w:val="0"/>
        <w:autoSpaceDE/>
        <w:autoSpaceDN/>
        <w:bidi w:val="0"/>
        <w:spacing w:beforeAutospacing="0" w:afterAutospacing="0" w:line="400" w:lineRule="exact"/>
        <w:textAlignment w:val="auto"/>
        <w:rPr>
          <w:rFonts w:hint="eastAsia" w:ascii="宋体" w:hAnsi="宋体" w:cs="宋体"/>
          <w:b/>
          <w:color w:val="auto"/>
          <w:sz w:val="24"/>
          <w:szCs w:val="24"/>
          <w:highlight w:val="none"/>
        </w:rPr>
      </w:pPr>
      <w:r>
        <w:rPr>
          <w:rFonts w:hint="eastAsia"/>
          <w:b/>
          <w:color w:val="auto"/>
          <w:sz w:val="24"/>
          <w:szCs w:val="24"/>
          <w:highlight w:val="none"/>
          <w:lang w:val="en-US" w:eastAsia="zh-CN"/>
        </w:rPr>
        <w:t>9.</w:t>
      </w:r>
      <w:r>
        <w:rPr>
          <w:rFonts w:hint="eastAsia" w:ascii="宋体" w:hAnsi="宋体" w:cs="宋体"/>
          <w:b/>
          <w:color w:val="auto"/>
          <w:sz w:val="24"/>
          <w:szCs w:val="24"/>
          <w:highlight w:val="none"/>
        </w:rPr>
        <w:t>合同终止</w:t>
      </w:r>
    </w:p>
    <w:p w14:paraId="58E9A515">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line="400" w:lineRule="exact"/>
        <w:ind w:left="5" w:leftChars="0" w:firstLine="415"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中标方未在合同签订后的5个工作日内缴齐履约保证金的视为违约，合同自动终止，投标保证金不予退还。</w:t>
      </w:r>
    </w:p>
    <w:p w14:paraId="7AAB6BE0">
      <w:pPr>
        <w:keepNext w:val="0"/>
        <w:keepLines w:val="0"/>
        <w:pageBreakBefore w:val="0"/>
        <w:numPr>
          <w:ilvl w:val="0"/>
          <w:numId w:val="14"/>
        </w:numPr>
        <w:kinsoku/>
        <w:wordWrap/>
        <w:overflowPunct/>
        <w:topLinePunct w:val="0"/>
        <w:autoSpaceDE/>
        <w:autoSpaceDN/>
        <w:bidi w:val="0"/>
        <w:spacing w:beforeAutospacing="0" w:afterAutospacing="0" w:line="400" w:lineRule="exact"/>
        <w:ind w:left="5" w:leftChars="0" w:firstLine="415" w:firstLineChars="0"/>
        <w:textAlignment w:val="auto"/>
        <w:rPr>
          <w:rFonts w:hint="eastAsia" w:ascii="宋体" w:hAnsi="宋体" w:cs="宋体"/>
          <w:b w:val="0"/>
          <w:bCs w:val="0"/>
          <w:color w:val="auto"/>
          <w:sz w:val="24"/>
          <w:szCs w:val="24"/>
          <w:highlight w:val="none"/>
        </w:rPr>
      </w:pPr>
      <w:r>
        <w:rPr>
          <w:rFonts w:hint="eastAsia" w:ascii="宋体" w:hAnsi="宋体" w:cs="宋体"/>
          <w:color w:val="auto"/>
          <w:sz w:val="24"/>
          <w:szCs w:val="24"/>
          <w:highlight w:val="none"/>
        </w:rPr>
        <w:t>若中标人因自身原因无法继续经</w:t>
      </w:r>
      <w:r>
        <w:rPr>
          <w:rFonts w:hint="eastAsia" w:ascii="宋体" w:hAnsi="宋体" w:cs="宋体"/>
          <w:b w:val="0"/>
          <w:bCs w:val="0"/>
          <w:color w:val="auto"/>
          <w:sz w:val="24"/>
          <w:szCs w:val="24"/>
          <w:highlight w:val="none"/>
        </w:rPr>
        <w:t>营需提前终止合同，应提前三个月以书面形式通知</w:t>
      </w:r>
      <w:r>
        <w:rPr>
          <w:rFonts w:hint="eastAsia" w:ascii="宋体" w:hAnsi="宋体" w:cs="宋体"/>
          <w:b w:val="0"/>
          <w:bCs w:val="0"/>
          <w:color w:val="auto"/>
          <w:sz w:val="24"/>
          <w:szCs w:val="24"/>
          <w:highlight w:val="none"/>
          <w:lang w:eastAsia="zh-CN"/>
        </w:rPr>
        <w:t>采购人</w:t>
      </w:r>
      <w:r>
        <w:rPr>
          <w:rFonts w:hint="eastAsia" w:ascii="宋体" w:hAnsi="宋体" w:cs="宋体"/>
          <w:b w:val="0"/>
          <w:bCs w:val="0"/>
          <w:color w:val="auto"/>
          <w:sz w:val="24"/>
          <w:szCs w:val="24"/>
          <w:highlight w:val="none"/>
        </w:rPr>
        <w:t>，经</w:t>
      </w:r>
      <w:r>
        <w:rPr>
          <w:rFonts w:hint="eastAsia" w:ascii="宋体" w:hAnsi="宋体" w:cs="宋体"/>
          <w:b w:val="0"/>
          <w:bCs w:val="0"/>
          <w:color w:val="auto"/>
          <w:sz w:val="24"/>
          <w:szCs w:val="24"/>
          <w:highlight w:val="none"/>
          <w:lang w:eastAsia="zh-CN"/>
        </w:rPr>
        <w:t>采购人</w:t>
      </w:r>
      <w:r>
        <w:rPr>
          <w:rFonts w:hint="eastAsia" w:ascii="宋体" w:hAnsi="宋体" w:cs="宋体"/>
          <w:b w:val="0"/>
          <w:bCs w:val="0"/>
          <w:color w:val="auto"/>
          <w:sz w:val="24"/>
          <w:szCs w:val="24"/>
          <w:highlight w:val="none"/>
          <w:lang w:val="en-US" w:eastAsia="zh-CN"/>
        </w:rPr>
        <w:t>书面</w:t>
      </w:r>
      <w:r>
        <w:rPr>
          <w:rFonts w:hint="eastAsia" w:ascii="宋体" w:hAnsi="宋体" w:cs="宋体"/>
          <w:b w:val="0"/>
          <w:bCs w:val="0"/>
          <w:color w:val="auto"/>
          <w:sz w:val="24"/>
          <w:szCs w:val="24"/>
          <w:highlight w:val="none"/>
        </w:rPr>
        <w:t>同意后合同终止。</w:t>
      </w:r>
      <w:r>
        <w:rPr>
          <w:rFonts w:hint="eastAsia" w:ascii="宋体" w:hAnsi="宋体" w:cs="宋体"/>
          <w:b w:val="0"/>
          <w:bCs w:val="0"/>
          <w:color w:val="auto"/>
          <w:sz w:val="24"/>
          <w:szCs w:val="24"/>
          <w:highlight w:val="none"/>
          <w:lang w:eastAsia="zh-CN"/>
        </w:rPr>
        <w:t>采购人</w:t>
      </w:r>
      <w:r>
        <w:rPr>
          <w:rFonts w:hint="eastAsia" w:ascii="宋体" w:hAnsi="宋体" w:cs="宋体"/>
          <w:b w:val="0"/>
          <w:bCs w:val="0"/>
          <w:color w:val="auto"/>
          <w:sz w:val="24"/>
          <w:szCs w:val="24"/>
          <w:highlight w:val="none"/>
        </w:rPr>
        <w:t>不退还履约保证金</w:t>
      </w:r>
      <w:r>
        <w:rPr>
          <w:rFonts w:hint="eastAsia" w:ascii="宋体" w:hAnsi="宋体" w:cs="宋体"/>
          <w:b w:val="0"/>
          <w:bCs w:val="0"/>
          <w:color w:val="auto"/>
          <w:sz w:val="24"/>
          <w:szCs w:val="24"/>
          <w:highlight w:val="none"/>
          <w:lang w:eastAsia="zh-CN"/>
        </w:rPr>
        <w:t>。</w:t>
      </w:r>
    </w:p>
    <w:p w14:paraId="3804A777">
      <w:pPr>
        <w:keepNext w:val="0"/>
        <w:keepLines w:val="0"/>
        <w:pageBreakBefore w:val="0"/>
        <w:numPr>
          <w:ilvl w:val="0"/>
          <w:numId w:val="14"/>
        </w:numPr>
        <w:kinsoku/>
        <w:wordWrap/>
        <w:overflowPunct/>
        <w:topLinePunct w:val="0"/>
        <w:autoSpaceDE/>
        <w:autoSpaceDN/>
        <w:bidi w:val="0"/>
        <w:spacing w:beforeAutospacing="0" w:afterAutospacing="0" w:line="400" w:lineRule="exact"/>
        <w:ind w:left="5" w:leftChars="0" w:firstLine="415" w:firstLineChars="0"/>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若中标人因违约等问题被</w:t>
      </w:r>
      <w:r>
        <w:rPr>
          <w:rFonts w:hint="eastAsia" w:ascii="宋体" w:hAnsi="宋体" w:cs="宋体"/>
          <w:b w:val="0"/>
          <w:bCs w:val="0"/>
          <w:color w:val="auto"/>
          <w:sz w:val="24"/>
          <w:szCs w:val="24"/>
          <w:highlight w:val="none"/>
          <w:lang w:eastAsia="zh-CN"/>
        </w:rPr>
        <w:t>采购人</w:t>
      </w:r>
      <w:r>
        <w:rPr>
          <w:rFonts w:hint="eastAsia" w:ascii="宋体" w:hAnsi="宋体" w:cs="宋体"/>
          <w:b w:val="0"/>
          <w:bCs w:val="0"/>
          <w:color w:val="auto"/>
          <w:sz w:val="24"/>
          <w:szCs w:val="24"/>
          <w:highlight w:val="none"/>
          <w:lang w:val="en-US" w:eastAsia="zh-CN"/>
        </w:rPr>
        <w:t>单方面</w:t>
      </w:r>
      <w:r>
        <w:rPr>
          <w:rFonts w:hint="eastAsia" w:ascii="宋体" w:hAnsi="宋体" w:cs="宋体"/>
          <w:b w:val="0"/>
          <w:bCs w:val="0"/>
          <w:color w:val="auto"/>
          <w:sz w:val="24"/>
          <w:szCs w:val="24"/>
          <w:highlight w:val="none"/>
        </w:rPr>
        <w:t>终止合同，</w:t>
      </w:r>
      <w:r>
        <w:rPr>
          <w:rFonts w:hint="eastAsia" w:ascii="宋体" w:hAnsi="宋体" w:cs="宋体"/>
          <w:b w:val="0"/>
          <w:bCs w:val="0"/>
          <w:color w:val="auto"/>
          <w:sz w:val="24"/>
          <w:szCs w:val="24"/>
          <w:highlight w:val="none"/>
          <w:lang w:eastAsia="zh-CN"/>
        </w:rPr>
        <w:t>采购人</w:t>
      </w:r>
      <w:r>
        <w:rPr>
          <w:rFonts w:hint="eastAsia" w:ascii="宋体" w:hAnsi="宋体" w:cs="宋体"/>
          <w:b w:val="0"/>
          <w:bCs w:val="0"/>
          <w:color w:val="auto"/>
          <w:sz w:val="24"/>
          <w:szCs w:val="24"/>
          <w:highlight w:val="none"/>
        </w:rPr>
        <w:t>可以不提前三个月通知，费用按月支付至服务实际发生</w:t>
      </w:r>
      <w:r>
        <w:rPr>
          <w:rFonts w:hint="eastAsia" w:ascii="宋体" w:hAnsi="宋体" w:cs="宋体"/>
          <w:b w:val="0"/>
          <w:bCs w:val="0"/>
          <w:color w:val="auto"/>
          <w:sz w:val="24"/>
          <w:szCs w:val="24"/>
          <w:highlight w:val="none"/>
          <w:lang w:val="en-US" w:eastAsia="zh-CN"/>
        </w:rPr>
        <w:t>日期</w:t>
      </w:r>
      <w:r>
        <w:rPr>
          <w:rFonts w:hint="eastAsia" w:ascii="宋体" w:hAnsi="宋体" w:cs="宋体"/>
          <w:b w:val="0"/>
          <w:bCs w:val="0"/>
          <w:color w:val="auto"/>
          <w:sz w:val="24"/>
          <w:szCs w:val="24"/>
          <w:highlight w:val="none"/>
          <w:lang w:eastAsia="zh-CN"/>
        </w:rPr>
        <w:t>，采购人</w:t>
      </w:r>
      <w:r>
        <w:rPr>
          <w:rFonts w:hint="eastAsia" w:ascii="宋体" w:hAnsi="宋体" w:cs="宋体"/>
          <w:b w:val="0"/>
          <w:bCs w:val="0"/>
          <w:color w:val="auto"/>
          <w:sz w:val="24"/>
          <w:szCs w:val="24"/>
          <w:highlight w:val="none"/>
        </w:rPr>
        <w:t>不退还履约保证金。</w:t>
      </w:r>
    </w:p>
    <w:p w14:paraId="5EFE8B64">
      <w:pPr>
        <w:keepNext w:val="0"/>
        <w:keepLines w:val="0"/>
        <w:pageBreakBefore w:val="0"/>
        <w:numPr>
          <w:ilvl w:val="0"/>
          <w:numId w:val="14"/>
        </w:numPr>
        <w:kinsoku/>
        <w:wordWrap/>
        <w:overflowPunct/>
        <w:topLinePunct w:val="0"/>
        <w:autoSpaceDE/>
        <w:autoSpaceDN/>
        <w:bidi w:val="0"/>
        <w:spacing w:beforeAutospacing="0" w:afterAutospacing="0" w:line="400" w:lineRule="exact"/>
        <w:ind w:left="5" w:leftChars="0" w:firstLine="415" w:firstLineChars="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若连续2个</w:t>
      </w:r>
      <w:r>
        <w:rPr>
          <w:rFonts w:hint="eastAsia" w:ascii="宋体" w:hAnsi="宋体" w:cs="宋体"/>
          <w:color w:val="auto"/>
          <w:sz w:val="24"/>
          <w:szCs w:val="24"/>
          <w:highlight w:val="none"/>
          <w:lang w:val="en-US" w:eastAsia="zh-CN"/>
        </w:rPr>
        <w:t>学期</w:t>
      </w:r>
      <w:r>
        <w:rPr>
          <w:rFonts w:hint="eastAsia" w:ascii="宋体" w:hAnsi="宋体" w:cs="宋体"/>
          <w:color w:val="auto"/>
          <w:sz w:val="24"/>
          <w:szCs w:val="24"/>
          <w:highlight w:val="none"/>
        </w:rPr>
        <w:t>综合考核评分</w:t>
      </w:r>
      <w:r>
        <w:rPr>
          <w:rFonts w:hint="eastAsia" w:ascii="宋体" w:hAnsi="宋体" w:cs="宋体"/>
          <w:color w:val="auto"/>
          <w:sz w:val="24"/>
          <w:szCs w:val="24"/>
          <w:highlight w:val="none"/>
          <w:lang w:val="en-US" w:eastAsia="zh-CN"/>
        </w:rPr>
        <w:t>70</w:t>
      </w:r>
      <w:r>
        <w:rPr>
          <w:rFonts w:hint="eastAsia" w:ascii="宋体" w:hAnsi="宋体" w:cs="宋体"/>
          <w:color w:val="auto"/>
          <w:sz w:val="24"/>
          <w:szCs w:val="24"/>
          <w:highlight w:val="none"/>
        </w:rPr>
        <w:t>分以下</w:t>
      </w:r>
      <w:r>
        <w:rPr>
          <w:rFonts w:hint="eastAsia" w:ascii="宋体" w:hAnsi="宋体" w:cs="宋体"/>
          <w:color w:val="auto"/>
          <w:sz w:val="24"/>
          <w:szCs w:val="24"/>
          <w:highlight w:val="none"/>
          <w:lang w:val="en-US" w:eastAsia="zh-CN"/>
        </w:rPr>
        <w:t>或连续两个月餐厅日常监督检查量化考核评分低于70分，</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有权单方面解除合同且不退还履约保证金。</w:t>
      </w:r>
    </w:p>
    <w:p w14:paraId="03B44953">
      <w:pPr>
        <w:keepNext w:val="0"/>
        <w:keepLines w:val="0"/>
        <w:pageBreakBefore w:val="0"/>
        <w:numPr>
          <w:ilvl w:val="0"/>
          <w:numId w:val="14"/>
        </w:numPr>
        <w:kinsoku/>
        <w:wordWrap/>
        <w:overflowPunct/>
        <w:topLinePunct w:val="0"/>
        <w:autoSpaceDE/>
        <w:autoSpaceDN/>
        <w:bidi w:val="0"/>
        <w:spacing w:beforeAutospacing="0" w:afterAutospacing="0" w:line="400" w:lineRule="exact"/>
        <w:ind w:left="5" w:leftChars="0" w:firstLine="415" w:firstLineChars="0"/>
        <w:textAlignment w:val="auto"/>
        <w:rPr>
          <w:rFonts w:hint="default" w:eastAsia="宋体"/>
          <w:color w:val="auto"/>
          <w:sz w:val="24"/>
          <w:szCs w:val="24"/>
          <w:highlight w:val="none"/>
          <w:lang w:val="en-US" w:eastAsia="zh-CN"/>
        </w:rPr>
      </w:pPr>
      <w:r>
        <w:rPr>
          <w:rFonts w:hint="eastAsia" w:ascii="宋体" w:hAnsi="宋体" w:cs="宋体"/>
          <w:color w:val="auto"/>
          <w:sz w:val="24"/>
          <w:szCs w:val="24"/>
          <w:highlight w:val="none"/>
        </w:rPr>
        <w:t>中标人在整个合同期内出现重大违约两次（含两次）以上或在</w:t>
      </w:r>
      <w:r>
        <w:rPr>
          <w:rFonts w:hint="eastAsia" w:ascii="宋体" w:hAnsi="宋体" w:cs="宋体"/>
          <w:color w:val="auto"/>
          <w:sz w:val="24"/>
          <w:szCs w:val="24"/>
          <w:highlight w:val="none"/>
          <w:lang w:val="en-US" w:eastAsia="zh-CN"/>
        </w:rPr>
        <w:t>合同期内的任</w:t>
      </w:r>
      <w:r>
        <w:rPr>
          <w:rFonts w:hint="eastAsia" w:ascii="宋体" w:hAnsi="宋体" w:cs="宋体"/>
          <w:color w:val="auto"/>
          <w:sz w:val="24"/>
          <w:szCs w:val="24"/>
          <w:highlight w:val="none"/>
        </w:rPr>
        <w:t>一个学年出现一般违约五次（含五次）以上，</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有权单方面解除合同且不退还履约保证金。</w:t>
      </w:r>
    </w:p>
    <w:p w14:paraId="4D07BAE7">
      <w:pPr>
        <w:keepNext w:val="0"/>
        <w:keepLines w:val="0"/>
        <w:pageBreakBefore w:val="0"/>
        <w:numPr>
          <w:ilvl w:val="0"/>
          <w:numId w:val="14"/>
        </w:numPr>
        <w:kinsoku/>
        <w:wordWrap/>
        <w:overflowPunct/>
        <w:topLinePunct w:val="0"/>
        <w:autoSpaceDE/>
        <w:autoSpaceDN/>
        <w:bidi w:val="0"/>
        <w:spacing w:beforeAutospacing="0" w:afterAutospacing="0" w:line="400" w:lineRule="exact"/>
        <w:ind w:left="5" w:leftChars="0" w:firstLine="415" w:firstLineChars="0"/>
        <w:textAlignment w:val="auto"/>
        <w:rPr>
          <w:rFonts w:hint="default" w:eastAsia="宋体"/>
          <w:color w:val="auto"/>
          <w:sz w:val="24"/>
          <w:szCs w:val="24"/>
          <w:highlight w:val="none"/>
          <w:lang w:val="en-US" w:eastAsia="zh-CN"/>
        </w:rPr>
      </w:pPr>
      <w:r>
        <w:rPr>
          <w:rFonts w:hint="eastAsia" w:ascii="宋体" w:hAnsi="宋体" w:eastAsia="宋体" w:cs="宋体"/>
          <w:color w:val="auto"/>
          <w:sz w:val="24"/>
          <w:szCs w:val="24"/>
          <w:highlight w:val="none"/>
        </w:rPr>
        <w:t>在合同履行期间，若遇政府部门或上级单位出台有关该项目的政策调整，继续履行合同违反相关政策文件要求的，</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提前15日通知中标人终止合同，</w:t>
      </w:r>
      <w:r>
        <w:rPr>
          <w:rFonts w:hint="eastAsia" w:ascii="宋体" w:hAnsi="宋体" w:cs="宋体"/>
          <w:color w:val="auto"/>
          <w:sz w:val="24"/>
          <w:szCs w:val="24"/>
          <w:highlight w:val="none"/>
          <w:lang w:val="en-US" w:eastAsia="zh-CN"/>
        </w:rPr>
        <w:t>团队服务</w:t>
      </w:r>
      <w:r>
        <w:rPr>
          <w:rFonts w:hint="eastAsia" w:ascii="宋体" w:hAnsi="宋体" w:eastAsia="宋体" w:cs="宋体"/>
          <w:color w:val="auto"/>
          <w:sz w:val="24"/>
          <w:szCs w:val="24"/>
          <w:highlight w:val="none"/>
        </w:rPr>
        <w:t>费用按月支付至服务实际发生</w:t>
      </w:r>
      <w:r>
        <w:rPr>
          <w:rFonts w:hint="eastAsia" w:ascii="宋体" w:hAnsi="宋体" w:cs="宋体"/>
          <w:color w:val="auto"/>
          <w:sz w:val="24"/>
          <w:szCs w:val="24"/>
          <w:highlight w:val="none"/>
          <w:lang w:val="en-US" w:eastAsia="zh-CN"/>
        </w:rPr>
        <w:t>日期</w:t>
      </w:r>
      <w:r>
        <w:rPr>
          <w:rFonts w:hint="eastAsia" w:ascii="宋体" w:hAnsi="宋体" w:cs="宋体"/>
          <w:b w:val="0"/>
          <w:bCs w:val="0"/>
          <w:color w:val="auto"/>
          <w:sz w:val="24"/>
          <w:szCs w:val="24"/>
          <w:highlight w:val="none"/>
          <w:lang w:val="en-US" w:eastAsia="zh-CN"/>
        </w:rPr>
        <w:t>当月</w:t>
      </w:r>
      <w:r>
        <w:rPr>
          <w:rFonts w:hint="eastAsia" w:ascii="宋体" w:hAnsi="宋体" w:eastAsia="宋体" w:cs="宋体"/>
          <w:b w:val="0"/>
          <w:bCs w:val="0"/>
          <w:color w:val="auto"/>
          <w:sz w:val="24"/>
          <w:szCs w:val="24"/>
          <w:highlight w:val="none"/>
          <w:lang w:val="en-US" w:eastAsia="zh-CN"/>
        </w:rPr>
        <w:t>【实际工作不足15天（含15天）的按半个月计算，实际工作超过15天（不含15天）的按1个月计算】</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中</w:t>
      </w:r>
      <w:r>
        <w:rPr>
          <w:rFonts w:hint="eastAsia" w:ascii="宋体" w:hAnsi="宋体" w:eastAsia="宋体" w:cs="宋体"/>
          <w:color w:val="auto"/>
          <w:sz w:val="24"/>
          <w:szCs w:val="24"/>
          <w:highlight w:val="none"/>
          <w:lang w:val="en-US" w:eastAsia="zh-CN"/>
        </w:rPr>
        <w:t>标人不得要求</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承担违约责任</w:t>
      </w:r>
      <w:r>
        <w:rPr>
          <w:rFonts w:hint="eastAsia" w:ascii="宋体" w:hAnsi="宋体" w:cs="宋体"/>
          <w:color w:val="auto"/>
          <w:sz w:val="24"/>
          <w:szCs w:val="24"/>
          <w:highlight w:val="none"/>
          <w:lang w:eastAsia="zh-CN"/>
        </w:rPr>
        <w:t>。</w:t>
      </w:r>
    </w:p>
    <w:p w14:paraId="0438B470">
      <w:pPr>
        <w:keepNext w:val="0"/>
        <w:keepLines w:val="0"/>
        <w:pageBreakBefore w:val="0"/>
        <w:kinsoku/>
        <w:wordWrap/>
        <w:overflowPunct/>
        <w:topLinePunct w:val="0"/>
        <w:autoSpaceDE/>
        <w:autoSpaceDN/>
        <w:bidi w:val="0"/>
        <w:spacing w:beforeAutospacing="0" w:afterAutospacing="0" w:line="400" w:lineRule="exact"/>
        <w:textAlignment w:val="auto"/>
        <w:rPr>
          <w:rFonts w:hint="eastAsia" w:ascii="宋体" w:hAnsi="宋体" w:cs="宋体"/>
          <w:b/>
          <w:color w:val="auto"/>
          <w:sz w:val="24"/>
          <w:szCs w:val="24"/>
          <w:highlight w:val="none"/>
        </w:rPr>
      </w:pPr>
      <w:r>
        <w:rPr>
          <w:rFonts w:hint="eastAsia"/>
          <w:b/>
          <w:color w:val="auto"/>
          <w:sz w:val="24"/>
          <w:szCs w:val="24"/>
          <w:highlight w:val="none"/>
          <w:lang w:val="en-US" w:eastAsia="zh-CN"/>
        </w:rPr>
        <w:t>10.</w:t>
      </w:r>
      <w:r>
        <w:rPr>
          <w:rFonts w:hint="eastAsia" w:ascii="宋体" w:hAnsi="宋体" w:cs="宋体"/>
          <w:b/>
          <w:color w:val="auto"/>
          <w:sz w:val="24"/>
          <w:szCs w:val="24"/>
          <w:highlight w:val="none"/>
        </w:rPr>
        <w:t>其他要求</w:t>
      </w:r>
    </w:p>
    <w:p w14:paraId="4C73110D">
      <w:pPr>
        <w:keepNext w:val="0"/>
        <w:keepLines w:val="0"/>
        <w:pageBreakBefore w:val="0"/>
        <w:widowControl/>
        <w:numPr>
          <w:ilvl w:val="0"/>
          <w:numId w:val="15"/>
        </w:numPr>
        <w:shd w:val="clear" w:color="auto" w:fill="FFFFFF"/>
        <w:kinsoku/>
        <w:wordWrap/>
        <w:overflowPunct/>
        <w:topLinePunct w:val="0"/>
        <w:autoSpaceDE/>
        <w:autoSpaceDN/>
        <w:bidi w:val="0"/>
        <w:spacing w:before="0" w:beforeAutospacing="0" w:after="0" w:afterAutospacing="0" w:line="400" w:lineRule="exact"/>
        <w:ind w:left="5" w:leftChars="0" w:firstLine="415" w:firstLineChars="0"/>
        <w:jc w:val="left"/>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中标人必须自主经营管理，不得分包、转包、变相转包或以他人身份挂靠；未经采购人同意，严禁在食堂区域内进行其它经营活动和其它用途；以上一经发现核实，采购人有权终止合同并扣除履约保证金。</w:t>
      </w:r>
      <w:r>
        <w:rPr>
          <w:rFonts w:hint="eastAsia" w:ascii="宋体" w:hAnsi="宋体" w:eastAsia="宋体" w:cs="宋体"/>
          <w:b/>
          <w:bCs/>
          <w:color w:val="auto"/>
          <w:kern w:val="0"/>
          <w:sz w:val="24"/>
          <w:szCs w:val="24"/>
          <w:highlight w:val="none"/>
          <w:lang w:val="en-US" w:eastAsia="zh-CN" w:bidi="ar-SA"/>
        </w:rPr>
        <w:t>投标人必须在投标文件中对此做出书面承诺。未提供书面承诺的，将视为未实质性响应招标文件要求，按照无效投标处理。</w:t>
      </w:r>
    </w:p>
    <w:p w14:paraId="722C5FEF">
      <w:pPr>
        <w:pStyle w:val="38"/>
        <w:keepNext w:val="0"/>
        <w:keepLines w:val="0"/>
        <w:pageBreakBefore w:val="0"/>
        <w:numPr>
          <w:ilvl w:val="0"/>
          <w:numId w:val="15"/>
        </w:numPr>
        <w:kinsoku/>
        <w:wordWrap/>
        <w:overflowPunct/>
        <w:topLinePunct w:val="0"/>
        <w:autoSpaceDE/>
        <w:autoSpaceDN/>
        <w:bidi w:val="0"/>
        <w:spacing w:beforeAutospacing="0" w:afterAutospacing="0" w:line="400" w:lineRule="exact"/>
        <w:ind w:left="5" w:leftChars="0" w:firstLine="415" w:firstLineChars="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中标人负责工作人员的安全教育工作，严格遵守国家的法律法规及</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的管理规定，劳务人员不得与就餐人员发生争吵现象，如果发生纠纷要通过</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管理人员协调解决。</w:t>
      </w:r>
    </w:p>
    <w:p w14:paraId="132BA836">
      <w:pPr>
        <w:pStyle w:val="38"/>
        <w:keepNext w:val="0"/>
        <w:keepLines w:val="0"/>
        <w:pageBreakBefore w:val="0"/>
        <w:numPr>
          <w:ilvl w:val="0"/>
          <w:numId w:val="15"/>
        </w:numPr>
        <w:kinsoku/>
        <w:wordWrap/>
        <w:overflowPunct/>
        <w:topLinePunct w:val="0"/>
        <w:autoSpaceDE/>
        <w:autoSpaceDN/>
        <w:bidi w:val="0"/>
        <w:spacing w:beforeAutospacing="0" w:afterAutospacing="0" w:line="400" w:lineRule="exact"/>
        <w:ind w:left="5" w:leftChars="0" w:firstLine="415" w:firstLineChars="0"/>
        <w:textAlignment w:val="auto"/>
        <w:rPr>
          <w:rFonts w:hint="eastAsia" w:ascii="宋体" w:hAnsi="宋体" w:cs="宋体"/>
          <w:bCs/>
          <w:color w:val="auto"/>
          <w:sz w:val="24"/>
          <w:szCs w:val="24"/>
          <w:highlight w:val="none"/>
          <w:shd w:val="clear" w:color="auto" w:fill="FFFFFF"/>
        </w:rPr>
      </w:pPr>
      <w:r>
        <w:rPr>
          <w:rFonts w:hint="eastAsia" w:ascii="宋体" w:hAnsi="宋体" w:cs="宋体"/>
          <w:color w:val="auto"/>
          <w:sz w:val="24"/>
          <w:szCs w:val="24"/>
          <w:highlight w:val="none"/>
        </w:rPr>
        <w:t>中标人主动接受</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的监督检查，对投诉和所提出的建议问题限期整改纠正。</w:t>
      </w:r>
    </w:p>
    <w:p w14:paraId="10764BC1">
      <w:pPr>
        <w:keepNext w:val="0"/>
        <w:keepLines w:val="0"/>
        <w:pageBreakBefore w:val="0"/>
        <w:widowControl/>
        <w:numPr>
          <w:ilvl w:val="0"/>
          <w:numId w:val="15"/>
        </w:numPr>
        <w:shd w:val="clear" w:color="auto" w:fill="FFFFFF"/>
        <w:kinsoku/>
        <w:wordWrap/>
        <w:overflowPunct/>
        <w:topLinePunct w:val="0"/>
        <w:autoSpaceDE/>
        <w:autoSpaceDN/>
        <w:bidi w:val="0"/>
        <w:spacing w:before="0" w:beforeAutospacing="0" w:after="0" w:afterAutospacing="0" w:line="400" w:lineRule="exact"/>
        <w:ind w:left="5" w:leftChars="0" w:firstLine="415" w:firstLineChars="0"/>
        <w:jc w:val="left"/>
        <w:textAlignment w:val="auto"/>
        <w:rPr>
          <w:rFonts w:hint="eastAsia" w:ascii="宋体" w:hAnsi="宋体" w:cs="宋体"/>
          <w:bCs/>
          <w:color w:val="auto"/>
          <w:sz w:val="24"/>
          <w:szCs w:val="24"/>
          <w:highlight w:val="none"/>
          <w:shd w:val="clear" w:color="auto" w:fill="FFFFFF"/>
        </w:rPr>
      </w:pPr>
      <w:r>
        <w:rPr>
          <w:rFonts w:hint="eastAsia" w:ascii="宋体" w:hAnsi="宋体" w:eastAsia="宋体" w:cs="宋体"/>
          <w:color w:val="auto"/>
          <w:kern w:val="0"/>
          <w:sz w:val="24"/>
          <w:szCs w:val="24"/>
          <w:highlight w:val="none"/>
          <w:lang w:val="en-US" w:eastAsia="zh-CN" w:bidi="ar-SA"/>
        </w:rPr>
        <w:t>本招标文件未明确的其它约定事项或条款，待</w:t>
      </w:r>
      <w:r>
        <w:rPr>
          <w:rFonts w:hint="eastAsia" w:ascii="宋体" w:hAnsi="宋体" w:cs="宋体"/>
          <w:color w:val="auto"/>
          <w:kern w:val="0"/>
          <w:sz w:val="24"/>
          <w:szCs w:val="24"/>
          <w:highlight w:val="none"/>
          <w:lang w:val="en-US" w:eastAsia="zh-CN" w:bidi="ar-SA"/>
        </w:rPr>
        <w:t>采购人</w:t>
      </w:r>
      <w:r>
        <w:rPr>
          <w:rFonts w:hint="eastAsia" w:ascii="宋体" w:hAnsi="宋体" w:eastAsia="宋体" w:cs="宋体"/>
          <w:color w:val="auto"/>
          <w:kern w:val="0"/>
          <w:sz w:val="24"/>
          <w:szCs w:val="24"/>
          <w:highlight w:val="none"/>
          <w:lang w:val="en-US" w:eastAsia="zh-CN" w:bidi="ar-SA"/>
        </w:rPr>
        <w:t>与中标人签订合同时，由双方协商订立。</w:t>
      </w:r>
    </w:p>
    <w:p w14:paraId="2B6E9033">
      <w:pPr>
        <w:spacing w:line="360" w:lineRule="auto"/>
        <w:jc w:val="center"/>
        <w:rPr>
          <w:rFonts w:hint="eastAsia" w:ascii="华文中宋" w:hAnsi="华文中宋" w:eastAsia="华文中宋" w:cs="华文中宋"/>
          <w:b/>
          <w:color w:val="auto"/>
          <w:sz w:val="32"/>
          <w:szCs w:val="28"/>
          <w:highlight w:val="none"/>
        </w:rPr>
      </w:pPr>
    </w:p>
    <w:p w14:paraId="761AA0F3">
      <w:pPr>
        <w:spacing w:line="360" w:lineRule="auto"/>
        <w:jc w:val="center"/>
        <w:rPr>
          <w:rFonts w:hint="eastAsia" w:ascii="华文中宋" w:hAnsi="华文中宋" w:eastAsia="华文中宋" w:cs="华文中宋"/>
          <w:b/>
          <w:color w:val="auto"/>
          <w:sz w:val="32"/>
          <w:szCs w:val="28"/>
          <w:highlight w:val="none"/>
        </w:rPr>
      </w:pPr>
    </w:p>
    <w:p w14:paraId="2DD4BF58">
      <w:pPr>
        <w:spacing w:line="360" w:lineRule="auto"/>
        <w:jc w:val="center"/>
        <w:rPr>
          <w:rFonts w:hint="eastAsia" w:ascii="华文中宋" w:hAnsi="华文中宋" w:eastAsia="华文中宋" w:cs="华文中宋"/>
          <w:b/>
          <w:color w:val="auto"/>
          <w:sz w:val="32"/>
          <w:szCs w:val="28"/>
          <w:highlight w:val="none"/>
        </w:rPr>
      </w:pPr>
    </w:p>
    <w:p w14:paraId="637F7EBC">
      <w:pPr>
        <w:spacing w:line="360" w:lineRule="auto"/>
        <w:jc w:val="center"/>
        <w:rPr>
          <w:rFonts w:hint="eastAsia" w:ascii="华文中宋" w:hAnsi="华文中宋" w:eastAsia="华文中宋" w:cs="华文中宋"/>
          <w:b/>
          <w:color w:val="auto"/>
          <w:sz w:val="32"/>
          <w:szCs w:val="28"/>
          <w:highlight w:val="none"/>
        </w:rPr>
      </w:pPr>
    </w:p>
    <w:p w14:paraId="6D921C9C">
      <w:pPr>
        <w:spacing w:line="360" w:lineRule="auto"/>
        <w:jc w:val="center"/>
        <w:rPr>
          <w:rFonts w:hint="eastAsia" w:ascii="华文中宋" w:hAnsi="华文中宋" w:eastAsia="华文中宋" w:cs="华文中宋"/>
          <w:b/>
          <w:color w:val="auto"/>
          <w:sz w:val="32"/>
          <w:szCs w:val="28"/>
          <w:highlight w:val="none"/>
        </w:rPr>
      </w:pPr>
    </w:p>
    <w:p w14:paraId="40EE7CBD">
      <w:pPr>
        <w:pStyle w:val="33"/>
        <w:keepNext w:val="0"/>
        <w:keepLines w:val="0"/>
        <w:pageBreakBefore w:val="0"/>
        <w:kinsoku/>
        <w:wordWrap/>
        <w:overflowPunct/>
        <w:topLinePunct w:val="0"/>
        <w:autoSpaceDE/>
        <w:autoSpaceDN/>
        <w:bidi w:val="0"/>
        <w:adjustRightInd/>
        <w:snapToGrid/>
        <w:spacing w:line="420" w:lineRule="exact"/>
        <w:jc w:val="left"/>
        <w:textAlignment w:val="auto"/>
        <w:outlineLvl w:val="9"/>
        <w:rPr>
          <w:color w:val="auto"/>
          <w:sz w:val="24"/>
          <w:szCs w:val="24"/>
          <w:highlight w:val="none"/>
        </w:rPr>
      </w:pPr>
      <w:r>
        <w:rPr>
          <w:b/>
          <w:color w:val="auto"/>
          <w:sz w:val="24"/>
          <w:szCs w:val="24"/>
          <w:highlight w:val="none"/>
        </w:rPr>
        <w:t>四、其他事项</w:t>
      </w:r>
    </w:p>
    <w:p w14:paraId="4D3488DD">
      <w:pPr>
        <w:rPr>
          <w:rFonts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color w:val="auto"/>
          <w:sz w:val="24"/>
          <w:szCs w:val="24"/>
          <w:highlight w:val="none"/>
          <w:lang w:val="en-US" w:eastAsia="zh-CN"/>
        </w:rPr>
        <w:t>（一）</w:t>
      </w:r>
      <w:r>
        <w:rPr>
          <w:rFonts w:hint="eastAsia" w:ascii="Times New Roman" w:hAnsi="Times New Roman" w:eastAsia="宋体" w:cs="Times New Roman"/>
          <w:b/>
          <w:bCs/>
          <w:color w:val="auto"/>
          <w:sz w:val="24"/>
          <w:szCs w:val="24"/>
          <w:highlight w:val="none"/>
        </w:rPr>
        <w:t>考核评分表</w:t>
      </w:r>
    </w:p>
    <w:tbl>
      <w:tblPr>
        <w:tblStyle w:val="23"/>
        <w:tblW w:w="9934" w:type="dxa"/>
        <w:jc w:val="center"/>
        <w:tblLayout w:type="fixed"/>
        <w:tblCellMar>
          <w:top w:w="0" w:type="dxa"/>
          <w:left w:w="108" w:type="dxa"/>
          <w:bottom w:w="0" w:type="dxa"/>
          <w:right w:w="108" w:type="dxa"/>
        </w:tblCellMar>
      </w:tblPr>
      <w:tblGrid>
        <w:gridCol w:w="525"/>
        <w:gridCol w:w="849"/>
        <w:gridCol w:w="5262"/>
        <w:gridCol w:w="613"/>
        <w:gridCol w:w="587"/>
        <w:gridCol w:w="2098"/>
      </w:tblGrid>
      <w:tr w14:paraId="12DDA1BB">
        <w:tblPrEx>
          <w:tblCellMar>
            <w:top w:w="0" w:type="dxa"/>
            <w:left w:w="108" w:type="dxa"/>
            <w:bottom w:w="0" w:type="dxa"/>
            <w:right w:w="108" w:type="dxa"/>
          </w:tblCellMar>
        </w:tblPrEx>
        <w:trPr>
          <w:trHeight w:val="90" w:hRule="atLeast"/>
          <w:jc w:val="center"/>
        </w:trPr>
        <w:tc>
          <w:tcPr>
            <w:tcW w:w="9934" w:type="dxa"/>
            <w:gridSpan w:val="6"/>
            <w:vAlign w:val="center"/>
          </w:tcPr>
          <w:p w14:paraId="6BEF4FA7">
            <w:pPr>
              <w:spacing w:line="300" w:lineRule="auto"/>
              <w:jc w:val="center"/>
              <w:rPr>
                <w:rFonts w:hint="eastAsia" w:ascii="宋体" w:hAnsi="宋体" w:eastAsia="宋体" w:cs="宋体"/>
                <w:color w:val="auto"/>
                <w:sz w:val="24"/>
                <w:szCs w:val="24"/>
                <w:highlight w:val="none"/>
              </w:rPr>
            </w:pPr>
            <w:r>
              <w:rPr>
                <w:rFonts w:hint="eastAsia" w:ascii="Times New Roman" w:hAnsi="Times New Roman" w:eastAsia="宋体" w:cs="Times New Roman"/>
                <w:b/>
                <w:color w:val="auto"/>
                <w:sz w:val="24"/>
                <w:szCs w:val="24"/>
                <w:highlight w:val="none"/>
                <w:lang w:val="en-US" w:eastAsia="zh-CN"/>
              </w:rPr>
              <w:t>附件 1：</w:t>
            </w:r>
            <w:r>
              <w:rPr>
                <w:rFonts w:hint="eastAsia" w:ascii="宋体" w:hAnsi="宋体" w:eastAsia="宋体" w:cs="宋体"/>
                <w:b/>
                <w:bCs/>
                <w:color w:val="auto"/>
                <w:sz w:val="32"/>
                <w:szCs w:val="24"/>
                <w:highlight w:val="none"/>
                <w:lang w:val="en-US" w:eastAsia="zh-CN"/>
              </w:rPr>
              <w:t>湄洲湾职业技术学院餐厅</w:t>
            </w:r>
            <w:r>
              <w:rPr>
                <w:rFonts w:hint="eastAsia" w:ascii="宋体" w:hAnsi="宋体" w:eastAsia="宋体" w:cs="宋体"/>
                <w:b/>
                <w:bCs/>
                <w:color w:val="auto"/>
                <w:sz w:val="32"/>
                <w:szCs w:val="24"/>
                <w:highlight w:val="none"/>
              </w:rPr>
              <w:t>日常</w:t>
            </w:r>
            <w:r>
              <w:rPr>
                <w:rFonts w:hint="eastAsia" w:ascii="宋体" w:hAnsi="宋体" w:eastAsia="宋体" w:cs="宋体"/>
                <w:b/>
                <w:bCs/>
                <w:color w:val="auto"/>
                <w:sz w:val="32"/>
                <w:szCs w:val="24"/>
                <w:highlight w:val="none"/>
                <w:lang w:val="en-US" w:eastAsia="zh-CN"/>
              </w:rPr>
              <w:t>监督</w:t>
            </w:r>
            <w:r>
              <w:rPr>
                <w:rFonts w:hint="eastAsia" w:ascii="宋体" w:hAnsi="宋体" w:eastAsia="宋体" w:cs="宋体"/>
                <w:b/>
                <w:bCs/>
                <w:color w:val="auto"/>
                <w:sz w:val="32"/>
                <w:szCs w:val="24"/>
                <w:highlight w:val="none"/>
              </w:rPr>
              <w:t>检查量化考核评分表</w:t>
            </w:r>
          </w:p>
        </w:tc>
      </w:tr>
      <w:tr w14:paraId="2BC67C65">
        <w:tblPrEx>
          <w:tblCellMar>
            <w:top w:w="0" w:type="dxa"/>
            <w:left w:w="108" w:type="dxa"/>
            <w:bottom w:w="0" w:type="dxa"/>
            <w:right w:w="108" w:type="dxa"/>
          </w:tblCellMar>
        </w:tblPrEx>
        <w:trPr>
          <w:trHeight w:val="554" w:hRule="atLeast"/>
          <w:jc w:val="center"/>
        </w:trPr>
        <w:tc>
          <w:tcPr>
            <w:tcW w:w="9934" w:type="dxa"/>
            <w:gridSpan w:val="6"/>
            <w:tcBorders>
              <w:bottom w:val="single" w:color="auto" w:sz="4" w:space="0"/>
            </w:tcBorders>
            <w:vAlign w:val="center"/>
          </w:tcPr>
          <w:p w14:paraId="2539C5E8">
            <w:pPr>
              <w:spacing w:line="300" w:lineRule="auto"/>
              <w:rPr>
                <w:rFonts w:hint="eastAsia" w:ascii="宋体" w:hAnsi="宋体" w:eastAsia="宋体" w:cs="宋体"/>
                <w:color w:val="auto"/>
                <w:sz w:val="28"/>
                <w:szCs w:val="24"/>
                <w:highlight w:val="none"/>
                <w:u w:val="single"/>
              </w:rPr>
            </w:pPr>
            <w:r>
              <w:rPr>
                <w:rFonts w:hint="eastAsia" w:ascii="宋体" w:hAnsi="宋体" w:eastAsia="宋体" w:cs="宋体"/>
                <w:color w:val="auto"/>
                <w:sz w:val="28"/>
                <w:szCs w:val="24"/>
                <w:highlight w:val="none"/>
              </w:rPr>
              <w:t>被检查食堂：</w:t>
            </w:r>
            <w:r>
              <w:rPr>
                <w:rFonts w:hint="eastAsia" w:ascii="宋体" w:hAnsi="宋体" w:eastAsia="宋体" w:cs="宋体"/>
                <w:color w:val="auto"/>
                <w:sz w:val="28"/>
                <w:szCs w:val="24"/>
                <w:highlight w:val="none"/>
                <w:u w:val="single"/>
              </w:rPr>
              <w:t xml:space="preserve"> </w:t>
            </w:r>
            <w:r>
              <w:rPr>
                <w:rFonts w:ascii="宋体" w:hAnsi="宋体" w:eastAsia="宋体" w:cs="宋体"/>
                <w:color w:val="auto"/>
                <w:sz w:val="28"/>
                <w:szCs w:val="24"/>
                <w:highlight w:val="none"/>
                <w:u w:val="single"/>
              </w:rPr>
              <w:t xml:space="preserve"> </w:t>
            </w:r>
            <w:r>
              <w:rPr>
                <w:rFonts w:hint="eastAsia" w:ascii="宋体" w:hAnsi="宋体" w:eastAsia="宋体" w:cs="宋体"/>
                <w:color w:val="auto"/>
                <w:sz w:val="28"/>
                <w:szCs w:val="24"/>
                <w:highlight w:val="none"/>
                <w:u w:val="single"/>
                <w:lang w:val="en-US" w:eastAsia="zh-CN"/>
              </w:rPr>
              <w:t xml:space="preserve">            </w:t>
            </w:r>
            <w:r>
              <w:rPr>
                <w:rFonts w:ascii="宋体" w:hAnsi="宋体" w:eastAsia="宋体" w:cs="宋体"/>
                <w:color w:val="auto"/>
                <w:sz w:val="28"/>
                <w:szCs w:val="24"/>
                <w:highlight w:val="none"/>
                <w:u w:val="single"/>
              </w:rPr>
              <w:t xml:space="preserve">    </w:t>
            </w:r>
            <w:r>
              <w:rPr>
                <w:rFonts w:hint="eastAsia" w:ascii="宋体" w:hAnsi="宋体" w:eastAsia="宋体" w:cs="宋体"/>
                <w:color w:val="auto"/>
                <w:sz w:val="28"/>
                <w:szCs w:val="24"/>
                <w:highlight w:val="none"/>
              </w:rPr>
              <w:t xml:space="preserve"> 检查时间:</w:t>
            </w:r>
            <w:r>
              <w:rPr>
                <w:rFonts w:ascii="宋体" w:hAnsi="宋体" w:eastAsia="宋体" w:cs="宋体"/>
                <w:color w:val="auto"/>
                <w:sz w:val="28"/>
                <w:szCs w:val="24"/>
                <w:highlight w:val="none"/>
                <w:u w:val="single"/>
              </w:rPr>
              <w:t xml:space="preserve">  </w:t>
            </w:r>
            <w:r>
              <w:rPr>
                <w:rFonts w:hint="eastAsia" w:ascii="宋体" w:hAnsi="宋体" w:eastAsia="宋体" w:cs="宋体"/>
                <w:color w:val="auto"/>
                <w:sz w:val="28"/>
                <w:szCs w:val="24"/>
                <w:highlight w:val="none"/>
                <w:u w:val="single"/>
                <w:lang w:val="en-US" w:eastAsia="zh-CN"/>
              </w:rPr>
              <w:t xml:space="preserve">    </w:t>
            </w:r>
            <w:r>
              <w:rPr>
                <w:rFonts w:ascii="宋体" w:hAnsi="宋体" w:eastAsia="宋体" w:cs="宋体"/>
                <w:color w:val="auto"/>
                <w:sz w:val="28"/>
                <w:szCs w:val="24"/>
                <w:highlight w:val="none"/>
                <w:u w:val="single"/>
              </w:rPr>
              <w:t xml:space="preserve">  </w:t>
            </w:r>
            <w:r>
              <w:rPr>
                <w:rFonts w:hint="eastAsia" w:ascii="宋体" w:hAnsi="宋体" w:eastAsia="宋体" w:cs="宋体"/>
                <w:color w:val="auto"/>
                <w:sz w:val="28"/>
                <w:szCs w:val="24"/>
                <w:highlight w:val="none"/>
              </w:rPr>
              <w:t>年</w:t>
            </w:r>
            <w:r>
              <w:rPr>
                <w:rFonts w:ascii="宋体" w:hAnsi="宋体" w:eastAsia="宋体" w:cs="宋体"/>
                <w:color w:val="auto"/>
                <w:sz w:val="28"/>
                <w:szCs w:val="24"/>
                <w:highlight w:val="none"/>
                <w:u w:val="single"/>
              </w:rPr>
              <w:t xml:space="preserve"> </w:t>
            </w:r>
            <w:r>
              <w:rPr>
                <w:rFonts w:hint="eastAsia" w:ascii="宋体" w:hAnsi="宋体" w:eastAsia="宋体" w:cs="宋体"/>
                <w:color w:val="auto"/>
                <w:sz w:val="28"/>
                <w:szCs w:val="24"/>
                <w:highlight w:val="none"/>
                <w:u w:val="single"/>
                <w:lang w:val="en-US" w:eastAsia="zh-CN"/>
              </w:rPr>
              <w:t xml:space="preserve">  </w:t>
            </w:r>
            <w:r>
              <w:rPr>
                <w:rFonts w:ascii="宋体" w:hAnsi="宋体" w:eastAsia="宋体" w:cs="宋体"/>
                <w:color w:val="auto"/>
                <w:sz w:val="28"/>
                <w:szCs w:val="24"/>
                <w:highlight w:val="none"/>
                <w:u w:val="single"/>
              </w:rPr>
              <w:t xml:space="preserve">  </w:t>
            </w:r>
            <w:r>
              <w:rPr>
                <w:rFonts w:hint="eastAsia" w:ascii="宋体" w:hAnsi="宋体" w:eastAsia="宋体" w:cs="宋体"/>
                <w:color w:val="auto"/>
                <w:sz w:val="28"/>
                <w:szCs w:val="24"/>
                <w:highlight w:val="none"/>
              </w:rPr>
              <w:t>月</w:t>
            </w:r>
            <w:r>
              <w:rPr>
                <w:rFonts w:ascii="宋体" w:hAnsi="宋体" w:eastAsia="宋体" w:cs="宋体"/>
                <w:color w:val="auto"/>
                <w:sz w:val="28"/>
                <w:szCs w:val="24"/>
                <w:highlight w:val="none"/>
                <w:u w:val="single"/>
              </w:rPr>
              <w:t xml:space="preserve">  </w:t>
            </w:r>
            <w:r>
              <w:rPr>
                <w:rFonts w:hint="eastAsia" w:ascii="宋体" w:hAnsi="宋体" w:eastAsia="宋体" w:cs="宋体"/>
                <w:color w:val="auto"/>
                <w:sz w:val="28"/>
                <w:szCs w:val="24"/>
                <w:highlight w:val="none"/>
                <w:u w:val="single"/>
                <w:lang w:val="en-US" w:eastAsia="zh-CN"/>
              </w:rPr>
              <w:t xml:space="preserve"> </w:t>
            </w:r>
            <w:r>
              <w:rPr>
                <w:rFonts w:ascii="宋体" w:hAnsi="宋体" w:eastAsia="宋体" w:cs="宋体"/>
                <w:color w:val="auto"/>
                <w:sz w:val="28"/>
                <w:szCs w:val="24"/>
                <w:highlight w:val="none"/>
                <w:u w:val="single"/>
              </w:rPr>
              <w:t xml:space="preserve">   </w:t>
            </w:r>
            <w:r>
              <w:rPr>
                <w:rFonts w:hint="eastAsia" w:ascii="宋体" w:hAnsi="宋体" w:eastAsia="宋体" w:cs="宋体"/>
                <w:color w:val="auto"/>
                <w:sz w:val="28"/>
                <w:szCs w:val="24"/>
                <w:highlight w:val="none"/>
              </w:rPr>
              <w:t>日</w:t>
            </w:r>
          </w:p>
        </w:tc>
      </w:tr>
      <w:tr w14:paraId="5AA70771">
        <w:tblPrEx>
          <w:tblCellMar>
            <w:top w:w="0" w:type="dxa"/>
            <w:left w:w="108" w:type="dxa"/>
            <w:bottom w:w="0" w:type="dxa"/>
            <w:right w:w="108" w:type="dxa"/>
          </w:tblCellMar>
        </w:tblPrEx>
        <w:trPr>
          <w:trHeight w:val="300"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14:paraId="400BCFB5">
            <w:pPr>
              <w:spacing w:line="300" w:lineRule="auto"/>
              <w:ind w:right="-197" w:rightChars="-94"/>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序号</w:t>
            </w:r>
          </w:p>
        </w:tc>
        <w:tc>
          <w:tcPr>
            <w:tcW w:w="6111" w:type="dxa"/>
            <w:gridSpan w:val="2"/>
            <w:tcBorders>
              <w:top w:val="single" w:color="auto" w:sz="4" w:space="0"/>
              <w:left w:val="nil"/>
              <w:bottom w:val="single" w:color="auto" w:sz="4" w:space="0"/>
              <w:right w:val="single" w:color="auto" w:sz="4" w:space="0"/>
            </w:tcBorders>
            <w:vAlign w:val="center"/>
          </w:tcPr>
          <w:p w14:paraId="19215A76">
            <w:pPr>
              <w:spacing w:line="30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检查内容</w:t>
            </w:r>
          </w:p>
        </w:tc>
        <w:tc>
          <w:tcPr>
            <w:tcW w:w="613" w:type="dxa"/>
            <w:tcBorders>
              <w:top w:val="single" w:color="auto" w:sz="4" w:space="0"/>
              <w:left w:val="nil"/>
              <w:bottom w:val="single" w:color="auto" w:sz="4" w:space="0"/>
              <w:right w:val="single" w:color="auto" w:sz="4" w:space="0"/>
            </w:tcBorders>
            <w:vAlign w:val="center"/>
          </w:tcPr>
          <w:p w14:paraId="27F8EA60">
            <w:pPr>
              <w:spacing w:line="30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满分</w:t>
            </w:r>
          </w:p>
        </w:tc>
        <w:tc>
          <w:tcPr>
            <w:tcW w:w="587" w:type="dxa"/>
            <w:tcBorders>
              <w:top w:val="single" w:color="auto" w:sz="4" w:space="0"/>
              <w:left w:val="nil"/>
              <w:bottom w:val="single" w:color="auto" w:sz="4" w:space="0"/>
              <w:right w:val="single" w:color="auto" w:sz="4" w:space="0"/>
            </w:tcBorders>
            <w:vAlign w:val="center"/>
          </w:tcPr>
          <w:p w14:paraId="32F2A6A9">
            <w:pPr>
              <w:spacing w:line="300" w:lineRule="auto"/>
              <w:ind w:right="-61" w:rightChars="-29"/>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得分</w:t>
            </w:r>
          </w:p>
        </w:tc>
        <w:tc>
          <w:tcPr>
            <w:tcW w:w="2098" w:type="dxa"/>
            <w:tcBorders>
              <w:top w:val="single" w:color="auto" w:sz="4" w:space="0"/>
              <w:left w:val="nil"/>
              <w:bottom w:val="single" w:color="auto" w:sz="4" w:space="0"/>
              <w:right w:val="single" w:color="auto" w:sz="4" w:space="0"/>
            </w:tcBorders>
            <w:vAlign w:val="center"/>
          </w:tcPr>
          <w:p w14:paraId="01605274">
            <w:pPr>
              <w:spacing w:line="30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备注</w:t>
            </w:r>
          </w:p>
        </w:tc>
      </w:tr>
      <w:tr w14:paraId="5C616E29">
        <w:tblPrEx>
          <w:tblCellMar>
            <w:top w:w="0" w:type="dxa"/>
            <w:left w:w="108" w:type="dxa"/>
            <w:bottom w:w="0" w:type="dxa"/>
            <w:right w:w="108" w:type="dxa"/>
          </w:tblCellMar>
        </w:tblPrEx>
        <w:trPr>
          <w:trHeight w:val="330" w:hRule="atLeast"/>
          <w:jc w:val="center"/>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14:paraId="668FB692">
            <w:pPr>
              <w:keepNext w:val="0"/>
              <w:keepLines w:val="0"/>
              <w:widowControl/>
              <w:suppressLineNumbers w:val="0"/>
              <w:jc w:val="center"/>
              <w:textAlignment w:val="center"/>
              <w:rPr>
                <w:rFonts w:hint="eastAsia" w:ascii="Times New Roman" w:hAnsi="Times New Roman" w:eastAsia="等线" w:cs="Times New Roman"/>
                <w:color w:val="auto"/>
                <w:kern w:val="0"/>
                <w:sz w:val="21"/>
                <w:szCs w:val="21"/>
                <w:highlight w:val="none"/>
                <w:lang w:val="en-US" w:eastAsia="zh-CN" w:bidi="ar-SA"/>
              </w:rPr>
            </w:pPr>
            <w:r>
              <w:rPr>
                <w:rFonts w:hint="default" w:ascii="Times New Roman" w:hAnsi="Times New Roman" w:eastAsia="等线" w:cs="Times New Roman"/>
                <w:i w:val="0"/>
                <w:iCs w:val="0"/>
                <w:color w:val="auto"/>
                <w:kern w:val="0"/>
                <w:sz w:val="21"/>
                <w:szCs w:val="21"/>
                <w:highlight w:val="none"/>
                <w:u w:val="none"/>
                <w:lang w:val="en-US" w:eastAsia="zh-CN" w:bidi="ar"/>
              </w:rPr>
              <w:t>1</w:t>
            </w:r>
          </w:p>
        </w:tc>
        <w:tc>
          <w:tcPr>
            <w:tcW w:w="6111" w:type="dxa"/>
            <w:gridSpan w:val="2"/>
            <w:tcBorders>
              <w:top w:val="single" w:color="auto" w:sz="4" w:space="0"/>
              <w:left w:val="nil"/>
              <w:bottom w:val="single" w:color="auto" w:sz="4" w:space="0"/>
              <w:right w:val="single" w:color="auto" w:sz="4" w:space="0"/>
            </w:tcBorders>
            <w:shd w:val="clear" w:color="auto" w:fill="auto"/>
            <w:vAlign w:val="center"/>
          </w:tcPr>
          <w:p w14:paraId="15EA5F12">
            <w:pPr>
              <w:rPr>
                <w:rFonts w:hint="eastAsia" w:ascii="宋体" w:hAnsi="宋体" w:eastAsia="宋体" w:cs="宋体"/>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rPr>
              <w:t>按规定做好“日管控、周排查、月调度”</w:t>
            </w:r>
            <w:r>
              <w:rPr>
                <w:rFonts w:hint="eastAsia" w:ascii="Times New Roman" w:hAnsi="Times New Roman" w:eastAsia="宋体" w:cs="Times New Roman"/>
                <w:color w:val="auto"/>
                <w:sz w:val="18"/>
                <w:szCs w:val="18"/>
                <w:highlight w:val="none"/>
                <w:lang w:val="en-US" w:eastAsia="zh-CN"/>
              </w:rPr>
              <w:t>登记</w:t>
            </w:r>
            <w:r>
              <w:rPr>
                <w:rFonts w:hint="eastAsia" w:ascii="Times New Roman" w:hAnsi="Times New Roman" w:eastAsia="宋体" w:cs="Times New Roman"/>
                <w:color w:val="auto"/>
                <w:sz w:val="18"/>
                <w:szCs w:val="18"/>
                <w:highlight w:val="none"/>
              </w:rPr>
              <w:t>台账</w:t>
            </w:r>
          </w:p>
        </w:tc>
        <w:tc>
          <w:tcPr>
            <w:tcW w:w="613" w:type="dxa"/>
            <w:tcBorders>
              <w:top w:val="single" w:color="auto" w:sz="4" w:space="0"/>
              <w:left w:val="nil"/>
              <w:bottom w:val="single" w:color="auto" w:sz="4" w:space="0"/>
              <w:right w:val="single" w:color="auto" w:sz="4" w:space="0"/>
            </w:tcBorders>
            <w:shd w:val="clear" w:color="auto" w:fill="auto"/>
            <w:vAlign w:val="center"/>
          </w:tcPr>
          <w:p w14:paraId="0C6F81C3">
            <w:pPr>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lang w:val="en-US" w:eastAsia="zh-CN"/>
              </w:rPr>
              <w:t>3</w:t>
            </w:r>
          </w:p>
        </w:tc>
        <w:tc>
          <w:tcPr>
            <w:tcW w:w="587" w:type="dxa"/>
            <w:tcBorders>
              <w:top w:val="single" w:color="auto" w:sz="4" w:space="0"/>
              <w:left w:val="nil"/>
              <w:bottom w:val="single" w:color="auto" w:sz="4" w:space="0"/>
              <w:right w:val="single" w:color="auto" w:sz="4" w:space="0"/>
            </w:tcBorders>
            <w:vAlign w:val="center"/>
          </w:tcPr>
          <w:p w14:paraId="4B83A19B">
            <w:pPr>
              <w:spacing w:line="300" w:lineRule="auto"/>
              <w:ind w:right="-61" w:rightChars="-29"/>
              <w:rPr>
                <w:rFonts w:hint="eastAsia" w:ascii="宋体" w:hAnsi="宋体" w:eastAsia="宋体" w:cs="宋体"/>
                <w:color w:val="auto"/>
                <w:sz w:val="18"/>
                <w:szCs w:val="18"/>
                <w:highlight w:val="none"/>
              </w:rPr>
            </w:pPr>
          </w:p>
        </w:tc>
        <w:tc>
          <w:tcPr>
            <w:tcW w:w="2098" w:type="dxa"/>
            <w:tcBorders>
              <w:top w:val="single" w:color="auto" w:sz="4" w:space="0"/>
              <w:left w:val="nil"/>
              <w:bottom w:val="single" w:color="auto" w:sz="4" w:space="0"/>
              <w:right w:val="single" w:color="auto" w:sz="4" w:space="0"/>
            </w:tcBorders>
            <w:vAlign w:val="center"/>
          </w:tcPr>
          <w:p w14:paraId="6C0115E1">
            <w:pPr>
              <w:spacing w:line="300" w:lineRule="auto"/>
              <w:jc w:val="center"/>
              <w:rPr>
                <w:rFonts w:hint="eastAsia" w:ascii="宋体" w:hAnsi="宋体" w:eastAsia="宋体" w:cs="宋体"/>
                <w:color w:val="auto"/>
                <w:sz w:val="18"/>
                <w:szCs w:val="18"/>
                <w:highlight w:val="none"/>
              </w:rPr>
            </w:pPr>
          </w:p>
        </w:tc>
      </w:tr>
      <w:tr w14:paraId="4911C234">
        <w:tblPrEx>
          <w:tblCellMar>
            <w:top w:w="0" w:type="dxa"/>
            <w:left w:w="108" w:type="dxa"/>
            <w:bottom w:w="0" w:type="dxa"/>
            <w:right w:w="108" w:type="dxa"/>
          </w:tblCellMar>
        </w:tblPrEx>
        <w:trPr>
          <w:trHeight w:val="90" w:hRule="atLeast"/>
          <w:jc w:val="center"/>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14:paraId="3BE4FEFE">
            <w:pPr>
              <w:keepNext w:val="0"/>
              <w:keepLines w:val="0"/>
              <w:widowControl/>
              <w:suppressLineNumbers w:val="0"/>
              <w:jc w:val="center"/>
              <w:textAlignment w:val="center"/>
              <w:rPr>
                <w:rFonts w:ascii="Times New Roman" w:hAnsi="Times New Roman" w:eastAsia="等线" w:cs="Times New Roman"/>
                <w:color w:val="auto"/>
                <w:kern w:val="2"/>
                <w:sz w:val="21"/>
                <w:szCs w:val="21"/>
                <w:highlight w:val="none"/>
                <w:lang w:val="en-US" w:eastAsia="zh-CN" w:bidi="ar-SA"/>
              </w:rPr>
            </w:pPr>
            <w:r>
              <w:rPr>
                <w:rFonts w:hint="default" w:ascii="Times New Roman" w:hAnsi="Times New Roman" w:eastAsia="等线" w:cs="Times New Roman"/>
                <w:i w:val="0"/>
                <w:iCs w:val="0"/>
                <w:color w:val="auto"/>
                <w:kern w:val="0"/>
                <w:sz w:val="21"/>
                <w:szCs w:val="21"/>
                <w:highlight w:val="none"/>
                <w:u w:val="none"/>
                <w:lang w:val="en-US" w:eastAsia="zh-CN" w:bidi="ar"/>
              </w:rPr>
              <w:t>2</w:t>
            </w:r>
          </w:p>
        </w:tc>
        <w:tc>
          <w:tcPr>
            <w:tcW w:w="6111" w:type="dxa"/>
            <w:gridSpan w:val="2"/>
            <w:tcBorders>
              <w:top w:val="single" w:color="auto" w:sz="4" w:space="0"/>
              <w:left w:val="nil"/>
              <w:bottom w:val="single" w:color="auto" w:sz="4" w:space="0"/>
              <w:right w:val="single" w:color="auto" w:sz="4" w:space="0"/>
            </w:tcBorders>
            <w:shd w:val="clear" w:color="auto" w:fill="auto"/>
            <w:vAlign w:val="center"/>
          </w:tcPr>
          <w:p w14:paraId="05BD59AD">
            <w:pPr>
              <w:rPr>
                <w:rFonts w:hint="default"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rPr>
              <w:t>现场管理监督到位，及时</w:t>
            </w:r>
            <w:r>
              <w:rPr>
                <w:rFonts w:hint="eastAsia" w:ascii="Times New Roman" w:hAnsi="Times New Roman" w:eastAsia="宋体" w:cs="Times New Roman"/>
                <w:color w:val="auto"/>
                <w:sz w:val="18"/>
                <w:szCs w:val="18"/>
                <w:highlight w:val="none"/>
                <w:lang w:val="en-US" w:eastAsia="zh-CN"/>
              </w:rPr>
              <w:t>落实</w:t>
            </w:r>
            <w:r>
              <w:rPr>
                <w:rFonts w:hint="eastAsia" w:ascii="Times New Roman" w:hAnsi="Times New Roman" w:eastAsia="宋体" w:cs="Times New Roman"/>
                <w:color w:val="auto"/>
                <w:sz w:val="18"/>
                <w:szCs w:val="18"/>
                <w:highlight w:val="none"/>
              </w:rPr>
              <w:t>整改食堂</w:t>
            </w:r>
            <w:r>
              <w:rPr>
                <w:rFonts w:hint="eastAsia" w:ascii="Times New Roman" w:hAnsi="Times New Roman" w:eastAsia="宋体" w:cs="Times New Roman"/>
                <w:color w:val="auto"/>
                <w:sz w:val="18"/>
                <w:szCs w:val="18"/>
                <w:highlight w:val="none"/>
                <w:lang w:val="en-US" w:eastAsia="zh-CN"/>
              </w:rPr>
              <w:t>日常监督</w:t>
            </w:r>
            <w:r>
              <w:rPr>
                <w:rFonts w:hint="eastAsia" w:ascii="Times New Roman" w:hAnsi="Times New Roman" w:eastAsia="宋体" w:cs="Times New Roman"/>
                <w:color w:val="auto"/>
                <w:sz w:val="18"/>
                <w:szCs w:val="18"/>
                <w:highlight w:val="none"/>
              </w:rPr>
              <w:t>检查意见</w:t>
            </w:r>
          </w:p>
        </w:tc>
        <w:tc>
          <w:tcPr>
            <w:tcW w:w="613" w:type="dxa"/>
            <w:tcBorders>
              <w:top w:val="single" w:color="auto" w:sz="4" w:space="0"/>
              <w:left w:val="nil"/>
              <w:bottom w:val="single" w:color="auto" w:sz="4" w:space="0"/>
              <w:right w:val="single" w:color="auto" w:sz="4" w:space="0"/>
            </w:tcBorders>
            <w:shd w:val="clear" w:color="auto" w:fill="auto"/>
            <w:vAlign w:val="center"/>
          </w:tcPr>
          <w:p w14:paraId="0A3D0578">
            <w:pPr>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lang w:val="en-US" w:eastAsia="zh-CN"/>
              </w:rPr>
              <w:t>2</w:t>
            </w:r>
          </w:p>
        </w:tc>
        <w:tc>
          <w:tcPr>
            <w:tcW w:w="587" w:type="dxa"/>
            <w:tcBorders>
              <w:top w:val="single" w:color="auto" w:sz="4" w:space="0"/>
              <w:left w:val="nil"/>
              <w:bottom w:val="single" w:color="auto" w:sz="4" w:space="0"/>
              <w:right w:val="single" w:color="auto" w:sz="4" w:space="0"/>
            </w:tcBorders>
            <w:vAlign w:val="center"/>
          </w:tcPr>
          <w:p w14:paraId="503DAE34">
            <w:pPr>
              <w:rPr>
                <w:rFonts w:hint="eastAsia"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　</w:t>
            </w:r>
          </w:p>
        </w:tc>
        <w:tc>
          <w:tcPr>
            <w:tcW w:w="2098" w:type="dxa"/>
            <w:tcBorders>
              <w:top w:val="single" w:color="auto" w:sz="4" w:space="0"/>
              <w:left w:val="nil"/>
              <w:bottom w:val="single" w:color="auto" w:sz="4" w:space="0"/>
              <w:right w:val="single" w:color="auto" w:sz="4" w:space="0"/>
            </w:tcBorders>
            <w:vAlign w:val="center"/>
          </w:tcPr>
          <w:p w14:paraId="78C9B1D3">
            <w:pPr>
              <w:rPr>
                <w:rFonts w:hint="eastAsia"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　</w:t>
            </w:r>
          </w:p>
        </w:tc>
      </w:tr>
      <w:tr w14:paraId="37E00A56">
        <w:tblPrEx>
          <w:tblCellMar>
            <w:top w:w="0" w:type="dxa"/>
            <w:left w:w="108" w:type="dxa"/>
            <w:bottom w:w="0" w:type="dxa"/>
            <w:right w:w="108" w:type="dxa"/>
          </w:tblCellMar>
        </w:tblPrEx>
        <w:trPr>
          <w:trHeight w:val="90" w:hRule="atLeast"/>
          <w:jc w:val="center"/>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14:paraId="01EBE0BD">
            <w:pPr>
              <w:keepNext w:val="0"/>
              <w:keepLines w:val="0"/>
              <w:widowControl/>
              <w:suppressLineNumbers w:val="0"/>
              <w:jc w:val="center"/>
              <w:textAlignment w:val="center"/>
              <w:rPr>
                <w:rFonts w:hint="eastAsia" w:ascii="Times New Roman" w:hAnsi="Times New Roman" w:eastAsia="等线" w:cs="Times New Roman"/>
                <w:color w:val="auto"/>
                <w:kern w:val="2"/>
                <w:sz w:val="21"/>
                <w:szCs w:val="21"/>
                <w:highlight w:val="none"/>
                <w:lang w:val="en-US" w:eastAsia="zh-CN" w:bidi="ar-SA"/>
              </w:rPr>
            </w:pPr>
            <w:r>
              <w:rPr>
                <w:rFonts w:hint="default" w:ascii="Times New Roman" w:hAnsi="Times New Roman" w:eastAsia="等线" w:cs="Times New Roman"/>
                <w:i w:val="0"/>
                <w:iCs w:val="0"/>
                <w:color w:val="auto"/>
                <w:kern w:val="0"/>
                <w:sz w:val="21"/>
                <w:szCs w:val="21"/>
                <w:highlight w:val="none"/>
                <w:u w:val="none"/>
                <w:lang w:val="en-US" w:eastAsia="zh-CN" w:bidi="ar"/>
              </w:rPr>
              <w:t>3</w:t>
            </w:r>
          </w:p>
        </w:tc>
        <w:tc>
          <w:tcPr>
            <w:tcW w:w="6111" w:type="dxa"/>
            <w:gridSpan w:val="2"/>
            <w:tcBorders>
              <w:top w:val="single" w:color="auto" w:sz="4" w:space="0"/>
              <w:left w:val="nil"/>
              <w:bottom w:val="single" w:color="auto" w:sz="4" w:space="0"/>
              <w:right w:val="single" w:color="auto" w:sz="4" w:space="0"/>
            </w:tcBorders>
            <w:shd w:val="clear" w:color="auto" w:fill="auto"/>
            <w:vAlign w:val="center"/>
          </w:tcPr>
          <w:p w14:paraId="033F7767">
            <w:pPr>
              <w:rPr>
                <w:rFonts w:hint="eastAsia" w:ascii="宋体" w:hAnsi="宋体" w:eastAsia="宋体" w:cs="宋体"/>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rPr>
              <w:t>服从食堂管理员的合理调配，按食品操作流程规范操作</w:t>
            </w:r>
          </w:p>
        </w:tc>
        <w:tc>
          <w:tcPr>
            <w:tcW w:w="613" w:type="dxa"/>
            <w:tcBorders>
              <w:top w:val="single" w:color="auto" w:sz="4" w:space="0"/>
              <w:left w:val="nil"/>
              <w:bottom w:val="single" w:color="auto" w:sz="4" w:space="0"/>
              <w:right w:val="single" w:color="auto" w:sz="4" w:space="0"/>
            </w:tcBorders>
            <w:shd w:val="clear" w:color="auto" w:fill="auto"/>
            <w:vAlign w:val="center"/>
          </w:tcPr>
          <w:p w14:paraId="3F96F93F">
            <w:pPr>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lang w:val="en-US" w:eastAsia="zh-CN"/>
              </w:rPr>
              <w:t>2</w:t>
            </w:r>
          </w:p>
        </w:tc>
        <w:tc>
          <w:tcPr>
            <w:tcW w:w="587" w:type="dxa"/>
            <w:tcBorders>
              <w:top w:val="single" w:color="auto" w:sz="4" w:space="0"/>
              <w:left w:val="nil"/>
              <w:bottom w:val="single" w:color="auto" w:sz="4" w:space="0"/>
              <w:right w:val="single" w:color="auto" w:sz="4" w:space="0"/>
            </w:tcBorders>
            <w:vAlign w:val="center"/>
          </w:tcPr>
          <w:p w14:paraId="5072CAAE">
            <w:pPr>
              <w:rPr>
                <w:rFonts w:hint="eastAsia" w:ascii="Times New Roman" w:hAnsi="Times New Roman" w:eastAsia="宋体" w:cs="Times New Roman"/>
                <w:color w:val="auto"/>
                <w:sz w:val="18"/>
                <w:szCs w:val="18"/>
                <w:highlight w:val="none"/>
              </w:rPr>
            </w:pPr>
          </w:p>
        </w:tc>
        <w:tc>
          <w:tcPr>
            <w:tcW w:w="2098" w:type="dxa"/>
            <w:tcBorders>
              <w:top w:val="single" w:color="auto" w:sz="4" w:space="0"/>
              <w:left w:val="nil"/>
              <w:bottom w:val="single" w:color="auto" w:sz="4" w:space="0"/>
              <w:right w:val="single" w:color="auto" w:sz="4" w:space="0"/>
            </w:tcBorders>
            <w:vAlign w:val="center"/>
          </w:tcPr>
          <w:p w14:paraId="22DECFCE">
            <w:pPr>
              <w:rPr>
                <w:rFonts w:hint="eastAsia" w:ascii="Times New Roman" w:hAnsi="Times New Roman" w:eastAsia="宋体" w:cs="Times New Roman"/>
                <w:color w:val="auto"/>
                <w:sz w:val="18"/>
                <w:szCs w:val="18"/>
                <w:highlight w:val="none"/>
              </w:rPr>
            </w:pPr>
          </w:p>
        </w:tc>
      </w:tr>
      <w:tr w14:paraId="547CE485">
        <w:tblPrEx>
          <w:tblCellMar>
            <w:top w:w="0" w:type="dxa"/>
            <w:left w:w="108" w:type="dxa"/>
            <w:bottom w:w="0" w:type="dxa"/>
            <w:right w:w="108" w:type="dxa"/>
          </w:tblCellMar>
        </w:tblPrEx>
        <w:trPr>
          <w:trHeight w:val="30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570D08F0">
            <w:pPr>
              <w:keepNext w:val="0"/>
              <w:keepLines w:val="0"/>
              <w:widowControl/>
              <w:suppressLineNumbers w:val="0"/>
              <w:jc w:val="center"/>
              <w:textAlignment w:val="center"/>
              <w:rPr>
                <w:rFonts w:hint="eastAsia" w:ascii="Times New Roman" w:hAnsi="Times New Roman" w:eastAsia="等线" w:cs="Times New Roman"/>
                <w:color w:val="auto"/>
                <w:kern w:val="2"/>
                <w:sz w:val="21"/>
                <w:szCs w:val="21"/>
                <w:highlight w:val="none"/>
                <w:lang w:val="en-US" w:eastAsia="zh-CN" w:bidi="ar-SA"/>
              </w:rPr>
            </w:pPr>
            <w:r>
              <w:rPr>
                <w:rFonts w:hint="default" w:ascii="Times New Roman" w:hAnsi="Times New Roman" w:eastAsia="等线" w:cs="Times New Roman"/>
                <w:i w:val="0"/>
                <w:iCs w:val="0"/>
                <w:color w:val="auto"/>
                <w:kern w:val="0"/>
                <w:sz w:val="21"/>
                <w:szCs w:val="21"/>
                <w:highlight w:val="none"/>
                <w:u w:val="none"/>
                <w:lang w:val="en-US" w:eastAsia="zh-CN" w:bidi="ar"/>
              </w:rPr>
              <w:t>4</w:t>
            </w:r>
          </w:p>
        </w:tc>
        <w:tc>
          <w:tcPr>
            <w:tcW w:w="6111" w:type="dxa"/>
            <w:gridSpan w:val="2"/>
            <w:tcBorders>
              <w:top w:val="nil"/>
              <w:left w:val="nil"/>
              <w:bottom w:val="single" w:color="auto" w:sz="4" w:space="0"/>
              <w:right w:val="single" w:color="auto" w:sz="4" w:space="0"/>
            </w:tcBorders>
            <w:shd w:val="clear" w:color="auto" w:fill="auto"/>
            <w:vAlign w:val="center"/>
          </w:tcPr>
          <w:p w14:paraId="3D07E1BC">
            <w:pPr>
              <w:rPr>
                <w:rFonts w:hint="default" w:ascii="宋体" w:hAnsi="宋体" w:eastAsia="宋体" w:cs="宋体"/>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rPr>
              <w:t>严格落实员工管理，</w:t>
            </w:r>
            <w:r>
              <w:rPr>
                <w:rFonts w:hint="eastAsia" w:ascii="Times New Roman" w:hAnsi="Times New Roman" w:eastAsia="宋体" w:cs="Times New Roman"/>
                <w:color w:val="auto"/>
                <w:sz w:val="18"/>
                <w:szCs w:val="18"/>
                <w:highlight w:val="none"/>
                <w:lang w:val="en-US" w:eastAsia="zh-CN"/>
              </w:rPr>
              <w:t>及时</w:t>
            </w:r>
            <w:r>
              <w:rPr>
                <w:rFonts w:hint="eastAsia" w:ascii="Times New Roman" w:hAnsi="Times New Roman" w:eastAsia="宋体" w:cs="Times New Roman"/>
                <w:color w:val="auto"/>
                <w:sz w:val="18"/>
                <w:szCs w:val="18"/>
                <w:highlight w:val="none"/>
              </w:rPr>
              <w:t>做好</w:t>
            </w:r>
            <w:r>
              <w:rPr>
                <w:rFonts w:hint="eastAsia" w:ascii="Times New Roman" w:hAnsi="Times New Roman" w:eastAsia="宋体" w:cs="Times New Roman"/>
                <w:color w:val="auto"/>
                <w:sz w:val="18"/>
                <w:szCs w:val="18"/>
                <w:highlight w:val="none"/>
                <w:lang w:val="en-US" w:eastAsia="zh-CN"/>
              </w:rPr>
              <w:t>员工</w:t>
            </w:r>
            <w:r>
              <w:rPr>
                <w:rFonts w:hint="eastAsia" w:ascii="Times New Roman" w:hAnsi="Times New Roman" w:eastAsia="宋体" w:cs="Times New Roman"/>
                <w:color w:val="auto"/>
                <w:sz w:val="18"/>
                <w:szCs w:val="18"/>
                <w:highlight w:val="none"/>
              </w:rPr>
              <w:t>上岗前相关材料报备</w:t>
            </w:r>
          </w:p>
        </w:tc>
        <w:tc>
          <w:tcPr>
            <w:tcW w:w="613" w:type="dxa"/>
            <w:tcBorders>
              <w:top w:val="nil"/>
              <w:left w:val="nil"/>
              <w:bottom w:val="single" w:color="auto" w:sz="4" w:space="0"/>
              <w:right w:val="single" w:color="auto" w:sz="4" w:space="0"/>
            </w:tcBorders>
            <w:shd w:val="clear" w:color="auto" w:fill="auto"/>
            <w:vAlign w:val="center"/>
          </w:tcPr>
          <w:p w14:paraId="6BE006D8">
            <w:pPr>
              <w:jc w:val="center"/>
              <w:rPr>
                <w:rFonts w:hint="default"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1</w:t>
            </w:r>
          </w:p>
        </w:tc>
        <w:tc>
          <w:tcPr>
            <w:tcW w:w="587" w:type="dxa"/>
            <w:tcBorders>
              <w:top w:val="nil"/>
              <w:left w:val="nil"/>
              <w:bottom w:val="single" w:color="auto" w:sz="4" w:space="0"/>
              <w:right w:val="single" w:color="auto" w:sz="4" w:space="0"/>
            </w:tcBorders>
            <w:vAlign w:val="center"/>
          </w:tcPr>
          <w:p w14:paraId="14F898EB">
            <w:pPr>
              <w:rPr>
                <w:rFonts w:hint="eastAsia"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　</w:t>
            </w:r>
          </w:p>
        </w:tc>
        <w:tc>
          <w:tcPr>
            <w:tcW w:w="2098" w:type="dxa"/>
            <w:tcBorders>
              <w:top w:val="nil"/>
              <w:left w:val="nil"/>
              <w:bottom w:val="single" w:color="auto" w:sz="4" w:space="0"/>
              <w:right w:val="single" w:color="auto" w:sz="4" w:space="0"/>
            </w:tcBorders>
            <w:vAlign w:val="center"/>
          </w:tcPr>
          <w:p w14:paraId="0A6B4887">
            <w:pPr>
              <w:rPr>
                <w:rFonts w:hint="eastAsia" w:ascii="Times New Roman" w:hAnsi="Times New Roman" w:eastAsia="宋体" w:cs="Times New Roman"/>
                <w:color w:val="auto"/>
                <w:sz w:val="18"/>
                <w:szCs w:val="18"/>
                <w:highlight w:val="none"/>
              </w:rPr>
            </w:pPr>
          </w:p>
        </w:tc>
      </w:tr>
      <w:tr w14:paraId="0F519ED3">
        <w:tblPrEx>
          <w:tblCellMar>
            <w:top w:w="0" w:type="dxa"/>
            <w:left w:w="108" w:type="dxa"/>
            <w:bottom w:w="0" w:type="dxa"/>
            <w:right w:w="108" w:type="dxa"/>
          </w:tblCellMar>
        </w:tblPrEx>
        <w:trPr>
          <w:trHeight w:val="30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62DB8373">
            <w:pPr>
              <w:keepNext w:val="0"/>
              <w:keepLines w:val="0"/>
              <w:widowControl/>
              <w:suppressLineNumbers w:val="0"/>
              <w:jc w:val="center"/>
              <w:textAlignment w:val="center"/>
              <w:rPr>
                <w:rFonts w:hint="eastAsia" w:ascii="Times New Roman" w:hAnsi="Times New Roman" w:eastAsia="等线" w:cs="Times New Roman"/>
                <w:color w:val="auto"/>
                <w:kern w:val="2"/>
                <w:sz w:val="21"/>
                <w:szCs w:val="21"/>
                <w:highlight w:val="none"/>
                <w:lang w:val="en-US" w:eastAsia="zh-CN" w:bidi="ar-SA"/>
              </w:rPr>
            </w:pPr>
            <w:r>
              <w:rPr>
                <w:rFonts w:hint="default" w:ascii="Times New Roman" w:hAnsi="Times New Roman" w:eastAsia="等线" w:cs="Times New Roman"/>
                <w:i w:val="0"/>
                <w:iCs w:val="0"/>
                <w:color w:val="auto"/>
                <w:kern w:val="0"/>
                <w:sz w:val="21"/>
                <w:szCs w:val="21"/>
                <w:highlight w:val="none"/>
                <w:u w:val="none"/>
                <w:lang w:val="en-US" w:eastAsia="zh-CN" w:bidi="ar"/>
              </w:rPr>
              <w:t>5</w:t>
            </w:r>
          </w:p>
        </w:tc>
        <w:tc>
          <w:tcPr>
            <w:tcW w:w="6111" w:type="dxa"/>
            <w:gridSpan w:val="2"/>
            <w:tcBorders>
              <w:top w:val="nil"/>
              <w:left w:val="nil"/>
              <w:bottom w:val="single" w:color="auto" w:sz="4" w:space="0"/>
              <w:right w:val="single" w:color="auto" w:sz="4" w:space="0"/>
            </w:tcBorders>
            <w:vAlign w:val="center"/>
          </w:tcPr>
          <w:p w14:paraId="059E5EBB">
            <w:pPr>
              <w:rPr>
                <w:rFonts w:ascii="宋体" w:hAnsi="宋体" w:eastAsia="宋体" w:cs="宋体"/>
                <w:color w:val="auto"/>
                <w:sz w:val="18"/>
                <w:szCs w:val="18"/>
                <w:highlight w:val="none"/>
              </w:rPr>
            </w:pPr>
            <w:r>
              <w:rPr>
                <w:rFonts w:hint="eastAsia" w:ascii="Times New Roman" w:hAnsi="Times New Roman" w:eastAsia="宋体" w:cs="Times New Roman"/>
                <w:color w:val="auto"/>
                <w:sz w:val="18"/>
                <w:szCs w:val="18"/>
                <w:highlight w:val="none"/>
              </w:rPr>
              <w:t>员工岗位分配合理，上班期间按岗就位，职责明确</w:t>
            </w:r>
          </w:p>
        </w:tc>
        <w:tc>
          <w:tcPr>
            <w:tcW w:w="613" w:type="dxa"/>
            <w:tcBorders>
              <w:top w:val="nil"/>
              <w:left w:val="nil"/>
              <w:bottom w:val="single" w:color="auto" w:sz="4" w:space="0"/>
              <w:right w:val="single" w:color="auto" w:sz="4" w:space="0"/>
            </w:tcBorders>
            <w:vAlign w:val="center"/>
          </w:tcPr>
          <w:p w14:paraId="2AD7D6A8">
            <w:pPr>
              <w:jc w:val="center"/>
              <w:rPr>
                <w:rFonts w:hint="eastAsia" w:ascii="Times New Roman" w:hAnsi="Times New Roman" w:eastAsia="宋体" w:cs="Times New Roman"/>
                <w:color w:val="auto"/>
                <w:sz w:val="18"/>
                <w:szCs w:val="18"/>
                <w:highlight w:val="none"/>
                <w:lang w:eastAsia="zh-CN"/>
              </w:rPr>
            </w:pPr>
            <w:r>
              <w:rPr>
                <w:rFonts w:hint="eastAsia" w:ascii="Times New Roman" w:hAnsi="Times New Roman" w:eastAsia="宋体" w:cs="Times New Roman"/>
                <w:color w:val="auto"/>
                <w:sz w:val="18"/>
                <w:szCs w:val="18"/>
                <w:highlight w:val="none"/>
                <w:lang w:val="en-US" w:eastAsia="zh-CN"/>
              </w:rPr>
              <w:t>1</w:t>
            </w:r>
          </w:p>
        </w:tc>
        <w:tc>
          <w:tcPr>
            <w:tcW w:w="587" w:type="dxa"/>
            <w:tcBorders>
              <w:top w:val="nil"/>
              <w:left w:val="nil"/>
              <w:bottom w:val="single" w:color="auto" w:sz="4" w:space="0"/>
              <w:right w:val="single" w:color="auto" w:sz="4" w:space="0"/>
            </w:tcBorders>
            <w:vAlign w:val="center"/>
          </w:tcPr>
          <w:p w14:paraId="008A7ABD">
            <w:pPr>
              <w:rPr>
                <w:rFonts w:hint="eastAsia"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　</w:t>
            </w:r>
          </w:p>
        </w:tc>
        <w:tc>
          <w:tcPr>
            <w:tcW w:w="2098" w:type="dxa"/>
            <w:tcBorders>
              <w:top w:val="nil"/>
              <w:left w:val="nil"/>
              <w:bottom w:val="single" w:color="auto" w:sz="4" w:space="0"/>
              <w:right w:val="single" w:color="auto" w:sz="4" w:space="0"/>
            </w:tcBorders>
            <w:vAlign w:val="center"/>
          </w:tcPr>
          <w:p w14:paraId="1E7B84BA">
            <w:pPr>
              <w:rPr>
                <w:rFonts w:hint="eastAsia" w:ascii="Times New Roman" w:hAnsi="Times New Roman" w:eastAsia="宋体" w:cs="Times New Roman"/>
                <w:color w:val="auto"/>
                <w:sz w:val="18"/>
                <w:szCs w:val="18"/>
                <w:highlight w:val="none"/>
              </w:rPr>
            </w:pPr>
          </w:p>
        </w:tc>
      </w:tr>
      <w:tr w14:paraId="6A1FD718">
        <w:tblPrEx>
          <w:tblCellMar>
            <w:top w:w="0" w:type="dxa"/>
            <w:left w:w="108" w:type="dxa"/>
            <w:bottom w:w="0" w:type="dxa"/>
            <w:right w:w="108" w:type="dxa"/>
          </w:tblCellMar>
        </w:tblPrEx>
        <w:trPr>
          <w:trHeight w:val="9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0045E114">
            <w:pPr>
              <w:keepNext w:val="0"/>
              <w:keepLines w:val="0"/>
              <w:widowControl/>
              <w:suppressLineNumbers w:val="0"/>
              <w:jc w:val="center"/>
              <w:textAlignment w:val="center"/>
              <w:rPr>
                <w:rFonts w:hint="eastAsia" w:ascii="Times New Roman" w:hAnsi="Times New Roman" w:eastAsia="等线" w:cs="Times New Roman"/>
                <w:color w:val="auto"/>
                <w:kern w:val="2"/>
                <w:sz w:val="21"/>
                <w:szCs w:val="21"/>
                <w:highlight w:val="none"/>
                <w:lang w:val="en-US" w:eastAsia="zh-CN" w:bidi="ar-SA"/>
              </w:rPr>
            </w:pPr>
            <w:r>
              <w:rPr>
                <w:rFonts w:hint="default" w:ascii="Times New Roman" w:hAnsi="Times New Roman" w:eastAsia="等线" w:cs="Times New Roman"/>
                <w:i w:val="0"/>
                <w:iCs w:val="0"/>
                <w:color w:val="auto"/>
                <w:kern w:val="0"/>
                <w:sz w:val="21"/>
                <w:szCs w:val="21"/>
                <w:highlight w:val="none"/>
                <w:u w:val="none"/>
                <w:lang w:val="en-US" w:eastAsia="zh-CN" w:bidi="ar"/>
              </w:rPr>
              <w:t>6</w:t>
            </w:r>
          </w:p>
        </w:tc>
        <w:tc>
          <w:tcPr>
            <w:tcW w:w="6111" w:type="dxa"/>
            <w:gridSpan w:val="2"/>
            <w:tcBorders>
              <w:top w:val="nil"/>
              <w:left w:val="nil"/>
              <w:bottom w:val="single" w:color="auto" w:sz="4" w:space="0"/>
              <w:right w:val="single" w:color="auto" w:sz="4" w:space="0"/>
            </w:tcBorders>
            <w:vAlign w:val="center"/>
          </w:tcPr>
          <w:p w14:paraId="72CD0118">
            <w:pPr>
              <w:rPr>
                <w:rFonts w:ascii="宋体" w:hAnsi="宋体" w:eastAsia="宋体" w:cs="宋体"/>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rPr>
              <w:t>制定岗位工作安排时间节点，严格按照时间节点巡查</w:t>
            </w:r>
          </w:p>
        </w:tc>
        <w:tc>
          <w:tcPr>
            <w:tcW w:w="613" w:type="dxa"/>
            <w:tcBorders>
              <w:top w:val="nil"/>
              <w:left w:val="nil"/>
              <w:bottom w:val="single" w:color="auto" w:sz="4" w:space="0"/>
              <w:right w:val="single" w:color="auto" w:sz="4" w:space="0"/>
            </w:tcBorders>
            <w:vAlign w:val="center"/>
          </w:tcPr>
          <w:p w14:paraId="572528DA">
            <w:pPr>
              <w:jc w:val="center"/>
              <w:rPr>
                <w:rFonts w:hint="default"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lang w:val="en-US" w:eastAsia="zh-CN"/>
              </w:rPr>
              <w:t>1</w:t>
            </w:r>
          </w:p>
        </w:tc>
        <w:tc>
          <w:tcPr>
            <w:tcW w:w="587" w:type="dxa"/>
            <w:tcBorders>
              <w:top w:val="nil"/>
              <w:left w:val="nil"/>
              <w:bottom w:val="single" w:color="auto" w:sz="4" w:space="0"/>
              <w:right w:val="single" w:color="auto" w:sz="4" w:space="0"/>
            </w:tcBorders>
            <w:vAlign w:val="center"/>
          </w:tcPr>
          <w:p w14:paraId="4F9FA158">
            <w:pPr>
              <w:rPr>
                <w:rFonts w:hint="eastAsia"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　</w:t>
            </w:r>
          </w:p>
        </w:tc>
        <w:tc>
          <w:tcPr>
            <w:tcW w:w="2098" w:type="dxa"/>
            <w:tcBorders>
              <w:top w:val="nil"/>
              <w:left w:val="nil"/>
              <w:bottom w:val="single" w:color="auto" w:sz="4" w:space="0"/>
              <w:right w:val="single" w:color="auto" w:sz="4" w:space="0"/>
            </w:tcBorders>
            <w:vAlign w:val="center"/>
          </w:tcPr>
          <w:p w14:paraId="6FD17A83">
            <w:pPr>
              <w:rPr>
                <w:rFonts w:hint="eastAsia" w:ascii="Times New Roman" w:hAnsi="Times New Roman" w:eastAsia="宋体" w:cs="Times New Roman"/>
                <w:color w:val="auto"/>
                <w:sz w:val="18"/>
                <w:szCs w:val="18"/>
                <w:highlight w:val="none"/>
              </w:rPr>
            </w:pPr>
          </w:p>
        </w:tc>
      </w:tr>
      <w:tr w14:paraId="3064737C">
        <w:tblPrEx>
          <w:tblCellMar>
            <w:top w:w="0" w:type="dxa"/>
            <w:left w:w="108" w:type="dxa"/>
            <w:bottom w:w="0" w:type="dxa"/>
            <w:right w:w="108" w:type="dxa"/>
          </w:tblCellMar>
        </w:tblPrEx>
        <w:trPr>
          <w:trHeight w:val="9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4A226610">
            <w:pPr>
              <w:keepNext w:val="0"/>
              <w:keepLines w:val="0"/>
              <w:widowControl/>
              <w:suppressLineNumbers w:val="0"/>
              <w:jc w:val="center"/>
              <w:textAlignment w:val="center"/>
              <w:rPr>
                <w:rFonts w:hint="eastAsia" w:ascii="Times New Roman" w:hAnsi="Times New Roman" w:eastAsia="等线" w:cs="Times New Roman"/>
                <w:color w:val="auto"/>
                <w:kern w:val="2"/>
                <w:sz w:val="21"/>
                <w:szCs w:val="21"/>
                <w:highlight w:val="none"/>
                <w:lang w:val="en-US" w:eastAsia="zh-CN" w:bidi="ar-SA"/>
              </w:rPr>
            </w:pPr>
            <w:r>
              <w:rPr>
                <w:rFonts w:hint="default" w:ascii="Times New Roman" w:hAnsi="Times New Roman" w:eastAsia="等线" w:cs="Times New Roman"/>
                <w:i w:val="0"/>
                <w:iCs w:val="0"/>
                <w:color w:val="auto"/>
                <w:kern w:val="0"/>
                <w:sz w:val="21"/>
                <w:szCs w:val="21"/>
                <w:highlight w:val="none"/>
                <w:u w:val="none"/>
                <w:lang w:val="en-US" w:eastAsia="zh-CN" w:bidi="ar"/>
              </w:rPr>
              <w:t>7</w:t>
            </w:r>
          </w:p>
        </w:tc>
        <w:tc>
          <w:tcPr>
            <w:tcW w:w="6111" w:type="dxa"/>
            <w:gridSpan w:val="2"/>
            <w:tcBorders>
              <w:top w:val="nil"/>
              <w:left w:val="nil"/>
              <w:bottom w:val="single" w:color="auto" w:sz="4" w:space="0"/>
              <w:right w:val="single" w:color="auto" w:sz="4" w:space="0"/>
            </w:tcBorders>
            <w:vAlign w:val="center"/>
          </w:tcPr>
          <w:p w14:paraId="4A48B5E4">
            <w:pPr>
              <w:rPr>
                <w:rFonts w:hint="eastAsia"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每月定期检查食堂消防设施和消防安全知识培训</w:t>
            </w:r>
          </w:p>
        </w:tc>
        <w:tc>
          <w:tcPr>
            <w:tcW w:w="613" w:type="dxa"/>
            <w:tcBorders>
              <w:top w:val="nil"/>
              <w:left w:val="nil"/>
              <w:bottom w:val="single" w:color="auto" w:sz="4" w:space="0"/>
              <w:right w:val="single" w:color="auto" w:sz="4" w:space="0"/>
            </w:tcBorders>
            <w:vAlign w:val="center"/>
          </w:tcPr>
          <w:p w14:paraId="4588D388">
            <w:pPr>
              <w:jc w:val="center"/>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1</w:t>
            </w:r>
          </w:p>
        </w:tc>
        <w:tc>
          <w:tcPr>
            <w:tcW w:w="587" w:type="dxa"/>
            <w:tcBorders>
              <w:top w:val="nil"/>
              <w:left w:val="nil"/>
              <w:bottom w:val="single" w:color="auto" w:sz="4" w:space="0"/>
              <w:right w:val="single" w:color="auto" w:sz="4" w:space="0"/>
            </w:tcBorders>
            <w:vAlign w:val="center"/>
          </w:tcPr>
          <w:p w14:paraId="352B0292">
            <w:pPr>
              <w:rPr>
                <w:rFonts w:hint="eastAsia" w:ascii="Times New Roman" w:hAnsi="Times New Roman" w:eastAsia="宋体" w:cs="Times New Roman"/>
                <w:color w:val="auto"/>
                <w:sz w:val="18"/>
                <w:szCs w:val="18"/>
                <w:highlight w:val="none"/>
              </w:rPr>
            </w:pPr>
          </w:p>
        </w:tc>
        <w:tc>
          <w:tcPr>
            <w:tcW w:w="2098" w:type="dxa"/>
            <w:tcBorders>
              <w:top w:val="nil"/>
              <w:left w:val="nil"/>
              <w:bottom w:val="single" w:color="auto" w:sz="4" w:space="0"/>
              <w:right w:val="single" w:color="auto" w:sz="4" w:space="0"/>
            </w:tcBorders>
            <w:vAlign w:val="center"/>
          </w:tcPr>
          <w:p w14:paraId="62654A86">
            <w:pPr>
              <w:rPr>
                <w:rFonts w:hint="eastAsia" w:ascii="Times New Roman" w:hAnsi="Times New Roman" w:eastAsia="宋体" w:cs="Times New Roman"/>
                <w:color w:val="auto"/>
                <w:sz w:val="18"/>
                <w:szCs w:val="18"/>
                <w:highlight w:val="none"/>
              </w:rPr>
            </w:pPr>
          </w:p>
        </w:tc>
      </w:tr>
      <w:tr w14:paraId="6A2E52B6">
        <w:tblPrEx>
          <w:tblCellMar>
            <w:top w:w="0" w:type="dxa"/>
            <w:left w:w="108" w:type="dxa"/>
            <w:bottom w:w="0" w:type="dxa"/>
            <w:right w:w="108" w:type="dxa"/>
          </w:tblCellMar>
        </w:tblPrEx>
        <w:trPr>
          <w:trHeight w:val="30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49D4A852">
            <w:pPr>
              <w:keepNext w:val="0"/>
              <w:keepLines w:val="0"/>
              <w:widowControl/>
              <w:suppressLineNumbers w:val="0"/>
              <w:jc w:val="center"/>
              <w:textAlignment w:val="center"/>
              <w:rPr>
                <w:rFonts w:hint="eastAsia" w:ascii="Times New Roman" w:hAnsi="Times New Roman" w:eastAsia="等线" w:cs="Times New Roman"/>
                <w:color w:val="auto"/>
                <w:kern w:val="2"/>
                <w:sz w:val="21"/>
                <w:szCs w:val="21"/>
                <w:highlight w:val="none"/>
                <w:lang w:val="en-US" w:eastAsia="zh-CN" w:bidi="ar-SA"/>
              </w:rPr>
            </w:pPr>
            <w:r>
              <w:rPr>
                <w:rFonts w:hint="default" w:ascii="Times New Roman" w:hAnsi="Times New Roman" w:eastAsia="等线" w:cs="Times New Roman"/>
                <w:i w:val="0"/>
                <w:iCs w:val="0"/>
                <w:color w:val="auto"/>
                <w:kern w:val="0"/>
                <w:sz w:val="21"/>
                <w:szCs w:val="21"/>
                <w:highlight w:val="none"/>
                <w:u w:val="none"/>
                <w:lang w:val="en-US" w:eastAsia="zh-CN" w:bidi="ar"/>
              </w:rPr>
              <w:t>8</w:t>
            </w:r>
          </w:p>
        </w:tc>
        <w:tc>
          <w:tcPr>
            <w:tcW w:w="6111" w:type="dxa"/>
            <w:gridSpan w:val="2"/>
            <w:tcBorders>
              <w:top w:val="nil"/>
              <w:left w:val="nil"/>
              <w:bottom w:val="single" w:color="auto" w:sz="4" w:space="0"/>
              <w:right w:val="single" w:color="auto" w:sz="4" w:space="0"/>
            </w:tcBorders>
            <w:vAlign w:val="center"/>
          </w:tcPr>
          <w:p w14:paraId="7AFBB1E2">
            <w:pPr>
              <w:rPr>
                <w:rFonts w:ascii="宋体" w:hAnsi="宋体" w:eastAsia="宋体" w:cs="宋体"/>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rPr>
              <w:t>每周有工作计划安排</w:t>
            </w:r>
            <w:r>
              <w:rPr>
                <w:rFonts w:hint="eastAsia" w:ascii="Times New Roman" w:hAnsi="Times New Roman" w:eastAsia="宋体" w:cs="Times New Roman"/>
                <w:color w:val="auto"/>
                <w:sz w:val="18"/>
                <w:szCs w:val="18"/>
                <w:highlight w:val="none"/>
                <w:lang w:eastAsia="zh-CN"/>
              </w:rPr>
              <w:t>，</w:t>
            </w:r>
            <w:r>
              <w:rPr>
                <w:rFonts w:hint="eastAsia" w:ascii="Times New Roman" w:hAnsi="Times New Roman" w:eastAsia="宋体" w:cs="Times New Roman"/>
                <w:color w:val="auto"/>
                <w:sz w:val="18"/>
                <w:szCs w:val="18"/>
                <w:highlight w:val="none"/>
                <w:lang w:val="en-US" w:eastAsia="zh-CN"/>
              </w:rPr>
              <w:t>经常性</w:t>
            </w:r>
            <w:r>
              <w:rPr>
                <w:rFonts w:hint="eastAsia" w:ascii="Times New Roman" w:hAnsi="Times New Roman" w:eastAsia="宋体" w:cs="Times New Roman"/>
                <w:color w:val="auto"/>
                <w:sz w:val="18"/>
                <w:szCs w:val="18"/>
                <w:highlight w:val="none"/>
              </w:rPr>
              <w:t>开展员工食品卫生</w:t>
            </w:r>
            <w:r>
              <w:rPr>
                <w:rFonts w:hint="eastAsia" w:ascii="Times New Roman" w:hAnsi="Times New Roman" w:eastAsia="宋体" w:cs="Times New Roman"/>
                <w:color w:val="auto"/>
                <w:sz w:val="18"/>
                <w:szCs w:val="18"/>
                <w:highlight w:val="none"/>
                <w:lang w:val="en-US" w:eastAsia="zh-CN"/>
              </w:rPr>
              <w:t>培训</w:t>
            </w:r>
          </w:p>
        </w:tc>
        <w:tc>
          <w:tcPr>
            <w:tcW w:w="613" w:type="dxa"/>
            <w:tcBorders>
              <w:top w:val="nil"/>
              <w:left w:val="nil"/>
              <w:bottom w:val="single" w:color="auto" w:sz="4" w:space="0"/>
              <w:right w:val="single" w:color="auto" w:sz="4" w:space="0"/>
            </w:tcBorders>
            <w:vAlign w:val="center"/>
          </w:tcPr>
          <w:p w14:paraId="29D55316">
            <w:pPr>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lang w:val="en-US" w:eastAsia="zh-CN"/>
              </w:rPr>
              <w:t>1</w:t>
            </w:r>
          </w:p>
        </w:tc>
        <w:tc>
          <w:tcPr>
            <w:tcW w:w="587" w:type="dxa"/>
            <w:tcBorders>
              <w:top w:val="nil"/>
              <w:left w:val="nil"/>
              <w:bottom w:val="single" w:color="auto" w:sz="4" w:space="0"/>
              <w:right w:val="single" w:color="auto" w:sz="4" w:space="0"/>
            </w:tcBorders>
            <w:vAlign w:val="center"/>
          </w:tcPr>
          <w:p w14:paraId="177CAE90">
            <w:pPr>
              <w:rPr>
                <w:rFonts w:hint="eastAsia"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　</w:t>
            </w:r>
          </w:p>
        </w:tc>
        <w:tc>
          <w:tcPr>
            <w:tcW w:w="2098" w:type="dxa"/>
            <w:tcBorders>
              <w:top w:val="nil"/>
              <w:left w:val="nil"/>
              <w:bottom w:val="single" w:color="auto" w:sz="4" w:space="0"/>
              <w:right w:val="single" w:color="auto" w:sz="4" w:space="0"/>
            </w:tcBorders>
            <w:vAlign w:val="center"/>
          </w:tcPr>
          <w:p w14:paraId="71003E55">
            <w:pPr>
              <w:rPr>
                <w:rFonts w:hint="eastAsia" w:ascii="Times New Roman" w:hAnsi="Times New Roman" w:eastAsia="宋体" w:cs="Times New Roman"/>
                <w:color w:val="auto"/>
                <w:sz w:val="18"/>
                <w:szCs w:val="18"/>
                <w:highlight w:val="none"/>
              </w:rPr>
            </w:pPr>
          </w:p>
        </w:tc>
      </w:tr>
      <w:tr w14:paraId="49B8A3AE">
        <w:tblPrEx>
          <w:tblCellMar>
            <w:top w:w="0" w:type="dxa"/>
            <w:left w:w="108" w:type="dxa"/>
            <w:bottom w:w="0" w:type="dxa"/>
            <w:right w:w="108" w:type="dxa"/>
          </w:tblCellMar>
        </w:tblPrEx>
        <w:trPr>
          <w:trHeight w:val="9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60E31899">
            <w:pPr>
              <w:keepNext w:val="0"/>
              <w:keepLines w:val="0"/>
              <w:widowControl/>
              <w:suppressLineNumbers w:val="0"/>
              <w:jc w:val="center"/>
              <w:textAlignment w:val="center"/>
              <w:rPr>
                <w:rFonts w:hint="eastAsia" w:ascii="Times New Roman" w:hAnsi="Times New Roman" w:eastAsia="等线" w:cs="Times New Roman"/>
                <w:color w:val="auto"/>
                <w:kern w:val="2"/>
                <w:sz w:val="21"/>
                <w:szCs w:val="21"/>
                <w:highlight w:val="none"/>
                <w:lang w:val="en-US" w:eastAsia="zh-CN" w:bidi="ar-SA"/>
              </w:rPr>
            </w:pPr>
            <w:r>
              <w:rPr>
                <w:rFonts w:hint="default" w:ascii="Times New Roman" w:hAnsi="Times New Roman" w:eastAsia="等线" w:cs="Times New Roman"/>
                <w:i w:val="0"/>
                <w:iCs w:val="0"/>
                <w:color w:val="auto"/>
                <w:kern w:val="0"/>
                <w:sz w:val="21"/>
                <w:szCs w:val="21"/>
                <w:highlight w:val="none"/>
                <w:u w:val="none"/>
                <w:lang w:val="en-US" w:eastAsia="zh-CN" w:bidi="ar"/>
              </w:rPr>
              <w:t>9</w:t>
            </w:r>
          </w:p>
        </w:tc>
        <w:tc>
          <w:tcPr>
            <w:tcW w:w="6111" w:type="dxa"/>
            <w:gridSpan w:val="2"/>
            <w:tcBorders>
              <w:top w:val="nil"/>
              <w:left w:val="nil"/>
              <w:bottom w:val="single" w:color="auto" w:sz="4" w:space="0"/>
              <w:right w:val="single" w:color="auto" w:sz="4" w:space="0"/>
            </w:tcBorders>
            <w:shd w:val="clear" w:color="auto" w:fill="auto"/>
            <w:vAlign w:val="center"/>
          </w:tcPr>
          <w:p w14:paraId="4B98D99D">
            <w:pPr>
              <w:rPr>
                <w:rFonts w:hint="default" w:ascii="宋体" w:hAnsi="宋体" w:eastAsia="宋体" w:cs="宋体"/>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rPr>
              <w:t>员工上岗前落实好晨、午检制度，并做好相关的记录台账</w:t>
            </w:r>
          </w:p>
        </w:tc>
        <w:tc>
          <w:tcPr>
            <w:tcW w:w="613" w:type="dxa"/>
            <w:tcBorders>
              <w:top w:val="nil"/>
              <w:left w:val="nil"/>
              <w:bottom w:val="single" w:color="auto" w:sz="4" w:space="0"/>
              <w:right w:val="single" w:color="auto" w:sz="4" w:space="0"/>
            </w:tcBorders>
            <w:vAlign w:val="center"/>
          </w:tcPr>
          <w:p w14:paraId="05F3CF7E">
            <w:pPr>
              <w:jc w:val="center"/>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1</w:t>
            </w:r>
          </w:p>
        </w:tc>
        <w:tc>
          <w:tcPr>
            <w:tcW w:w="587" w:type="dxa"/>
            <w:tcBorders>
              <w:top w:val="nil"/>
              <w:left w:val="nil"/>
              <w:bottom w:val="single" w:color="auto" w:sz="4" w:space="0"/>
              <w:right w:val="single" w:color="auto" w:sz="4" w:space="0"/>
            </w:tcBorders>
            <w:vAlign w:val="center"/>
          </w:tcPr>
          <w:p w14:paraId="1845C015">
            <w:pPr>
              <w:rPr>
                <w:rFonts w:hint="eastAsia" w:ascii="Times New Roman" w:hAnsi="Times New Roman" w:eastAsia="宋体" w:cs="Times New Roman"/>
                <w:color w:val="auto"/>
                <w:sz w:val="18"/>
                <w:szCs w:val="18"/>
                <w:highlight w:val="none"/>
              </w:rPr>
            </w:pPr>
          </w:p>
        </w:tc>
        <w:tc>
          <w:tcPr>
            <w:tcW w:w="2098" w:type="dxa"/>
            <w:tcBorders>
              <w:top w:val="nil"/>
              <w:left w:val="nil"/>
              <w:bottom w:val="single" w:color="auto" w:sz="4" w:space="0"/>
              <w:right w:val="single" w:color="auto" w:sz="4" w:space="0"/>
            </w:tcBorders>
            <w:vAlign w:val="center"/>
          </w:tcPr>
          <w:p w14:paraId="0CB5FC9C">
            <w:pPr>
              <w:rPr>
                <w:rFonts w:hint="eastAsia" w:ascii="Times New Roman" w:hAnsi="Times New Roman" w:eastAsia="宋体" w:cs="Times New Roman"/>
                <w:color w:val="auto"/>
                <w:sz w:val="18"/>
                <w:szCs w:val="18"/>
                <w:highlight w:val="none"/>
              </w:rPr>
            </w:pPr>
          </w:p>
        </w:tc>
      </w:tr>
      <w:tr w14:paraId="4FB25389">
        <w:tblPrEx>
          <w:tblCellMar>
            <w:top w:w="0" w:type="dxa"/>
            <w:left w:w="108" w:type="dxa"/>
            <w:bottom w:w="0" w:type="dxa"/>
            <w:right w:w="108" w:type="dxa"/>
          </w:tblCellMar>
        </w:tblPrEx>
        <w:trPr>
          <w:trHeight w:val="30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53718B54">
            <w:pPr>
              <w:keepNext w:val="0"/>
              <w:keepLines w:val="0"/>
              <w:widowControl/>
              <w:suppressLineNumbers w:val="0"/>
              <w:jc w:val="center"/>
              <w:textAlignment w:val="center"/>
              <w:rPr>
                <w:rFonts w:hint="eastAsia" w:ascii="Times New Roman" w:hAnsi="Times New Roman" w:eastAsia="等线" w:cs="Times New Roman"/>
                <w:color w:val="auto"/>
                <w:kern w:val="2"/>
                <w:sz w:val="21"/>
                <w:szCs w:val="21"/>
                <w:highlight w:val="none"/>
                <w:lang w:val="en-US" w:eastAsia="zh-CN" w:bidi="ar-SA"/>
              </w:rPr>
            </w:pPr>
            <w:r>
              <w:rPr>
                <w:rFonts w:hint="default" w:ascii="Times New Roman" w:hAnsi="Times New Roman" w:eastAsia="等线" w:cs="Times New Roman"/>
                <w:i w:val="0"/>
                <w:iCs w:val="0"/>
                <w:color w:val="auto"/>
                <w:kern w:val="0"/>
                <w:sz w:val="21"/>
                <w:szCs w:val="21"/>
                <w:highlight w:val="none"/>
                <w:u w:val="none"/>
                <w:lang w:val="en-US" w:eastAsia="zh-CN" w:bidi="ar"/>
              </w:rPr>
              <w:t>10</w:t>
            </w:r>
          </w:p>
        </w:tc>
        <w:tc>
          <w:tcPr>
            <w:tcW w:w="6111" w:type="dxa"/>
            <w:gridSpan w:val="2"/>
            <w:tcBorders>
              <w:top w:val="nil"/>
              <w:left w:val="nil"/>
              <w:bottom w:val="single" w:color="auto" w:sz="4" w:space="0"/>
              <w:right w:val="single" w:color="auto" w:sz="4" w:space="0"/>
            </w:tcBorders>
            <w:shd w:val="clear" w:color="auto" w:fill="auto"/>
            <w:vAlign w:val="center"/>
          </w:tcPr>
          <w:p w14:paraId="25E40ADA">
            <w:pPr>
              <w:rPr>
                <w:rFonts w:hint="default"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rPr>
              <w:t>员工穿戴洁净，不留长指甲，不戴首饰手表，不涂指甲油</w:t>
            </w:r>
          </w:p>
        </w:tc>
        <w:tc>
          <w:tcPr>
            <w:tcW w:w="613" w:type="dxa"/>
            <w:tcBorders>
              <w:top w:val="nil"/>
              <w:left w:val="nil"/>
              <w:bottom w:val="single" w:color="auto" w:sz="4" w:space="0"/>
              <w:right w:val="single" w:color="auto" w:sz="4" w:space="0"/>
            </w:tcBorders>
            <w:vAlign w:val="center"/>
          </w:tcPr>
          <w:p w14:paraId="71FAA462">
            <w:pPr>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lang w:val="en-US" w:eastAsia="zh-CN"/>
              </w:rPr>
              <w:t>1</w:t>
            </w:r>
          </w:p>
        </w:tc>
        <w:tc>
          <w:tcPr>
            <w:tcW w:w="587" w:type="dxa"/>
            <w:tcBorders>
              <w:top w:val="nil"/>
              <w:left w:val="nil"/>
              <w:bottom w:val="single" w:color="auto" w:sz="4" w:space="0"/>
              <w:right w:val="single" w:color="auto" w:sz="4" w:space="0"/>
            </w:tcBorders>
            <w:vAlign w:val="center"/>
          </w:tcPr>
          <w:p w14:paraId="5BDB5EA9">
            <w:pPr>
              <w:rPr>
                <w:rFonts w:hint="eastAsia"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　</w:t>
            </w:r>
          </w:p>
        </w:tc>
        <w:tc>
          <w:tcPr>
            <w:tcW w:w="2098" w:type="dxa"/>
            <w:tcBorders>
              <w:top w:val="nil"/>
              <w:left w:val="nil"/>
              <w:bottom w:val="single" w:color="auto" w:sz="4" w:space="0"/>
              <w:right w:val="single" w:color="auto" w:sz="4" w:space="0"/>
            </w:tcBorders>
            <w:vAlign w:val="center"/>
          </w:tcPr>
          <w:p w14:paraId="71023921">
            <w:pPr>
              <w:rPr>
                <w:rFonts w:hint="eastAsia" w:ascii="Times New Roman" w:hAnsi="Times New Roman" w:eastAsia="宋体" w:cs="Times New Roman"/>
                <w:color w:val="auto"/>
                <w:sz w:val="18"/>
                <w:szCs w:val="18"/>
                <w:highlight w:val="none"/>
              </w:rPr>
            </w:pPr>
          </w:p>
        </w:tc>
      </w:tr>
      <w:tr w14:paraId="46EFCA00">
        <w:tblPrEx>
          <w:tblCellMar>
            <w:top w:w="0" w:type="dxa"/>
            <w:left w:w="108" w:type="dxa"/>
            <w:bottom w:w="0" w:type="dxa"/>
            <w:right w:w="108" w:type="dxa"/>
          </w:tblCellMar>
        </w:tblPrEx>
        <w:trPr>
          <w:trHeight w:val="30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638BEBCF">
            <w:pPr>
              <w:keepNext w:val="0"/>
              <w:keepLines w:val="0"/>
              <w:widowControl/>
              <w:suppressLineNumbers w:val="0"/>
              <w:jc w:val="center"/>
              <w:textAlignment w:val="center"/>
              <w:rPr>
                <w:rFonts w:hint="eastAsia" w:ascii="Times New Roman" w:hAnsi="Times New Roman" w:eastAsia="等线" w:cs="Times New Roman"/>
                <w:color w:val="auto"/>
                <w:kern w:val="2"/>
                <w:sz w:val="21"/>
                <w:szCs w:val="21"/>
                <w:highlight w:val="none"/>
                <w:lang w:val="en-US" w:eastAsia="zh-CN" w:bidi="ar-SA"/>
              </w:rPr>
            </w:pPr>
            <w:r>
              <w:rPr>
                <w:rFonts w:hint="default" w:ascii="Times New Roman" w:hAnsi="Times New Roman" w:eastAsia="等线" w:cs="Times New Roman"/>
                <w:i w:val="0"/>
                <w:iCs w:val="0"/>
                <w:color w:val="auto"/>
                <w:kern w:val="0"/>
                <w:sz w:val="21"/>
                <w:szCs w:val="21"/>
                <w:highlight w:val="none"/>
                <w:u w:val="none"/>
                <w:lang w:val="en-US" w:eastAsia="zh-CN" w:bidi="ar"/>
              </w:rPr>
              <w:t>11</w:t>
            </w:r>
          </w:p>
        </w:tc>
        <w:tc>
          <w:tcPr>
            <w:tcW w:w="6111" w:type="dxa"/>
            <w:gridSpan w:val="2"/>
            <w:tcBorders>
              <w:top w:val="nil"/>
              <w:left w:val="nil"/>
              <w:bottom w:val="single" w:color="auto" w:sz="4" w:space="0"/>
              <w:right w:val="single" w:color="auto" w:sz="4" w:space="0"/>
            </w:tcBorders>
            <w:vAlign w:val="center"/>
          </w:tcPr>
          <w:p w14:paraId="0ABCD7EE">
            <w:pPr>
              <w:rPr>
                <w:rFonts w:hint="eastAsia"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lang w:val="en-US" w:eastAsia="zh-CN"/>
              </w:rPr>
              <w:t>严格落实员工“五病”调离制度</w:t>
            </w:r>
          </w:p>
        </w:tc>
        <w:tc>
          <w:tcPr>
            <w:tcW w:w="613" w:type="dxa"/>
            <w:tcBorders>
              <w:top w:val="nil"/>
              <w:left w:val="nil"/>
              <w:bottom w:val="single" w:color="auto" w:sz="4" w:space="0"/>
              <w:right w:val="single" w:color="auto" w:sz="4" w:space="0"/>
            </w:tcBorders>
            <w:vAlign w:val="center"/>
          </w:tcPr>
          <w:p w14:paraId="01DAA392">
            <w:pPr>
              <w:jc w:val="center"/>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1</w:t>
            </w:r>
          </w:p>
        </w:tc>
        <w:tc>
          <w:tcPr>
            <w:tcW w:w="587" w:type="dxa"/>
            <w:tcBorders>
              <w:top w:val="nil"/>
              <w:left w:val="nil"/>
              <w:bottom w:val="single" w:color="auto" w:sz="4" w:space="0"/>
              <w:right w:val="single" w:color="auto" w:sz="4" w:space="0"/>
            </w:tcBorders>
            <w:vAlign w:val="center"/>
          </w:tcPr>
          <w:p w14:paraId="06AEDA65">
            <w:pPr>
              <w:rPr>
                <w:rFonts w:hint="eastAsia" w:ascii="Times New Roman" w:hAnsi="Times New Roman" w:eastAsia="宋体" w:cs="Times New Roman"/>
                <w:color w:val="auto"/>
                <w:sz w:val="18"/>
                <w:szCs w:val="18"/>
                <w:highlight w:val="none"/>
              </w:rPr>
            </w:pPr>
          </w:p>
        </w:tc>
        <w:tc>
          <w:tcPr>
            <w:tcW w:w="2098" w:type="dxa"/>
            <w:tcBorders>
              <w:top w:val="nil"/>
              <w:left w:val="nil"/>
              <w:bottom w:val="single" w:color="auto" w:sz="4" w:space="0"/>
              <w:right w:val="single" w:color="auto" w:sz="4" w:space="0"/>
            </w:tcBorders>
            <w:vAlign w:val="center"/>
          </w:tcPr>
          <w:p w14:paraId="5C187FD2">
            <w:pPr>
              <w:rPr>
                <w:rFonts w:hint="eastAsia" w:ascii="Times New Roman" w:hAnsi="Times New Roman" w:eastAsia="宋体" w:cs="Times New Roman"/>
                <w:color w:val="auto"/>
                <w:sz w:val="18"/>
                <w:szCs w:val="18"/>
                <w:highlight w:val="none"/>
              </w:rPr>
            </w:pPr>
          </w:p>
        </w:tc>
      </w:tr>
      <w:tr w14:paraId="12367DAC">
        <w:tblPrEx>
          <w:tblCellMar>
            <w:top w:w="0" w:type="dxa"/>
            <w:left w:w="108" w:type="dxa"/>
            <w:bottom w:w="0" w:type="dxa"/>
            <w:right w:w="108" w:type="dxa"/>
          </w:tblCellMar>
        </w:tblPrEx>
        <w:trPr>
          <w:trHeight w:val="30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291BB637">
            <w:pPr>
              <w:keepNext w:val="0"/>
              <w:keepLines w:val="0"/>
              <w:widowControl/>
              <w:suppressLineNumbers w:val="0"/>
              <w:jc w:val="center"/>
              <w:textAlignment w:val="center"/>
              <w:rPr>
                <w:rFonts w:hint="eastAsia" w:ascii="Times New Roman" w:hAnsi="Times New Roman" w:eastAsia="等线" w:cs="Times New Roman"/>
                <w:color w:val="auto"/>
                <w:kern w:val="2"/>
                <w:sz w:val="21"/>
                <w:szCs w:val="21"/>
                <w:highlight w:val="none"/>
                <w:lang w:val="en-US" w:eastAsia="zh-CN" w:bidi="ar-SA"/>
              </w:rPr>
            </w:pPr>
            <w:r>
              <w:rPr>
                <w:rFonts w:hint="default" w:ascii="Times New Roman" w:hAnsi="Times New Roman" w:eastAsia="等线" w:cs="Times New Roman"/>
                <w:i w:val="0"/>
                <w:iCs w:val="0"/>
                <w:color w:val="auto"/>
                <w:kern w:val="0"/>
                <w:sz w:val="21"/>
                <w:szCs w:val="21"/>
                <w:highlight w:val="none"/>
                <w:u w:val="none"/>
                <w:lang w:val="en-US" w:eastAsia="zh-CN" w:bidi="ar"/>
              </w:rPr>
              <w:t>12</w:t>
            </w:r>
          </w:p>
        </w:tc>
        <w:tc>
          <w:tcPr>
            <w:tcW w:w="6111" w:type="dxa"/>
            <w:gridSpan w:val="2"/>
            <w:tcBorders>
              <w:top w:val="nil"/>
              <w:left w:val="nil"/>
              <w:bottom w:val="single" w:color="auto" w:sz="4" w:space="0"/>
              <w:right w:val="single" w:color="auto" w:sz="4" w:space="0"/>
            </w:tcBorders>
            <w:vAlign w:val="center"/>
          </w:tcPr>
          <w:p w14:paraId="550F7ACD">
            <w:pPr>
              <w:rPr>
                <w:rFonts w:ascii="宋体" w:hAnsi="宋体" w:eastAsia="宋体" w:cs="宋体"/>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rPr>
              <w:t>食品加工区域不存放私人用品（如手机、包包等）或杂物</w:t>
            </w:r>
          </w:p>
        </w:tc>
        <w:tc>
          <w:tcPr>
            <w:tcW w:w="613" w:type="dxa"/>
            <w:tcBorders>
              <w:top w:val="nil"/>
              <w:left w:val="nil"/>
              <w:bottom w:val="single" w:color="auto" w:sz="4" w:space="0"/>
              <w:right w:val="single" w:color="auto" w:sz="4" w:space="0"/>
            </w:tcBorders>
            <w:vAlign w:val="center"/>
          </w:tcPr>
          <w:p w14:paraId="658BC62F">
            <w:pPr>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lang w:val="en-US" w:eastAsia="zh-CN"/>
              </w:rPr>
              <w:t>1</w:t>
            </w:r>
          </w:p>
        </w:tc>
        <w:tc>
          <w:tcPr>
            <w:tcW w:w="587" w:type="dxa"/>
            <w:tcBorders>
              <w:top w:val="nil"/>
              <w:left w:val="nil"/>
              <w:bottom w:val="single" w:color="auto" w:sz="4" w:space="0"/>
              <w:right w:val="single" w:color="auto" w:sz="4" w:space="0"/>
            </w:tcBorders>
            <w:vAlign w:val="center"/>
          </w:tcPr>
          <w:p w14:paraId="66183DB8">
            <w:pPr>
              <w:rPr>
                <w:rFonts w:hint="eastAsia"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　</w:t>
            </w:r>
          </w:p>
        </w:tc>
        <w:tc>
          <w:tcPr>
            <w:tcW w:w="2098" w:type="dxa"/>
            <w:tcBorders>
              <w:top w:val="nil"/>
              <w:left w:val="nil"/>
              <w:bottom w:val="single" w:color="auto" w:sz="4" w:space="0"/>
              <w:right w:val="single" w:color="auto" w:sz="4" w:space="0"/>
            </w:tcBorders>
            <w:vAlign w:val="center"/>
          </w:tcPr>
          <w:p w14:paraId="5F2E1E0A">
            <w:pPr>
              <w:rPr>
                <w:rFonts w:hint="eastAsia" w:ascii="Times New Roman" w:hAnsi="Times New Roman" w:eastAsia="宋体" w:cs="Times New Roman"/>
                <w:color w:val="auto"/>
                <w:sz w:val="18"/>
                <w:szCs w:val="18"/>
                <w:highlight w:val="none"/>
              </w:rPr>
            </w:pPr>
          </w:p>
        </w:tc>
      </w:tr>
      <w:tr w14:paraId="10932C89">
        <w:tblPrEx>
          <w:tblCellMar>
            <w:top w:w="0" w:type="dxa"/>
            <w:left w:w="108" w:type="dxa"/>
            <w:bottom w:w="0" w:type="dxa"/>
            <w:right w:w="108" w:type="dxa"/>
          </w:tblCellMar>
        </w:tblPrEx>
        <w:trPr>
          <w:trHeight w:val="30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0DFB98A4">
            <w:pPr>
              <w:keepNext w:val="0"/>
              <w:keepLines w:val="0"/>
              <w:widowControl/>
              <w:suppressLineNumbers w:val="0"/>
              <w:jc w:val="center"/>
              <w:textAlignment w:val="center"/>
              <w:rPr>
                <w:rFonts w:hint="eastAsia" w:ascii="Times New Roman" w:hAnsi="Times New Roman" w:eastAsia="等线" w:cs="Times New Roman"/>
                <w:color w:val="auto"/>
                <w:kern w:val="2"/>
                <w:sz w:val="21"/>
                <w:szCs w:val="21"/>
                <w:highlight w:val="none"/>
                <w:lang w:val="en-US" w:eastAsia="zh-CN" w:bidi="ar-SA"/>
              </w:rPr>
            </w:pPr>
            <w:r>
              <w:rPr>
                <w:rFonts w:hint="default" w:ascii="Times New Roman" w:hAnsi="Times New Roman" w:eastAsia="等线" w:cs="Times New Roman"/>
                <w:i w:val="0"/>
                <w:iCs w:val="0"/>
                <w:color w:val="auto"/>
                <w:kern w:val="0"/>
                <w:sz w:val="21"/>
                <w:szCs w:val="21"/>
                <w:highlight w:val="none"/>
                <w:u w:val="none"/>
                <w:lang w:val="en-US" w:eastAsia="zh-CN" w:bidi="ar"/>
              </w:rPr>
              <w:t>13</w:t>
            </w:r>
          </w:p>
        </w:tc>
        <w:tc>
          <w:tcPr>
            <w:tcW w:w="6111" w:type="dxa"/>
            <w:gridSpan w:val="2"/>
            <w:tcBorders>
              <w:top w:val="nil"/>
              <w:left w:val="nil"/>
              <w:bottom w:val="single" w:color="auto" w:sz="4" w:space="0"/>
              <w:right w:val="single" w:color="auto" w:sz="4" w:space="0"/>
            </w:tcBorders>
            <w:vAlign w:val="center"/>
          </w:tcPr>
          <w:p w14:paraId="3754C48F">
            <w:pPr>
              <w:rPr>
                <w:rFonts w:hint="eastAsia"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员工外出食品加工区域，更换衣服和围裙，返回洗手消毒</w:t>
            </w:r>
          </w:p>
        </w:tc>
        <w:tc>
          <w:tcPr>
            <w:tcW w:w="613" w:type="dxa"/>
            <w:tcBorders>
              <w:top w:val="nil"/>
              <w:left w:val="nil"/>
              <w:bottom w:val="single" w:color="auto" w:sz="4" w:space="0"/>
              <w:right w:val="single" w:color="auto" w:sz="4" w:space="0"/>
            </w:tcBorders>
            <w:vAlign w:val="center"/>
          </w:tcPr>
          <w:p w14:paraId="19CF5A11">
            <w:pPr>
              <w:jc w:val="center"/>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1</w:t>
            </w:r>
          </w:p>
        </w:tc>
        <w:tc>
          <w:tcPr>
            <w:tcW w:w="587" w:type="dxa"/>
            <w:tcBorders>
              <w:top w:val="nil"/>
              <w:left w:val="nil"/>
              <w:bottom w:val="single" w:color="auto" w:sz="4" w:space="0"/>
              <w:right w:val="single" w:color="auto" w:sz="4" w:space="0"/>
            </w:tcBorders>
            <w:vAlign w:val="center"/>
          </w:tcPr>
          <w:p w14:paraId="03E079C1">
            <w:pPr>
              <w:rPr>
                <w:rFonts w:hint="eastAsia" w:ascii="Times New Roman" w:hAnsi="Times New Roman" w:eastAsia="宋体" w:cs="Times New Roman"/>
                <w:color w:val="auto"/>
                <w:sz w:val="18"/>
                <w:szCs w:val="18"/>
                <w:highlight w:val="none"/>
              </w:rPr>
            </w:pPr>
          </w:p>
        </w:tc>
        <w:tc>
          <w:tcPr>
            <w:tcW w:w="2098" w:type="dxa"/>
            <w:tcBorders>
              <w:top w:val="nil"/>
              <w:left w:val="nil"/>
              <w:bottom w:val="single" w:color="auto" w:sz="4" w:space="0"/>
              <w:right w:val="single" w:color="auto" w:sz="4" w:space="0"/>
            </w:tcBorders>
            <w:vAlign w:val="center"/>
          </w:tcPr>
          <w:p w14:paraId="269619C5">
            <w:pPr>
              <w:rPr>
                <w:rFonts w:hint="eastAsia" w:ascii="Times New Roman" w:hAnsi="Times New Roman" w:eastAsia="宋体" w:cs="Times New Roman"/>
                <w:color w:val="auto"/>
                <w:sz w:val="18"/>
                <w:szCs w:val="18"/>
                <w:highlight w:val="none"/>
              </w:rPr>
            </w:pPr>
          </w:p>
        </w:tc>
      </w:tr>
      <w:tr w14:paraId="294DBD5D">
        <w:tblPrEx>
          <w:tblCellMar>
            <w:top w:w="0" w:type="dxa"/>
            <w:left w:w="108" w:type="dxa"/>
            <w:bottom w:w="0" w:type="dxa"/>
            <w:right w:w="108" w:type="dxa"/>
          </w:tblCellMar>
        </w:tblPrEx>
        <w:trPr>
          <w:trHeight w:val="30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73027BF3">
            <w:pPr>
              <w:keepNext w:val="0"/>
              <w:keepLines w:val="0"/>
              <w:widowControl/>
              <w:suppressLineNumbers w:val="0"/>
              <w:jc w:val="center"/>
              <w:textAlignment w:val="center"/>
              <w:rPr>
                <w:rFonts w:hint="eastAsia" w:ascii="Times New Roman" w:hAnsi="Times New Roman" w:eastAsia="等线" w:cs="Times New Roman"/>
                <w:color w:val="auto"/>
                <w:kern w:val="2"/>
                <w:sz w:val="21"/>
                <w:szCs w:val="21"/>
                <w:highlight w:val="none"/>
                <w:lang w:val="en-US" w:eastAsia="zh-CN" w:bidi="ar-SA"/>
              </w:rPr>
            </w:pPr>
            <w:r>
              <w:rPr>
                <w:rFonts w:hint="default" w:ascii="Times New Roman" w:hAnsi="Times New Roman" w:eastAsia="等线" w:cs="Times New Roman"/>
                <w:i w:val="0"/>
                <w:iCs w:val="0"/>
                <w:color w:val="auto"/>
                <w:kern w:val="0"/>
                <w:sz w:val="21"/>
                <w:szCs w:val="21"/>
                <w:highlight w:val="none"/>
                <w:u w:val="none"/>
                <w:lang w:val="en-US" w:eastAsia="zh-CN" w:bidi="ar"/>
              </w:rPr>
              <w:t>14</w:t>
            </w:r>
          </w:p>
        </w:tc>
        <w:tc>
          <w:tcPr>
            <w:tcW w:w="6111" w:type="dxa"/>
            <w:gridSpan w:val="2"/>
            <w:tcBorders>
              <w:top w:val="nil"/>
              <w:left w:val="nil"/>
              <w:bottom w:val="single" w:color="auto" w:sz="4" w:space="0"/>
              <w:right w:val="single" w:color="auto" w:sz="4" w:space="0"/>
            </w:tcBorders>
            <w:vAlign w:val="center"/>
          </w:tcPr>
          <w:p w14:paraId="1B20D652">
            <w:pPr>
              <w:rPr>
                <w:rFonts w:hint="eastAsia" w:ascii="宋体" w:hAnsi="宋体" w:eastAsia="宋体" w:cs="宋体"/>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rPr>
              <w:t>食品操作过程按规范佩戴口罩、手套</w:t>
            </w:r>
            <w:r>
              <w:rPr>
                <w:rFonts w:hint="eastAsia" w:ascii="Times New Roman" w:hAnsi="Times New Roman" w:eastAsia="宋体" w:cs="Times New Roman"/>
                <w:color w:val="auto"/>
                <w:sz w:val="18"/>
                <w:szCs w:val="18"/>
                <w:highlight w:val="none"/>
                <w:lang w:eastAsia="zh-CN"/>
              </w:rPr>
              <w:t>、</w:t>
            </w:r>
            <w:r>
              <w:rPr>
                <w:rFonts w:hint="eastAsia" w:ascii="Times New Roman" w:hAnsi="Times New Roman" w:eastAsia="宋体" w:cs="Times New Roman"/>
                <w:color w:val="auto"/>
                <w:sz w:val="18"/>
                <w:szCs w:val="18"/>
                <w:highlight w:val="none"/>
                <w:lang w:val="en-US" w:eastAsia="zh-CN"/>
              </w:rPr>
              <w:t>发帽</w:t>
            </w:r>
          </w:p>
        </w:tc>
        <w:tc>
          <w:tcPr>
            <w:tcW w:w="613" w:type="dxa"/>
            <w:tcBorders>
              <w:top w:val="nil"/>
              <w:left w:val="nil"/>
              <w:bottom w:val="single" w:color="auto" w:sz="4" w:space="0"/>
              <w:right w:val="single" w:color="auto" w:sz="4" w:space="0"/>
            </w:tcBorders>
            <w:vAlign w:val="center"/>
          </w:tcPr>
          <w:p w14:paraId="1CF47C8C">
            <w:pPr>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lang w:val="en-US" w:eastAsia="zh-CN"/>
              </w:rPr>
              <w:t>2</w:t>
            </w:r>
          </w:p>
        </w:tc>
        <w:tc>
          <w:tcPr>
            <w:tcW w:w="587" w:type="dxa"/>
            <w:tcBorders>
              <w:top w:val="nil"/>
              <w:left w:val="nil"/>
              <w:bottom w:val="single" w:color="auto" w:sz="4" w:space="0"/>
              <w:right w:val="single" w:color="auto" w:sz="4" w:space="0"/>
            </w:tcBorders>
            <w:vAlign w:val="center"/>
          </w:tcPr>
          <w:p w14:paraId="3622D7AA">
            <w:pPr>
              <w:rPr>
                <w:rFonts w:hint="eastAsia" w:ascii="Times New Roman" w:hAnsi="Times New Roman" w:eastAsia="宋体" w:cs="Times New Roman"/>
                <w:color w:val="auto"/>
                <w:sz w:val="18"/>
                <w:szCs w:val="18"/>
                <w:highlight w:val="none"/>
              </w:rPr>
            </w:pPr>
          </w:p>
        </w:tc>
        <w:tc>
          <w:tcPr>
            <w:tcW w:w="2098" w:type="dxa"/>
            <w:tcBorders>
              <w:top w:val="nil"/>
              <w:left w:val="nil"/>
              <w:bottom w:val="single" w:color="auto" w:sz="4" w:space="0"/>
              <w:right w:val="single" w:color="auto" w:sz="4" w:space="0"/>
            </w:tcBorders>
            <w:vAlign w:val="center"/>
          </w:tcPr>
          <w:p w14:paraId="1CD6A585">
            <w:pPr>
              <w:jc w:val="center"/>
              <w:rPr>
                <w:rFonts w:hint="eastAsia" w:ascii="Times New Roman" w:hAnsi="Times New Roman" w:eastAsia="宋体" w:cs="Times New Roman"/>
                <w:color w:val="auto"/>
                <w:sz w:val="18"/>
                <w:szCs w:val="18"/>
                <w:highlight w:val="none"/>
              </w:rPr>
            </w:pPr>
          </w:p>
        </w:tc>
      </w:tr>
      <w:tr w14:paraId="1C2804A5">
        <w:tblPrEx>
          <w:tblCellMar>
            <w:top w:w="0" w:type="dxa"/>
            <w:left w:w="108" w:type="dxa"/>
            <w:bottom w:w="0" w:type="dxa"/>
            <w:right w:w="108" w:type="dxa"/>
          </w:tblCellMar>
        </w:tblPrEx>
        <w:trPr>
          <w:trHeight w:val="9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0604BBAB">
            <w:pPr>
              <w:keepNext w:val="0"/>
              <w:keepLines w:val="0"/>
              <w:widowControl/>
              <w:suppressLineNumbers w:val="0"/>
              <w:jc w:val="center"/>
              <w:textAlignment w:val="center"/>
              <w:rPr>
                <w:rFonts w:hint="eastAsia" w:ascii="Times New Roman" w:hAnsi="Times New Roman" w:eastAsia="等线" w:cs="Times New Roman"/>
                <w:color w:val="auto"/>
                <w:kern w:val="2"/>
                <w:sz w:val="21"/>
                <w:szCs w:val="21"/>
                <w:highlight w:val="none"/>
                <w:lang w:val="en-US" w:eastAsia="zh-CN" w:bidi="ar-SA"/>
              </w:rPr>
            </w:pPr>
            <w:r>
              <w:rPr>
                <w:rFonts w:hint="default" w:ascii="Times New Roman" w:hAnsi="Times New Roman" w:eastAsia="等线" w:cs="Times New Roman"/>
                <w:i w:val="0"/>
                <w:iCs w:val="0"/>
                <w:color w:val="auto"/>
                <w:kern w:val="0"/>
                <w:sz w:val="21"/>
                <w:szCs w:val="21"/>
                <w:highlight w:val="none"/>
                <w:u w:val="none"/>
                <w:lang w:val="en-US" w:eastAsia="zh-CN" w:bidi="ar"/>
              </w:rPr>
              <w:t>15</w:t>
            </w:r>
          </w:p>
        </w:tc>
        <w:tc>
          <w:tcPr>
            <w:tcW w:w="6111" w:type="dxa"/>
            <w:gridSpan w:val="2"/>
            <w:tcBorders>
              <w:top w:val="nil"/>
              <w:left w:val="nil"/>
              <w:bottom w:val="single" w:color="auto" w:sz="4" w:space="0"/>
              <w:right w:val="single" w:color="auto" w:sz="4" w:space="0"/>
            </w:tcBorders>
            <w:shd w:val="clear" w:color="auto" w:fill="auto"/>
            <w:vAlign w:val="center"/>
          </w:tcPr>
          <w:p w14:paraId="0E565580">
            <w:pPr>
              <w:rPr>
                <w:rFonts w:hint="default" w:ascii="宋体" w:hAnsi="宋体" w:eastAsia="宋体" w:cs="宋体"/>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rPr>
              <w:t>更衣室干净整洁；二次更衣室按规定使用，整洁卫生，洗消功能正常；进出售卖间、熟食切配间，按规定要求进行更衣（专用衣物）</w:t>
            </w:r>
          </w:p>
        </w:tc>
        <w:tc>
          <w:tcPr>
            <w:tcW w:w="613" w:type="dxa"/>
            <w:tcBorders>
              <w:top w:val="nil"/>
              <w:left w:val="nil"/>
              <w:bottom w:val="single" w:color="auto" w:sz="4" w:space="0"/>
              <w:right w:val="single" w:color="auto" w:sz="4" w:space="0"/>
            </w:tcBorders>
            <w:shd w:val="clear" w:color="auto" w:fill="auto"/>
            <w:vAlign w:val="center"/>
          </w:tcPr>
          <w:p w14:paraId="5E041495">
            <w:pPr>
              <w:jc w:val="center"/>
              <w:rPr>
                <w:rFonts w:hint="default"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rPr>
              <w:t>2</w:t>
            </w:r>
          </w:p>
        </w:tc>
        <w:tc>
          <w:tcPr>
            <w:tcW w:w="587" w:type="dxa"/>
            <w:tcBorders>
              <w:top w:val="nil"/>
              <w:left w:val="nil"/>
              <w:bottom w:val="single" w:color="auto" w:sz="4" w:space="0"/>
              <w:right w:val="single" w:color="auto" w:sz="4" w:space="0"/>
            </w:tcBorders>
            <w:shd w:val="clear" w:color="auto" w:fill="auto"/>
            <w:vAlign w:val="center"/>
          </w:tcPr>
          <w:p w14:paraId="039DFDEA">
            <w:pPr>
              <w:jc w:val="center"/>
              <w:rPr>
                <w:rFonts w:hint="eastAsia" w:ascii="Times New Roman" w:hAnsi="Times New Roman" w:eastAsia="宋体" w:cs="Times New Roman"/>
                <w:color w:val="auto"/>
                <w:kern w:val="2"/>
                <w:sz w:val="18"/>
                <w:szCs w:val="18"/>
                <w:highlight w:val="none"/>
                <w:lang w:val="en-US" w:eastAsia="zh-CN" w:bidi="ar-SA"/>
              </w:rPr>
            </w:pPr>
          </w:p>
        </w:tc>
        <w:tc>
          <w:tcPr>
            <w:tcW w:w="2098" w:type="dxa"/>
            <w:tcBorders>
              <w:top w:val="nil"/>
              <w:left w:val="nil"/>
              <w:bottom w:val="single" w:color="auto" w:sz="4" w:space="0"/>
              <w:right w:val="single" w:color="auto" w:sz="4" w:space="0"/>
            </w:tcBorders>
            <w:shd w:val="clear" w:color="auto" w:fill="auto"/>
            <w:vAlign w:val="center"/>
          </w:tcPr>
          <w:p w14:paraId="35F5A533">
            <w:pPr>
              <w:jc w:val="center"/>
              <w:rPr>
                <w:rFonts w:hint="eastAsia" w:ascii="宋体" w:hAnsi="宋体" w:eastAsia="宋体" w:cs="宋体"/>
                <w:color w:val="auto"/>
                <w:kern w:val="2"/>
                <w:sz w:val="18"/>
                <w:szCs w:val="18"/>
                <w:highlight w:val="none"/>
                <w:lang w:val="en-US" w:eastAsia="zh-CN" w:bidi="ar-SA"/>
              </w:rPr>
            </w:pPr>
          </w:p>
        </w:tc>
      </w:tr>
      <w:tr w14:paraId="7CFA9977">
        <w:tblPrEx>
          <w:tblCellMar>
            <w:top w:w="0" w:type="dxa"/>
            <w:left w:w="108" w:type="dxa"/>
            <w:bottom w:w="0" w:type="dxa"/>
            <w:right w:w="108" w:type="dxa"/>
          </w:tblCellMar>
        </w:tblPrEx>
        <w:trPr>
          <w:trHeight w:val="9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3FDC370B">
            <w:pPr>
              <w:keepNext w:val="0"/>
              <w:keepLines w:val="0"/>
              <w:widowControl/>
              <w:suppressLineNumbers w:val="0"/>
              <w:jc w:val="center"/>
              <w:textAlignment w:val="center"/>
              <w:rPr>
                <w:rFonts w:hint="eastAsia" w:ascii="Times New Roman" w:hAnsi="Times New Roman" w:eastAsia="等线" w:cs="Times New Roman"/>
                <w:color w:val="auto"/>
                <w:kern w:val="2"/>
                <w:sz w:val="21"/>
                <w:szCs w:val="21"/>
                <w:highlight w:val="none"/>
                <w:lang w:val="en-US" w:eastAsia="zh-CN" w:bidi="ar-SA"/>
              </w:rPr>
            </w:pPr>
            <w:r>
              <w:rPr>
                <w:rFonts w:hint="default" w:ascii="Times New Roman" w:hAnsi="Times New Roman" w:eastAsia="等线" w:cs="Times New Roman"/>
                <w:i w:val="0"/>
                <w:iCs w:val="0"/>
                <w:color w:val="auto"/>
                <w:kern w:val="0"/>
                <w:sz w:val="21"/>
                <w:szCs w:val="21"/>
                <w:highlight w:val="none"/>
                <w:u w:val="none"/>
                <w:lang w:val="en-US" w:eastAsia="zh-CN" w:bidi="ar"/>
              </w:rPr>
              <w:t>16</w:t>
            </w:r>
          </w:p>
        </w:tc>
        <w:tc>
          <w:tcPr>
            <w:tcW w:w="6111" w:type="dxa"/>
            <w:gridSpan w:val="2"/>
            <w:tcBorders>
              <w:top w:val="nil"/>
              <w:left w:val="nil"/>
              <w:bottom w:val="single" w:color="auto" w:sz="4" w:space="0"/>
              <w:right w:val="single" w:color="auto" w:sz="4" w:space="0"/>
            </w:tcBorders>
            <w:shd w:val="clear" w:color="auto" w:fill="auto"/>
            <w:vAlign w:val="center"/>
          </w:tcPr>
          <w:p w14:paraId="37EF2CDC">
            <w:pPr>
              <w:rPr>
                <w:rFonts w:hint="eastAsia" w:ascii="宋体" w:hAnsi="宋体" w:eastAsia="宋体" w:cs="宋体"/>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rPr>
              <w:t>进货时及时录入“一品一码”追溯系统台账（24小时内）；“一品一码”追溯系统台账准确无误，品种齐全</w:t>
            </w:r>
          </w:p>
        </w:tc>
        <w:tc>
          <w:tcPr>
            <w:tcW w:w="613" w:type="dxa"/>
            <w:tcBorders>
              <w:top w:val="nil"/>
              <w:left w:val="nil"/>
              <w:bottom w:val="single" w:color="auto" w:sz="4" w:space="0"/>
              <w:right w:val="single" w:color="auto" w:sz="4" w:space="0"/>
            </w:tcBorders>
            <w:shd w:val="clear" w:color="auto" w:fill="auto"/>
            <w:vAlign w:val="center"/>
          </w:tcPr>
          <w:p w14:paraId="1744F9B7">
            <w:pPr>
              <w:jc w:val="center"/>
              <w:rPr>
                <w:rFonts w:hint="default"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lang w:val="en-US" w:eastAsia="zh-CN"/>
              </w:rPr>
              <w:t>3</w:t>
            </w:r>
          </w:p>
        </w:tc>
        <w:tc>
          <w:tcPr>
            <w:tcW w:w="587" w:type="dxa"/>
            <w:tcBorders>
              <w:top w:val="nil"/>
              <w:left w:val="nil"/>
              <w:bottom w:val="single" w:color="auto" w:sz="4" w:space="0"/>
              <w:right w:val="single" w:color="auto" w:sz="4" w:space="0"/>
            </w:tcBorders>
            <w:shd w:val="clear" w:color="auto" w:fill="auto"/>
            <w:vAlign w:val="center"/>
          </w:tcPr>
          <w:p w14:paraId="1CDC1536">
            <w:pPr>
              <w:jc w:val="center"/>
              <w:rPr>
                <w:rFonts w:hint="eastAsia" w:ascii="Times New Roman" w:hAnsi="Times New Roman" w:eastAsia="宋体" w:cs="Times New Roman"/>
                <w:color w:val="auto"/>
                <w:kern w:val="2"/>
                <w:sz w:val="18"/>
                <w:szCs w:val="18"/>
                <w:highlight w:val="none"/>
                <w:lang w:val="en-US" w:eastAsia="zh-CN" w:bidi="ar-SA"/>
              </w:rPr>
            </w:pPr>
          </w:p>
        </w:tc>
        <w:tc>
          <w:tcPr>
            <w:tcW w:w="2098" w:type="dxa"/>
            <w:tcBorders>
              <w:top w:val="nil"/>
              <w:left w:val="nil"/>
              <w:bottom w:val="single" w:color="auto" w:sz="4" w:space="0"/>
              <w:right w:val="single" w:color="auto" w:sz="4" w:space="0"/>
            </w:tcBorders>
            <w:shd w:val="clear" w:color="auto" w:fill="auto"/>
            <w:vAlign w:val="center"/>
          </w:tcPr>
          <w:p w14:paraId="3144A135">
            <w:pPr>
              <w:jc w:val="center"/>
              <w:rPr>
                <w:rFonts w:hint="eastAsia" w:ascii="Times New Roman" w:hAnsi="Times New Roman" w:eastAsia="宋体" w:cs="Times New Roman"/>
                <w:color w:val="auto"/>
                <w:kern w:val="2"/>
                <w:sz w:val="18"/>
                <w:szCs w:val="18"/>
                <w:highlight w:val="none"/>
                <w:lang w:val="en-US" w:eastAsia="zh-CN" w:bidi="ar-SA"/>
              </w:rPr>
            </w:pPr>
          </w:p>
        </w:tc>
      </w:tr>
      <w:tr w14:paraId="72EF54A8">
        <w:tblPrEx>
          <w:tblCellMar>
            <w:top w:w="0" w:type="dxa"/>
            <w:left w:w="108" w:type="dxa"/>
            <w:bottom w:w="0" w:type="dxa"/>
            <w:right w:w="108" w:type="dxa"/>
          </w:tblCellMar>
        </w:tblPrEx>
        <w:trPr>
          <w:trHeight w:val="9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7A0D5F28">
            <w:pPr>
              <w:keepNext w:val="0"/>
              <w:keepLines w:val="0"/>
              <w:widowControl/>
              <w:suppressLineNumbers w:val="0"/>
              <w:jc w:val="center"/>
              <w:textAlignment w:val="center"/>
              <w:rPr>
                <w:rFonts w:hint="eastAsia" w:ascii="Times New Roman" w:hAnsi="Times New Roman" w:eastAsia="等线" w:cs="Times New Roman"/>
                <w:color w:val="auto"/>
                <w:kern w:val="2"/>
                <w:sz w:val="21"/>
                <w:szCs w:val="21"/>
                <w:highlight w:val="none"/>
                <w:lang w:val="en-US" w:eastAsia="zh-CN" w:bidi="ar-SA"/>
              </w:rPr>
            </w:pPr>
            <w:r>
              <w:rPr>
                <w:rFonts w:hint="default" w:ascii="Times New Roman" w:hAnsi="Times New Roman" w:eastAsia="等线" w:cs="Times New Roman"/>
                <w:i w:val="0"/>
                <w:iCs w:val="0"/>
                <w:color w:val="auto"/>
                <w:kern w:val="0"/>
                <w:sz w:val="21"/>
                <w:szCs w:val="21"/>
                <w:highlight w:val="none"/>
                <w:u w:val="none"/>
                <w:lang w:val="en-US" w:eastAsia="zh-CN" w:bidi="ar"/>
              </w:rPr>
              <w:t>17</w:t>
            </w:r>
          </w:p>
        </w:tc>
        <w:tc>
          <w:tcPr>
            <w:tcW w:w="6111" w:type="dxa"/>
            <w:gridSpan w:val="2"/>
            <w:tcBorders>
              <w:top w:val="nil"/>
              <w:left w:val="nil"/>
              <w:bottom w:val="single" w:color="auto" w:sz="4" w:space="0"/>
              <w:right w:val="single" w:color="auto" w:sz="4" w:space="0"/>
            </w:tcBorders>
            <w:shd w:val="clear" w:color="auto" w:fill="auto"/>
            <w:vAlign w:val="center"/>
          </w:tcPr>
          <w:p w14:paraId="5B64762F">
            <w:pPr>
              <w:rPr>
                <w:rFonts w:hint="default" w:ascii="宋体" w:hAnsi="宋体" w:eastAsia="宋体" w:cs="宋体"/>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rPr>
              <w:t>食材采购索证索票记录齐全</w:t>
            </w:r>
            <w:r>
              <w:rPr>
                <w:rFonts w:hint="eastAsia" w:ascii="Times New Roman" w:hAnsi="Times New Roman" w:eastAsia="宋体" w:cs="Times New Roman"/>
                <w:color w:val="auto"/>
                <w:sz w:val="20"/>
                <w:szCs w:val="20"/>
                <w:highlight w:val="none"/>
                <w:lang w:eastAsia="zh-CN"/>
              </w:rPr>
              <w:t>；</w:t>
            </w:r>
            <w:r>
              <w:rPr>
                <w:rFonts w:hint="eastAsia" w:ascii="Times New Roman" w:hAnsi="Times New Roman" w:eastAsia="宋体" w:cs="Times New Roman"/>
                <w:color w:val="auto"/>
                <w:sz w:val="18"/>
                <w:szCs w:val="18"/>
                <w:highlight w:val="none"/>
              </w:rPr>
              <w:t>食材</w:t>
            </w:r>
            <w:r>
              <w:rPr>
                <w:rFonts w:hint="eastAsia" w:ascii="Times New Roman" w:hAnsi="Times New Roman" w:eastAsia="宋体" w:cs="Times New Roman"/>
                <w:color w:val="auto"/>
                <w:sz w:val="18"/>
                <w:szCs w:val="18"/>
                <w:highlight w:val="none"/>
                <w:lang w:val="en-US" w:eastAsia="zh-CN"/>
              </w:rPr>
              <w:t>验收</w:t>
            </w:r>
            <w:r>
              <w:rPr>
                <w:rFonts w:hint="eastAsia" w:ascii="Times New Roman" w:hAnsi="Times New Roman" w:eastAsia="宋体" w:cs="Times New Roman"/>
                <w:color w:val="auto"/>
                <w:sz w:val="18"/>
                <w:szCs w:val="18"/>
                <w:highlight w:val="none"/>
              </w:rPr>
              <w:t>认真查验，不合格产品及时退还</w:t>
            </w:r>
          </w:p>
        </w:tc>
        <w:tc>
          <w:tcPr>
            <w:tcW w:w="613" w:type="dxa"/>
            <w:tcBorders>
              <w:top w:val="nil"/>
              <w:left w:val="nil"/>
              <w:bottom w:val="single" w:color="auto" w:sz="4" w:space="0"/>
              <w:right w:val="single" w:color="auto" w:sz="4" w:space="0"/>
            </w:tcBorders>
            <w:shd w:val="clear" w:color="auto" w:fill="auto"/>
            <w:vAlign w:val="center"/>
          </w:tcPr>
          <w:p w14:paraId="039F8AD2">
            <w:pPr>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rPr>
              <w:t>3</w:t>
            </w:r>
          </w:p>
        </w:tc>
        <w:tc>
          <w:tcPr>
            <w:tcW w:w="587" w:type="dxa"/>
            <w:tcBorders>
              <w:top w:val="nil"/>
              <w:left w:val="nil"/>
              <w:bottom w:val="single" w:color="auto" w:sz="4" w:space="0"/>
              <w:right w:val="single" w:color="auto" w:sz="4" w:space="0"/>
            </w:tcBorders>
            <w:vAlign w:val="center"/>
          </w:tcPr>
          <w:p w14:paraId="214E3C5F">
            <w:pPr>
              <w:rPr>
                <w:rFonts w:hint="eastAsia" w:ascii="Times New Roman" w:hAnsi="Times New Roman" w:eastAsia="宋体" w:cs="Times New Roman"/>
                <w:color w:val="auto"/>
                <w:sz w:val="18"/>
                <w:szCs w:val="18"/>
                <w:highlight w:val="none"/>
              </w:rPr>
            </w:pPr>
          </w:p>
        </w:tc>
        <w:tc>
          <w:tcPr>
            <w:tcW w:w="2098" w:type="dxa"/>
            <w:tcBorders>
              <w:top w:val="nil"/>
              <w:left w:val="nil"/>
              <w:bottom w:val="single" w:color="auto" w:sz="4" w:space="0"/>
              <w:right w:val="single" w:color="auto" w:sz="4" w:space="0"/>
            </w:tcBorders>
            <w:vAlign w:val="center"/>
          </w:tcPr>
          <w:p w14:paraId="6A8AA01A">
            <w:pPr>
              <w:jc w:val="center"/>
              <w:rPr>
                <w:rFonts w:hint="eastAsia" w:ascii="Times New Roman" w:hAnsi="Times New Roman" w:eastAsia="宋体" w:cs="Times New Roman"/>
                <w:color w:val="auto"/>
                <w:sz w:val="18"/>
                <w:szCs w:val="18"/>
                <w:highlight w:val="none"/>
              </w:rPr>
            </w:pPr>
          </w:p>
        </w:tc>
      </w:tr>
      <w:tr w14:paraId="0BC5276A">
        <w:tblPrEx>
          <w:tblCellMar>
            <w:top w:w="0" w:type="dxa"/>
            <w:left w:w="108" w:type="dxa"/>
            <w:bottom w:w="0" w:type="dxa"/>
            <w:right w:w="108" w:type="dxa"/>
          </w:tblCellMar>
        </w:tblPrEx>
        <w:trPr>
          <w:trHeight w:val="30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6B0F81B1">
            <w:pPr>
              <w:keepNext w:val="0"/>
              <w:keepLines w:val="0"/>
              <w:widowControl/>
              <w:suppressLineNumbers w:val="0"/>
              <w:jc w:val="center"/>
              <w:textAlignment w:val="center"/>
              <w:rPr>
                <w:rFonts w:hint="eastAsia" w:ascii="Times New Roman" w:hAnsi="Times New Roman" w:eastAsia="等线" w:cs="Times New Roman"/>
                <w:color w:val="auto"/>
                <w:kern w:val="2"/>
                <w:sz w:val="21"/>
                <w:szCs w:val="21"/>
                <w:highlight w:val="none"/>
                <w:lang w:val="en-US" w:eastAsia="zh-CN" w:bidi="ar-SA"/>
              </w:rPr>
            </w:pPr>
            <w:r>
              <w:rPr>
                <w:rFonts w:hint="default" w:ascii="Times New Roman" w:hAnsi="Times New Roman" w:eastAsia="等线" w:cs="Times New Roman"/>
                <w:i w:val="0"/>
                <w:iCs w:val="0"/>
                <w:color w:val="auto"/>
                <w:kern w:val="0"/>
                <w:sz w:val="21"/>
                <w:szCs w:val="21"/>
                <w:highlight w:val="none"/>
                <w:u w:val="none"/>
                <w:lang w:val="en-US" w:eastAsia="zh-CN" w:bidi="ar"/>
              </w:rPr>
              <w:t>18</w:t>
            </w:r>
          </w:p>
        </w:tc>
        <w:tc>
          <w:tcPr>
            <w:tcW w:w="6111" w:type="dxa"/>
            <w:gridSpan w:val="2"/>
            <w:tcBorders>
              <w:top w:val="nil"/>
              <w:left w:val="nil"/>
              <w:bottom w:val="single" w:color="auto" w:sz="4" w:space="0"/>
              <w:right w:val="single" w:color="auto" w:sz="4" w:space="0"/>
            </w:tcBorders>
            <w:shd w:val="clear" w:color="auto" w:fill="auto"/>
            <w:vAlign w:val="center"/>
          </w:tcPr>
          <w:p w14:paraId="13DF76F5">
            <w:pPr>
              <w:rPr>
                <w:rFonts w:hint="default" w:ascii="宋体" w:hAnsi="宋体" w:eastAsia="宋体" w:cs="宋体"/>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rPr>
              <w:t>及时进行出入库登记，登记规范、齐全</w:t>
            </w:r>
            <w:r>
              <w:rPr>
                <w:rFonts w:hint="eastAsia" w:ascii="Times New Roman" w:hAnsi="Times New Roman" w:eastAsia="宋体" w:cs="Times New Roman"/>
                <w:color w:val="auto"/>
                <w:sz w:val="18"/>
                <w:szCs w:val="18"/>
                <w:highlight w:val="none"/>
                <w:lang w:eastAsia="zh-CN"/>
              </w:rPr>
              <w:t>；</w:t>
            </w:r>
            <w:r>
              <w:rPr>
                <w:rFonts w:hint="eastAsia" w:ascii="Times New Roman" w:hAnsi="Times New Roman" w:eastAsia="宋体" w:cs="Times New Roman"/>
                <w:color w:val="auto"/>
                <w:sz w:val="18"/>
                <w:szCs w:val="18"/>
                <w:highlight w:val="none"/>
              </w:rPr>
              <w:t>先进先出，合理库存，无过期食品</w:t>
            </w:r>
          </w:p>
        </w:tc>
        <w:tc>
          <w:tcPr>
            <w:tcW w:w="613" w:type="dxa"/>
            <w:tcBorders>
              <w:top w:val="nil"/>
              <w:left w:val="nil"/>
              <w:bottom w:val="single" w:color="auto" w:sz="4" w:space="0"/>
              <w:right w:val="single" w:color="auto" w:sz="4" w:space="0"/>
            </w:tcBorders>
            <w:shd w:val="clear" w:color="auto" w:fill="auto"/>
            <w:vAlign w:val="center"/>
          </w:tcPr>
          <w:p w14:paraId="00F8539A">
            <w:pPr>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lang w:val="en-US" w:eastAsia="zh-CN"/>
              </w:rPr>
              <w:t>2</w:t>
            </w:r>
          </w:p>
        </w:tc>
        <w:tc>
          <w:tcPr>
            <w:tcW w:w="587" w:type="dxa"/>
            <w:tcBorders>
              <w:top w:val="nil"/>
              <w:left w:val="nil"/>
              <w:bottom w:val="single" w:color="auto" w:sz="4" w:space="0"/>
              <w:right w:val="single" w:color="auto" w:sz="4" w:space="0"/>
            </w:tcBorders>
            <w:vAlign w:val="center"/>
          </w:tcPr>
          <w:p w14:paraId="749218B0">
            <w:pPr>
              <w:rPr>
                <w:rFonts w:hint="eastAsia"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　</w:t>
            </w:r>
          </w:p>
        </w:tc>
        <w:tc>
          <w:tcPr>
            <w:tcW w:w="2098" w:type="dxa"/>
            <w:tcBorders>
              <w:top w:val="nil"/>
              <w:left w:val="nil"/>
              <w:bottom w:val="single" w:color="auto" w:sz="4" w:space="0"/>
              <w:right w:val="single" w:color="auto" w:sz="4" w:space="0"/>
            </w:tcBorders>
            <w:vAlign w:val="center"/>
          </w:tcPr>
          <w:p w14:paraId="57E4D06D">
            <w:pPr>
              <w:jc w:val="center"/>
              <w:rPr>
                <w:rFonts w:hint="eastAsia" w:ascii="Times New Roman" w:hAnsi="Times New Roman" w:eastAsia="宋体" w:cs="Times New Roman"/>
                <w:color w:val="auto"/>
                <w:sz w:val="18"/>
                <w:szCs w:val="18"/>
                <w:highlight w:val="none"/>
              </w:rPr>
            </w:pPr>
          </w:p>
        </w:tc>
      </w:tr>
      <w:tr w14:paraId="16556F71">
        <w:tblPrEx>
          <w:tblCellMar>
            <w:top w:w="0" w:type="dxa"/>
            <w:left w:w="108" w:type="dxa"/>
            <w:bottom w:w="0" w:type="dxa"/>
            <w:right w:w="108" w:type="dxa"/>
          </w:tblCellMar>
        </w:tblPrEx>
        <w:trPr>
          <w:trHeight w:val="30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4D056634">
            <w:pPr>
              <w:keepNext w:val="0"/>
              <w:keepLines w:val="0"/>
              <w:widowControl/>
              <w:suppressLineNumbers w:val="0"/>
              <w:jc w:val="center"/>
              <w:textAlignment w:val="center"/>
              <w:rPr>
                <w:rFonts w:hint="default" w:ascii="Times New Roman" w:hAnsi="Times New Roman" w:eastAsia="等线" w:cs="Times New Roman"/>
                <w:color w:val="auto"/>
                <w:kern w:val="2"/>
                <w:sz w:val="21"/>
                <w:szCs w:val="21"/>
                <w:highlight w:val="none"/>
                <w:lang w:val="en-US" w:eastAsia="zh-CN" w:bidi="ar-SA"/>
              </w:rPr>
            </w:pPr>
            <w:r>
              <w:rPr>
                <w:rFonts w:hint="default" w:ascii="Times New Roman" w:hAnsi="Times New Roman" w:eastAsia="等线" w:cs="Times New Roman"/>
                <w:i w:val="0"/>
                <w:iCs w:val="0"/>
                <w:color w:val="auto"/>
                <w:kern w:val="0"/>
                <w:sz w:val="21"/>
                <w:szCs w:val="21"/>
                <w:highlight w:val="none"/>
                <w:u w:val="none"/>
                <w:lang w:val="en-US" w:eastAsia="zh-CN" w:bidi="ar"/>
              </w:rPr>
              <w:t>19</w:t>
            </w:r>
          </w:p>
        </w:tc>
        <w:tc>
          <w:tcPr>
            <w:tcW w:w="6111" w:type="dxa"/>
            <w:gridSpan w:val="2"/>
            <w:tcBorders>
              <w:top w:val="nil"/>
              <w:left w:val="nil"/>
              <w:bottom w:val="single" w:color="auto" w:sz="4" w:space="0"/>
              <w:right w:val="single" w:color="auto" w:sz="4" w:space="0"/>
            </w:tcBorders>
            <w:shd w:val="clear" w:color="auto" w:fill="auto"/>
            <w:vAlign w:val="center"/>
          </w:tcPr>
          <w:p w14:paraId="4B15740E">
            <w:pPr>
              <w:rPr>
                <w:rFonts w:hint="eastAsia" w:ascii="Times New Roman" w:hAnsi="Times New Roman" w:eastAsia="宋体" w:cs="Times New Roman"/>
                <w:color w:val="auto"/>
                <w:sz w:val="20"/>
                <w:szCs w:val="20"/>
                <w:highlight w:val="none"/>
              </w:rPr>
            </w:pPr>
            <w:r>
              <w:rPr>
                <w:rFonts w:hint="eastAsia" w:ascii="Times New Roman" w:hAnsi="Times New Roman" w:eastAsia="宋体" w:cs="Times New Roman"/>
                <w:color w:val="auto"/>
                <w:sz w:val="18"/>
                <w:szCs w:val="18"/>
                <w:highlight w:val="none"/>
              </w:rPr>
              <w:t>主食</w:t>
            </w:r>
            <w:r>
              <w:rPr>
                <w:rFonts w:hint="eastAsia" w:ascii="Times New Roman" w:hAnsi="Times New Roman" w:eastAsia="宋体" w:cs="Times New Roman"/>
                <w:color w:val="auto"/>
                <w:sz w:val="18"/>
                <w:szCs w:val="18"/>
                <w:highlight w:val="none"/>
                <w:lang w:eastAsia="zh-CN"/>
              </w:rPr>
              <w:t>、</w:t>
            </w:r>
            <w:r>
              <w:rPr>
                <w:rFonts w:hint="eastAsia" w:ascii="Times New Roman" w:hAnsi="Times New Roman" w:eastAsia="宋体" w:cs="Times New Roman"/>
                <w:color w:val="auto"/>
                <w:sz w:val="18"/>
                <w:szCs w:val="18"/>
                <w:highlight w:val="none"/>
                <w:lang w:val="en-US" w:eastAsia="zh-CN"/>
              </w:rPr>
              <w:t>副食</w:t>
            </w:r>
            <w:r>
              <w:rPr>
                <w:rFonts w:hint="eastAsia" w:ascii="Times New Roman" w:hAnsi="Times New Roman" w:eastAsia="宋体" w:cs="Times New Roman"/>
                <w:color w:val="auto"/>
                <w:sz w:val="18"/>
                <w:szCs w:val="18"/>
                <w:highlight w:val="none"/>
              </w:rPr>
              <w:t>仓库物品摆放整齐、标识清晰、离墙离地</w:t>
            </w:r>
          </w:p>
        </w:tc>
        <w:tc>
          <w:tcPr>
            <w:tcW w:w="613" w:type="dxa"/>
            <w:tcBorders>
              <w:top w:val="nil"/>
              <w:left w:val="nil"/>
              <w:bottom w:val="single" w:color="auto" w:sz="4" w:space="0"/>
              <w:right w:val="single" w:color="auto" w:sz="4" w:space="0"/>
            </w:tcBorders>
            <w:shd w:val="clear" w:color="auto" w:fill="auto"/>
            <w:vAlign w:val="center"/>
          </w:tcPr>
          <w:p w14:paraId="5A4A0D83">
            <w:pPr>
              <w:jc w:val="center"/>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2</w:t>
            </w:r>
          </w:p>
        </w:tc>
        <w:tc>
          <w:tcPr>
            <w:tcW w:w="587" w:type="dxa"/>
            <w:tcBorders>
              <w:top w:val="nil"/>
              <w:left w:val="nil"/>
              <w:bottom w:val="single" w:color="auto" w:sz="4" w:space="0"/>
              <w:right w:val="single" w:color="auto" w:sz="4" w:space="0"/>
            </w:tcBorders>
            <w:vAlign w:val="center"/>
          </w:tcPr>
          <w:p w14:paraId="36413044">
            <w:pPr>
              <w:rPr>
                <w:rFonts w:hint="eastAsia" w:ascii="Times New Roman" w:hAnsi="Times New Roman" w:eastAsia="宋体" w:cs="Times New Roman"/>
                <w:color w:val="auto"/>
                <w:sz w:val="18"/>
                <w:szCs w:val="18"/>
                <w:highlight w:val="none"/>
              </w:rPr>
            </w:pPr>
          </w:p>
        </w:tc>
        <w:tc>
          <w:tcPr>
            <w:tcW w:w="2098" w:type="dxa"/>
            <w:tcBorders>
              <w:top w:val="nil"/>
              <w:left w:val="nil"/>
              <w:bottom w:val="single" w:color="auto" w:sz="4" w:space="0"/>
              <w:right w:val="single" w:color="auto" w:sz="4" w:space="0"/>
            </w:tcBorders>
            <w:vAlign w:val="center"/>
          </w:tcPr>
          <w:p w14:paraId="14939AC2">
            <w:pPr>
              <w:jc w:val="center"/>
              <w:rPr>
                <w:rFonts w:hint="eastAsia" w:ascii="Times New Roman" w:hAnsi="Times New Roman" w:eastAsia="宋体" w:cs="Times New Roman"/>
                <w:color w:val="auto"/>
                <w:sz w:val="18"/>
                <w:szCs w:val="18"/>
                <w:highlight w:val="none"/>
              </w:rPr>
            </w:pPr>
          </w:p>
        </w:tc>
      </w:tr>
      <w:tr w14:paraId="0F41968C">
        <w:tblPrEx>
          <w:tblCellMar>
            <w:top w:w="0" w:type="dxa"/>
            <w:left w:w="108" w:type="dxa"/>
            <w:bottom w:w="0" w:type="dxa"/>
            <w:right w:w="108" w:type="dxa"/>
          </w:tblCellMar>
        </w:tblPrEx>
        <w:trPr>
          <w:trHeight w:val="30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6D805443">
            <w:pPr>
              <w:keepNext w:val="0"/>
              <w:keepLines w:val="0"/>
              <w:widowControl/>
              <w:suppressLineNumbers w:val="0"/>
              <w:jc w:val="center"/>
              <w:textAlignment w:val="center"/>
              <w:rPr>
                <w:rFonts w:hint="default" w:ascii="Times New Roman" w:hAnsi="Times New Roman" w:eastAsia="等线" w:cs="Times New Roman"/>
                <w:color w:val="auto"/>
                <w:kern w:val="2"/>
                <w:sz w:val="21"/>
                <w:szCs w:val="21"/>
                <w:highlight w:val="none"/>
                <w:lang w:val="en-US" w:eastAsia="zh-CN" w:bidi="ar-SA"/>
              </w:rPr>
            </w:pPr>
            <w:r>
              <w:rPr>
                <w:rFonts w:hint="default" w:ascii="Times New Roman" w:hAnsi="Times New Roman" w:eastAsia="等线" w:cs="Times New Roman"/>
                <w:i w:val="0"/>
                <w:iCs w:val="0"/>
                <w:color w:val="auto"/>
                <w:kern w:val="0"/>
                <w:sz w:val="21"/>
                <w:szCs w:val="21"/>
                <w:highlight w:val="none"/>
                <w:u w:val="none"/>
                <w:lang w:val="en-US" w:eastAsia="zh-CN" w:bidi="ar"/>
              </w:rPr>
              <w:t>20</w:t>
            </w:r>
          </w:p>
        </w:tc>
        <w:tc>
          <w:tcPr>
            <w:tcW w:w="6111" w:type="dxa"/>
            <w:gridSpan w:val="2"/>
            <w:tcBorders>
              <w:top w:val="nil"/>
              <w:left w:val="nil"/>
              <w:bottom w:val="single" w:color="auto" w:sz="4" w:space="0"/>
              <w:right w:val="single" w:color="auto" w:sz="4" w:space="0"/>
            </w:tcBorders>
            <w:shd w:val="clear" w:color="auto" w:fill="auto"/>
            <w:vAlign w:val="center"/>
          </w:tcPr>
          <w:p w14:paraId="4DD8C121">
            <w:pPr>
              <w:rPr>
                <w:rFonts w:hint="eastAsia" w:ascii="Times New Roman" w:hAnsi="Times New Roman" w:eastAsia="宋体" w:cs="Times New Roman"/>
                <w:color w:val="auto"/>
                <w:sz w:val="20"/>
                <w:szCs w:val="20"/>
                <w:highlight w:val="none"/>
              </w:rPr>
            </w:pPr>
            <w:r>
              <w:rPr>
                <w:rFonts w:hint="eastAsia" w:ascii="Times New Roman" w:hAnsi="Times New Roman" w:eastAsia="宋体" w:cs="Times New Roman"/>
                <w:color w:val="auto"/>
                <w:sz w:val="18"/>
                <w:szCs w:val="18"/>
                <w:highlight w:val="none"/>
              </w:rPr>
              <w:t>主、副食仓库散装食品规范存放</w:t>
            </w:r>
            <w:r>
              <w:rPr>
                <w:rFonts w:hint="eastAsia" w:ascii="Times New Roman" w:hAnsi="Times New Roman" w:eastAsia="宋体" w:cs="Times New Roman"/>
                <w:color w:val="auto"/>
                <w:sz w:val="18"/>
                <w:szCs w:val="18"/>
                <w:highlight w:val="none"/>
                <w:lang w:eastAsia="zh-CN"/>
              </w:rPr>
              <w:t>，</w:t>
            </w:r>
            <w:r>
              <w:rPr>
                <w:rFonts w:hint="eastAsia" w:ascii="Times New Roman" w:hAnsi="Times New Roman" w:eastAsia="宋体" w:cs="Times New Roman"/>
                <w:color w:val="auto"/>
                <w:sz w:val="18"/>
                <w:szCs w:val="18"/>
                <w:highlight w:val="none"/>
                <w:lang w:val="en-US" w:eastAsia="zh-CN"/>
              </w:rPr>
              <w:t>及时</w:t>
            </w:r>
            <w:r>
              <w:rPr>
                <w:rFonts w:hint="eastAsia" w:ascii="Times New Roman" w:hAnsi="Times New Roman" w:eastAsia="宋体" w:cs="Times New Roman"/>
                <w:color w:val="auto"/>
                <w:sz w:val="18"/>
                <w:szCs w:val="18"/>
                <w:highlight w:val="none"/>
              </w:rPr>
              <w:t>填写</w:t>
            </w:r>
            <w:r>
              <w:rPr>
                <w:rFonts w:hint="eastAsia" w:ascii="Times New Roman" w:hAnsi="Times New Roman" w:eastAsia="宋体" w:cs="Times New Roman"/>
                <w:color w:val="auto"/>
                <w:sz w:val="18"/>
                <w:szCs w:val="18"/>
                <w:highlight w:val="none"/>
                <w:lang w:val="en-US" w:eastAsia="zh-CN"/>
              </w:rPr>
              <w:t>并更新</w:t>
            </w:r>
            <w:r>
              <w:rPr>
                <w:rFonts w:hint="eastAsia" w:ascii="Times New Roman" w:hAnsi="Times New Roman" w:eastAsia="宋体" w:cs="Times New Roman"/>
                <w:color w:val="auto"/>
                <w:sz w:val="18"/>
                <w:szCs w:val="18"/>
                <w:highlight w:val="none"/>
              </w:rPr>
              <w:t>散装食品标签</w:t>
            </w:r>
          </w:p>
        </w:tc>
        <w:tc>
          <w:tcPr>
            <w:tcW w:w="613" w:type="dxa"/>
            <w:tcBorders>
              <w:top w:val="nil"/>
              <w:left w:val="nil"/>
              <w:bottom w:val="single" w:color="auto" w:sz="4" w:space="0"/>
              <w:right w:val="single" w:color="auto" w:sz="4" w:space="0"/>
            </w:tcBorders>
            <w:shd w:val="clear" w:color="auto" w:fill="auto"/>
            <w:vAlign w:val="center"/>
          </w:tcPr>
          <w:p w14:paraId="1A0BFBAD">
            <w:pPr>
              <w:jc w:val="center"/>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2</w:t>
            </w:r>
          </w:p>
        </w:tc>
        <w:tc>
          <w:tcPr>
            <w:tcW w:w="587" w:type="dxa"/>
            <w:tcBorders>
              <w:top w:val="nil"/>
              <w:left w:val="nil"/>
              <w:bottom w:val="single" w:color="auto" w:sz="4" w:space="0"/>
              <w:right w:val="single" w:color="auto" w:sz="4" w:space="0"/>
            </w:tcBorders>
            <w:vAlign w:val="center"/>
          </w:tcPr>
          <w:p w14:paraId="1795A1CF">
            <w:pPr>
              <w:rPr>
                <w:rFonts w:hint="eastAsia" w:ascii="Times New Roman" w:hAnsi="Times New Roman" w:eastAsia="宋体" w:cs="Times New Roman"/>
                <w:color w:val="auto"/>
                <w:sz w:val="18"/>
                <w:szCs w:val="18"/>
                <w:highlight w:val="none"/>
              </w:rPr>
            </w:pPr>
          </w:p>
        </w:tc>
        <w:tc>
          <w:tcPr>
            <w:tcW w:w="2098" w:type="dxa"/>
            <w:tcBorders>
              <w:top w:val="nil"/>
              <w:left w:val="nil"/>
              <w:bottom w:val="single" w:color="auto" w:sz="4" w:space="0"/>
              <w:right w:val="single" w:color="auto" w:sz="4" w:space="0"/>
            </w:tcBorders>
            <w:vAlign w:val="center"/>
          </w:tcPr>
          <w:p w14:paraId="7D0CB416">
            <w:pPr>
              <w:jc w:val="center"/>
              <w:rPr>
                <w:rFonts w:hint="eastAsia" w:ascii="Times New Roman" w:hAnsi="Times New Roman" w:eastAsia="宋体" w:cs="Times New Roman"/>
                <w:color w:val="auto"/>
                <w:sz w:val="18"/>
                <w:szCs w:val="18"/>
                <w:highlight w:val="none"/>
              </w:rPr>
            </w:pPr>
          </w:p>
        </w:tc>
      </w:tr>
      <w:tr w14:paraId="1B42D0E8">
        <w:tblPrEx>
          <w:tblCellMar>
            <w:top w:w="0" w:type="dxa"/>
            <w:left w:w="108" w:type="dxa"/>
            <w:bottom w:w="0" w:type="dxa"/>
            <w:right w:w="108" w:type="dxa"/>
          </w:tblCellMar>
        </w:tblPrEx>
        <w:trPr>
          <w:trHeight w:val="30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6AF5A2DC">
            <w:pPr>
              <w:keepNext w:val="0"/>
              <w:keepLines w:val="0"/>
              <w:widowControl/>
              <w:suppressLineNumbers w:val="0"/>
              <w:jc w:val="center"/>
              <w:textAlignment w:val="center"/>
              <w:rPr>
                <w:rFonts w:hint="default" w:ascii="Times New Roman" w:hAnsi="Times New Roman" w:eastAsia="等线" w:cs="Times New Roman"/>
                <w:color w:val="auto"/>
                <w:kern w:val="2"/>
                <w:sz w:val="21"/>
                <w:szCs w:val="21"/>
                <w:highlight w:val="none"/>
                <w:lang w:val="en-US" w:eastAsia="zh-CN" w:bidi="ar-SA"/>
              </w:rPr>
            </w:pPr>
            <w:r>
              <w:rPr>
                <w:rFonts w:hint="default" w:ascii="Times New Roman" w:hAnsi="Times New Roman" w:eastAsia="等线" w:cs="Times New Roman"/>
                <w:i w:val="0"/>
                <w:iCs w:val="0"/>
                <w:color w:val="auto"/>
                <w:kern w:val="0"/>
                <w:sz w:val="21"/>
                <w:szCs w:val="21"/>
                <w:highlight w:val="none"/>
                <w:u w:val="none"/>
                <w:lang w:val="en-US" w:eastAsia="zh-CN" w:bidi="ar"/>
              </w:rPr>
              <w:t>21</w:t>
            </w:r>
          </w:p>
        </w:tc>
        <w:tc>
          <w:tcPr>
            <w:tcW w:w="6111" w:type="dxa"/>
            <w:gridSpan w:val="2"/>
            <w:tcBorders>
              <w:top w:val="nil"/>
              <w:left w:val="nil"/>
              <w:bottom w:val="single" w:color="auto" w:sz="4" w:space="0"/>
              <w:right w:val="single" w:color="auto" w:sz="4" w:space="0"/>
            </w:tcBorders>
            <w:shd w:val="clear" w:color="auto" w:fill="auto"/>
            <w:vAlign w:val="center"/>
          </w:tcPr>
          <w:p w14:paraId="5D592995">
            <w:pPr>
              <w:rPr>
                <w:rFonts w:hint="eastAsia" w:ascii="宋体" w:hAnsi="宋体" w:eastAsia="宋体" w:cs="宋体"/>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rPr>
              <w:t>食堂价菜品明码标价，</w:t>
            </w:r>
            <w:r>
              <w:rPr>
                <w:rFonts w:hint="eastAsia" w:ascii="Times New Roman" w:hAnsi="Times New Roman" w:eastAsia="宋体" w:cs="Times New Roman"/>
                <w:color w:val="auto"/>
                <w:sz w:val="18"/>
                <w:szCs w:val="18"/>
                <w:highlight w:val="none"/>
                <w:lang w:val="en-US" w:eastAsia="zh-CN"/>
              </w:rPr>
              <w:t>质价</w:t>
            </w:r>
            <w:r>
              <w:rPr>
                <w:rFonts w:hint="eastAsia" w:ascii="Times New Roman" w:hAnsi="Times New Roman" w:eastAsia="宋体" w:cs="Times New Roman"/>
                <w:color w:val="auto"/>
                <w:sz w:val="18"/>
                <w:szCs w:val="18"/>
                <w:highlight w:val="none"/>
              </w:rPr>
              <w:t>相符</w:t>
            </w:r>
            <w:r>
              <w:rPr>
                <w:rFonts w:hint="eastAsia" w:ascii="Times New Roman" w:hAnsi="Times New Roman" w:eastAsia="宋体" w:cs="Times New Roman"/>
                <w:color w:val="auto"/>
                <w:sz w:val="18"/>
                <w:szCs w:val="18"/>
                <w:highlight w:val="none"/>
                <w:lang w:eastAsia="zh-CN"/>
              </w:rPr>
              <w:t>，</w:t>
            </w:r>
            <w:r>
              <w:rPr>
                <w:rFonts w:hint="eastAsia" w:ascii="Times New Roman" w:hAnsi="Times New Roman" w:eastAsia="宋体" w:cs="Times New Roman"/>
                <w:color w:val="auto"/>
                <w:sz w:val="18"/>
                <w:szCs w:val="18"/>
                <w:highlight w:val="none"/>
                <w:lang w:val="en-US" w:eastAsia="zh-CN"/>
              </w:rPr>
              <w:t>每周公示营养菜谱</w:t>
            </w:r>
          </w:p>
        </w:tc>
        <w:tc>
          <w:tcPr>
            <w:tcW w:w="613" w:type="dxa"/>
            <w:tcBorders>
              <w:top w:val="nil"/>
              <w:left w:val="nil"/>
              <w:bottom w:val="single" w:color="auto" w:sz="4" w:space="0"/>
              <w:right w:val="single" w:color="auto" w:sz="4" w:space="0"/>
            </w:tcBorders>
            <w:shd w:val="clear" w:color="auto" w:fill="auto"/>
            <w:vAlign w:val="center"/>
          </w:tcPr>
          <w:p w14:paraId="35D0C8A9">
            <w:pPr>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lang w:val="en-US" w:eastAsia="zh-CN"/>
              </w:rPr>
              <w:t>2</w:t>
            </w:r>
          </w:p>
        </w:tc>
        <w:tc>
          <w:tcPr>
            <w:tcW w:w="587" w:type="dxa"/>
            <w:tcBorders>
              <w:top w:val="nil"/>
              <w:left w:val="nil"/>
              <w:bottom w:val="single" w:color="auto" w:sz="4" w:space="0"/>
              <w:right w:val="single" w:color="auto" w:sz="4" w:space="0"/>
            </w:tcBorders>
            <w:shd w:val="clear" w:color="auto" w:fill="auto"/>
            <w:vAlign w:val="center"/>
          </w:tcPr>
          <w:p w14:paraId="390FBBAF">
            <w:pP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rPr>
              <w:t>　</w:t>
            </w:r>
          </w:p>
        </w:tc>
        <w:tc>
          <w:tcPr>
            <w:tcW w:w="2098" w:type="dxa"/>
            <w:tcBorders>
              <w:top w:val="nil"/>
              <w:left w:val="nil"/>
              <w:bottom w:val="single" w:color="auto" w:sz="4" w:space="0"/>
              <w:right w:val="single" w:color="auto" w:sz="4" w:space="0"/>
            </w:tcBorders>
            <w:shd w:val="clear" w:color="auto" w:fill="auto"/>
            <w:vAlign w:val="center"/>
          </w:tcPr>
          <w:p w14:paraId="552B2F60">
            <w:pPr>
              <w:jc w:val="center"/>
              <w:rPr>
                <w:rFonts w:hint="eastAsia" w:ascii="Times New Roman" w:hAnsi="Times New Roman" w:eastAsia="宋体" w:cs="Times New Roman"/>
                <w:color w:val="auto"/>
                <w:kern w:val="2"/>
                <w:sz w:val="18"/>
                <w:szCs w:val="18"/>
                <w:highlight w:val="none"/>
                <w:lang w:val="en-US" w:eastAsia="zh-CN" w:bidi="ar-SA"/>
              </w:rPr>
            </w:pPr>
          </w:p>
        </w:tc>
      </w:tr>
      <w:tr w14:paraId="62053E1D">
        <w:tblPrEx>
          <w:tblCellMar>
            <w:top w:w="0" w:type="dxa"/>
            <w:left w:w="108" w:type="dxa"/>
            <w:bottom w:w="0" w:type="dxa"/>
            <w:right w:w="108" w:type="dxa"/>
          </w:tblCellMar>
        </w:tblPrEx>
        <w:trPr>
          <w:trHeight w:val="30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552B3E0A">
            <w:pPr>
              <w:keepNext w:val="0"/>
              <w:keepLines w:val="0"/>
              <w:widowControl/>
              <w:suppressLineNumbers w:val="0"/>
              <w:jc w:val="center"/>
              <w:textAlignment w:val="center"/>
              <w:rPr>
                <w:rFonts w:hint="default" w:ascii="Times New Roman" w:hAnsi="Times New Roman" w:eastAsia="等线" w:cs="Times New Roman"/>
                <w:color w:val="auto"/>
                <w:kern w:val="2"/>
                <w:sz w:val="21"/>
                <w:szCs w:val="21"/>
                <w:highlight w:val="none"/>
                <w:lang w:val="en-US" w:eastAsia="zh-CN" w:bidi="ar-SA"/>
              </w:rPr>
            </w:pPr>
            <w:r>
              <w:rPr>
                <w:rFonts w:hint="default" w:ascii="Times New Roman" w:hAnsi="Times New Roman" w:eastAsia="等线" w:cs="Times New Roman"/>
                <w:i w:val="0"/>
                <w:iCs w:val="0"/>
                <w:color w:val="auto"/>
                <w:kern w:val="0"/>
                <w:sz w:val="21"/>
                <w:szCs w:val="21"/>
                <w:highlight w:val="none"/>
                <w:u w:val="none"/>
                <w:lang w:val="en-US" w:eastAsia="zh-CN" w:bidi="ar"/>
              </w:rPr>
              <w:t>22</w:t>
            </w:r>
          </w:p>
        </w:tc>
        <w:tc>
          <w:tcPr>
            <w:tcW w:w="6111" w:type="dxa"/>
            <w:gridSpan w:val="2"/>
            <w:tcBorders>
              <w:top w:val="nil"/>
              <w:left w:val="nil"/>
              <w:bottom w:val="single" w:color="auto" w:sz="4" w:space="0"/>
              <w:right w:val="single" w:color="auto" w:sz="4" w:space="0"/>
            </w:tcBorders>
            <w:shd w:val="clear" w:color="auto" w:fill="auto"/>
            <w:vAlign w:val="center"/>
          </w:tcPr>
          <w:p w14:paraId="6778FEEE">
            <w:pPr>
              <w:rPr>
                <w:rFonts w:hint="eastAsia" w:ascii="宋体" w:hAnsi="宋体" w:eastAsia="宋体" w:cs="宋体"/>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rPr>
              <w:t>按计划周菜谱执行饭菜加工，无随意加工现象</w:t>
            </w:r>
          </w:p>
        </w:tc>
        <w:tc>
          <w:tcPr>
            <w:tcW w:w="613" w:type="dxa"/>
            <w:tcBorders>
              <w:top w:val="nil"/>
              <w:left w:val="nil"/>
              <w:bottom w:val="single" w:color="auto" w:sz="4" w:space="0"/>
              <w:right w:val="single" w:color="auto" w:sz="4" w:space="0"/>
            </w:tcBorders>
            <w:shd w:val="clear" w:color="auto" w:fill="auto"/>
            <w:vAlign w:val="center"/>
          </w:tcPr>
          <w:p w14:paraId="5D3FA0F3">
            <w:pPr>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1</w:t>
            </w:r>
          </w:p>
        </w:tc>
        <w:tc>
          <w:tcPr>
            <w:tcW w:w="587" w:type="dxa"/>
            <w:tcBorders>
              <w:top w:val="nil"/>
              <w:left w:val="nil"/>
              <w:bottom w:val="single" w:color="auto" w:sz="4" w:space="0"/>
              <w:right w:val="single" w:color="auto" w:sz="4" w:space="0"/>
            </w:tcBorders>
            <w:shd w:val="clear" w:color="auto" w:fill="auto"/>
            <w:vAlign w:val="center"/>
          </w:tcPr>
          <w:p w14:paraId="1A55B333">
            <w:pPr>
              <w:rPr>
                <w:rFonts w:hint="eastAsia" w:ascii="Times New Roman" w:hAnsi="Times New Roman" w:eastAsia="宋体" w:cs="Times New Roman"/>
                <w:color w:val="auto"/>
                <w:sz w:val="18"/>
                <w:szCs w:val="18"/>
                <w:highlight w:val="none"/>
              </w:rPr>
            </w:pPr>
          </w:p>
        </w:tc>
        <w:tc>
          <w:tcPr>
            <w:tcW w:w="2098" w:type="dxa"/>
            <w:tcBorders>
              <w:top w:val="nil"/>
              <w:left w:val="nil"/>
              <w:bottom w:val="single" w:color="auto" w:sz="4" w:space="0"/>
              <w:right w:val="single" w:color="auto" w:sz="4" w:space="0"/>
            </w:tcBorders>
            <w:shd w:val="clear" w:color="auto" w:fill="auto"/>
            <w:vAlign w:val="center"/>
          </w:tcPr>
          <w:p w14:paraId="3B7DCCCF">
            <w:pPr>
              <w:jc w:val="center"/>
              <w:rPr>
                <w:rFonts w:hint="eastAsia" w:ascii="Times New Roman" w:hAnsi="Times New Roman" w:eastAsia="宋体" w:cs="Times New Roman"/>
                <w:color w:val="auto"/>
                <w:kern w:val="2"/>
                <w:sz w:val="18"/>
                <w:szCs w:val="18"/>
                <w:highlight w:val="none"/>
                <w:lang w:val="en-US" w:eastAsia="zh-CN" w:bidi="ar-SA"/>
              </w:rPr>
            </w:pPr>
          </w:p>
        </w:tc>
      </w:tr>
      <w:tr w14:paraId="59AF2DFA">
        <w:tblPrEx>
          <w:tblCellMar>
            <w:top w:w="0" w:type="dxa"/>
            <w:left w:w="108" w:type="dxa"/>
            <w:bottom w:w="0" w:type="dxa"/>
            <w:right w:w="108" w:type="dxa"/>
          </w:tblCellMar>
        </w:tblPrEx>
        <w:trPr>
          <w:trHeight w:val="30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45E60B81">
            <w:pPr>
              <w:keepNext w:val="0"/>
              <w:keepLines w:val="0"/>
              <w:widowControl/>
              <w:suppressLineNumbers w:val="0"/>
              <w:jc w:val="center"/>
              <w:textAlignment w:val="center"/>
              <w:rPr>
                <w:rFonts w:hint="default" w:ascii="Times New Roman" w:hAnsi="Times New Roman" w:eastAsia="等线" w:cs="Times New Roman"/>
                <w:color w:val="auto"/>
                <w:kern w:val="2"/>
                <w:sz w:val="21"/>
                <w:szCs w:val="21"/>
                <w:highlight w:val="none"/>
                <w:lang w:val="en-US" w:eastAsia="zh-CN" w:bidi="ar-SA"/>
              </w:rPr>
            </w:pPr>
            <w:r>
              <w:rPr>
                <w:rFonts w:hint="default" w:ascii="Times New Roman" w:hAnsi="Times New Roman" w:eastAsia="等线" w:cs="Times New Roman"/>
                <w:i w:val="0"/>
                <w:iCs w:val="0"/>
                <w:color w:val="auto"/>
                <w:kern w:val="0"/>
                <w:sz w:val="21"/>
                <w:szCs w:val="21"/>
                <w:highlight w:val="none"/>
                <w:u w:val="none"/>
                <w:lang w:val="en-US" w:eastAsia="zh-CN" w:bidi="ar"/>
              </w:rPr>
              <w:t>23</w:t>
            </w:r>
          </w:p>
        </w:tc>
        <w:tc>
          <w:tcPr>
            <w:tcW w:w="6111" w:type="dxa"/>
            <w:gridSpan w:val="2"/>
            <w:tcBorders>
              <w:top w:val="nil"/>
              <w:left w:val="nil"/>
              <w:bottom w:val="single" w:color="auto" w:sz="4" w:space="0"/>
              <w:right w:val="single" w:color="auto" w:sz="4" w:space="0"/>
            </w:tcBorders>
            <w:shd w:val="clear" w:color="auto" w:fill="auto"/>
            <w:vAlign w:val="center"/>
          </w:tcPr>
          <w:p w14:paraId="73D07489">
            <w:pPr>
              <w:rPr>
                <w:rFonts w:hint="eastAsia" w:ascii="宋体" w:hAnsi="宋体" w:eastAsia="宋体" w:cs="宋体"/>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rPr>
              <w:t>冷库无超量、超期库存，菜品采购量控制合理</w:t>
            </w:r>
          </w:p>
        </w:tc>
        <w:tc>
          <w:tcPr>
            <w:tcW w:w="613" w:type="dxa"/>
            <w:tcBorders>
              <w:top w:val="nil"/>
              <w:left w:val="nil"/>
              <w:bottom w:val="single" w:color="auto" w:sz="4" w:space="0"/>
              <w:right w:val="single" w:color="auto" w:sz="4" w:space="0"/>
            </w:tcBorders>
            <w:shd w:val="clear" w:color="auto" w:fill="auto"/>
            <w:vAlign w:val="center"/>
          </w:tcPr>
          <w:p w14:paraId="47335233">
            <w:pPr>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1</w:t>
            </w:r>
          </w:p>
        </w:tc>
        <w:tc>
          <w:tcPr>
            <w:tcW w:w="587" w:type="dxa"/>
            <w:tcBorders>
              <w:top w:val="nil"/>
              <w:left w:val="nil"/>
              <w:bottom w:val="single" w:color="auto" w:sz="4" w:space="0"/>
              <w:right w:val="single" w:color="auto" w:sz="4" w:space="0"/>
            </w:tcBorders>
            <w:shd w:val="clear" w:color="auto" w:fill="auto"/>
            <w:vAlign w:val="center"/>
          </w:tcPr>
          <w:p w14:paraId="536A6D8A">
            <w:pPr>
              <w:rPr>
                <w:rFonts w:hint="eastAsia" w:ascii="Times New Roman" w:hAnsi="Times New Roman" w:eastAsia="宋体" w:cs="Times New Roman"/>
                <w:color w:val="auto"/>
                <w:sz w:val="18"/>
                <w:szCs w:val="18"/>
                <w:highlight w:val="none"/>
              </w:rPr>
            </w:pPr>
          </w:p>
        </w:tc>
        <w:tc>
          <w:tcPr>
            <w:tcW w:w="2098" w:type="dxa"/>
            <w:tcBorders>
              <w:top w:val="nil"/>
              <w:left w:val="nil"/>
              <w:bottom w:val="single" w:color="auto" w:sz="4" w:space="0"/>
              <w:right w:val="single" w:color="auto" w:sz="4" w:space="0"/>
            </w:tcBorders>
            <w:shd w:val="clear" w:color="auto" w:fill="auto"/>
            <w:vAlign w:val="center"/>
          </w:tcPr>
          <w:p w14:paraId="6C66931E">
            <w:pPr>
              <w:jc w:val="center"/>
              <w:rPr>
                <w:rFonts w:hint="eastAsia" w:ascii="Times New Roman" w:hAnsi="Times New Roman" w:eastAsia="宋体" w:cs="Times New Roman"/>
                <w:color w:val="auto"/>
                <w:kern w:val="2"/>
                <w:sz w:val="18"/>
                <w:szCs w:val="18"/>
                <w:highlight w:val="none"/>
                <w:lang w:val="en-US" w:eastAsia="zh-CN" w:bidi="ar-SA"/>
              </w:rPr>
            </w:pPr>
          </w:p>
        </w:tc>
      </w:tr>
      <w:tr w14:paraId="670DF528">
        <w:tblPrEx>
          <w:tblCellMar>
            <w:top w:w="0" w:type="dxa"/>
            <w:left w:w="108" w:type="dxa"/>
            <w:bottom w:w="0" w:type="dxa"/>
            <w:right w:w="108" w:type="dxa"/>
          </w:tblCellMar>
        </w:tblPrEx>
        <w:trPr>
          <w:trHeight w:val="30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718A4096">
            <w:pPr>
              <w:keepNext w:val="0"/>
              <w:keepLines w:val="0"/>
              <w:widowControl/>
              <w:suppressLineNumbers w:val="0"/>
              <w:jc w:val="center"/>
              <w:textAlignment w:val="center"/>
              <w:rPr>
                <w:rFonts w:hint="default" w:ascii="Times New Roman" w:hAnsi="Times New Roman" w:eastAsia="等线" w:cs="Times New Roman"/>
                <w:color w:val="auto"/>
                <w:kern w:val="2"/>
                <w:sz w:val="21"/>
                <w:szCs w:val="21"/>
                <w:highlight w:val="none"/>
                <w:lang w:val="en-US" w:eastAsia="zh-CN" w:bidi="ar-SA"/>
              </w:rPr>
            </w:pPr>
            <w:r>
              <w:rPr>
                <w:rFonts w:hint="default" w:ascii="Times New Roman" w:hAnsi="Times New Roman" w:eastAsia="等线" w:cs="Times New Roman"/>
                <w:i w:val="0"/>
                <w:iCs w:val="0"/>
                <w:color w:val="auto"/>
                <w:kern w:val="0"/>
                <w:sz w:val="21"/>
                <w:szCs w:val="21"/>
                <w:highlight w:val="none"/>
                <w:u w:val="none"/>
                <w:lang w:val="en-US" w:eastAsia="zh-CN" w:bidi="ar"/>
              </w:rPr>
              <w:t>24</w:t>
            </w:r>
          </w:p>
        </w:tc>
        <w:tc>
          <w:tcPr>
            <w:tcW w:w="6111" w:type="dxa"/>
            <w:gridSpan w:val="2"/>
            <w:tcBorders>
              <w:top w:val="nil"/>
              <w:left w:val="nil"/>
              <w:bottom w:val="single" w:color="auto" w:sz="4" w:space="0"/>
              <w:right w:val="single" w:color="auto" w:sz="4" w:space="0"/>
            </w:tcBorders>
            <w:shd w:val="clear" w:color="auto" w:fill="auto"/>
            <w:vAlign w:val="center"/>
          </w:tcPr>
          <w:p w14:paraId="03979C0F">
            <w:pPr>
              <w:rPr>
                <w:rFonts w:hint="eastAsia" w:ascii="宋体" w:hAnsi="宋体" w:eastAsia="宋体" w:cs="宋体"/>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rPr>
              <w:t>饭菜加工遵循少量多次，无铺张浪费</w:t>
            </w:r>
          </w:p>
        </w:tc>
        <w:tc>
          <w:tcPr>
            <w:tcW w:w="613" w:type="dxa"/>
            <w:tcBorders>
              <w:top w:val="nil"/>
              <w:left w:val="nil"/>
              <w:bottom w:val="single" w:color="auto" w:sz="4" w:space="0"/>
              <w:right w:val="single" w:color="auto" w:sz="4" w:space="0"/>
            </w:tcBorders>
            <w:shd w:val="clear" w:color="auto" w:fill="auto"/>
            <w:vAlign w:val="center"/>
          </w:tcPr>
          <w:p w14:paraId="61EE540C">
            <w:pPr>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1</w:t>
            </w:r>
          </w:p>
        </w:tc>
        <w:tc>
          <w:tcPr>
            <w:tcW w:w="587" w:type="dxa"/>
            <w:tcBorders>
              <w:top w:val="nil"/>
              <w:left w:val="nil"/>
              <w:bottom w:val="single" w:color="auto" w:sz="4" w:space="0"/>
              <w:right w:val="single" w:color="auto" w:sz="4" w:space="0"/>
            </w:tcBorders>
            <w:shd w:val="clear" w:color="auto" w:fill="auto"/>
            <w:vAlign w:val="center"/>
          </w:tcPr>
          <w:p w14:paraId="2F470EA0">
            <w:pPr>
              <w:rPr>
                <w:rFonts w:hint="eastAsia" w:ascii="Times New Roman" w:hAnsi="Times New Roman" w:eastAsia="宋体" w:cs="Times New Roman"/>
                <w:color w:val="auto"/>
                <w:sz w:val="18"/>
                <w:szCs w:val="18"/>
                <w:highlight w:val="none"/>
              </w:rPr>
            </w:pPr>
          </w:p>
        </w:tc>
        <w:tc>
          <w:tcPr>
            <w:tcW w:w="2098" w:type="dxa"/>
            <w:tcBorders>
              <w:top w:val="nil"/>
              <w:left w:val="nil"/>
              <w:bottom w:val="single" w:color="auto" w:sz="4" w:space="0"/>
              <w:right w:val="single" w:color="auto" w:sz="4" w:space="0"/>
            </w:tcBorders>
            <w:shd w:val="clear" w:color="auto" w:fill="auto"/>
            <w:vAlign w:val="center"/>
          </w:tcPr>
          <w:p w14:paraId="6CB4A8C5">
            <w:pPr>
              <w:jc w:val="center"/>
              <w:rPr>
                <w:rFonts w:hint="eastAsia" w:ascii="Times New Roman" w:hAnsi="Times New Roman" w:eastAsia="宋体" w:cs="Times New Roman"/>
                <w:color w:val="auto"/>
                <w:kern w:val="2"/>
                <w:sz w:val="18"/>
                <w:szCs w:val="18"/>
                <w:highlight w:val="none"/>
                <w:lang w:val="en-US" w:eastAsia="zh-CN" w:bidi="ar-SA"/>
              </w:rPr>
            </w:pPr>
          </w:p>
        </w:tc>
      </w:tr>
      <w:tr w14:paraId="13E49A77">
        <w:tblPrEx>
          <w:tblCellMar>
            <w:top w:w="0" w:type="dxa"/>
            <w:left w:w="108" w:type="dxa"/>
            <w:bottom w:w="0" w:type="dxa"/>
            <w:right w:w="108" w:type="dxa"/>
          </w:tblCellMar>
        </w:tblPrEx>
        <w:trPr>
          <w:trHeight w:val="30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623C2F1B">
            <w:pPr>
              <w:keepNext w:val="0"/>
              <w:keepLines w:val="0"/>
              <w:widowControl/>
              <w:suppressLineNumbers w:val="0"/>
              <w:jc w:val="center"/>
              <w:textAlignment w:val="center"/>
              <w:rPr>
                <w:rFonts w:hint="default" w:ascii="Times New Roman" w:hAnsi="Times New Roman" w:eastAsia="等线" w:cs="Times New Roman"/>
                <w:color w:val="auto"/>
                <w:kern w:val="2"/>
                <w:sz w:val="21"/>
                <w:szCs w:val="21"/>
                <w:highlight w:val="none"/>
                <w:lang w:val="en-US" w:eastAsia="zh-CN" w:bidi="ar-SA"/>
              </w:rPr>
            </w:pPr>
            <w:r>
              <w:rPr>
                <w:rFonts w:hint="default" w:ascii="Times New Roman" w:hAnsi="Times New Roman" w:eastAsia="等线" w:cs="Times New Roman"/>
                <w:i w:val="0"/>
                <w:iCs w:val="0"/>
                <w:color w:val="auto"/>
                <w:kern w:val="0"/>
                <w:sz w:val="21"/>
                <w:szCs w:val="21"/>
                <w:highlight w:val="none"/>
                <w:u w:val="none"/>
                <w:lang w:val="en-US" w:eastAsia="zh-CN" w:bidi="ar"/>
              </w:rPr>
              <w:t>25</w:t>
            </w:r>
          </w:p>
        </w:tc>
        <w:tc>
          <w:tcPr>
            <w:tcW w:w="6111" w:type="dxa"/>
            <w:gridSpan w:val="2"/>
            <w:tcBorders>
              <w:top w:val="nil"/>
              <w:left w:val="nil"/>
              <w:bottom w:val="single" w:color="auto" w:sz="4" w:space="0"/>
              <w:right w:val="single" w:color="auto" w:sz="4" w:space="0"/>
            </w:tcBorders>
            <w:shd w:val="clear" w:color="auto" w:fill="auto"/>
            <w:vAlign w:val="center"/>
          </w:tcPr>
          <w:p w14:paraId="6E0A8204">
            <w:pPr>
              <w:rPr>
                <w:rFonts w:hint="default" w:ascii="宋体" w:hAnsi="宋体" w:eastAsia="宋体" w:cs="宋体"/>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lang w:val="en-US" w:eastAsia="zh-CN"/>
              </w:rPr>
              <w:t>售卖</w:t>
            </w:r>
            <w:r>
              <w:rPr>
                <w:rFonts w:hint="eastAsia" w:ascii="Times New Roman" w:hAnsi="Times New Roman" w:eastAsia="宋体" w:cs="Times New Roman"/>
                <w:color w:val="auto"/>
                <w:sz w:val="18"/>
                <w:szCs w:val="18"/>
                <w:highlight w:val="none"/>
              </w:rPr>
              <w:t>剩余</w:t>
            </w:r>
            <w:r>
              <w:rPr>
                <w:rFonts w:hint="eastAsia" w:ascii="Times New Roman" w:hAnsi="Times New Roman" w:eastAsia="宋体" w:cs="Times New Roman"/>
                <w:color w:val="auto"/>
                <w:sz w:val="18"/>
                <w:szCs w:val="18"/>
                <w:highlight w:val="none"/>
                <w:lang w:val="en-US" w:eastAsia="zh-CN"/>
              </w:rPr>
              <w:t>的</w:t>
            </w:r>
            <w:r>
              <w:rPr>
                <w:rFonts w:hint="eastAsia" w:ascii="Times New Roman" w:hAnsi="Times New Roman" w:eastAsia="宋体" w:cs="Times New Roman"/>
                <w:color w:val="auto"/>
                <w:sz w:val="18"/>
                <w:szCs w:val="18"/>
                <w:highlight w:val="none"/>
              </w:rPr>
              <w:t>饭菜</w:t>
            </w:r>
            <w:r>
              <w:rPr>
                <w:rFonts w:hint="eastAsia" w:ascii="Times New Roman" w:hAnsi="Times New Roman" w:eastAsia="宋体" w:cs="Times New Roman"/>
                <w:color w:val="auto"/>
                <w:sz w:val="18"/>
                <w:szCs w:val="18"/>
                <w:highlight w:val="none"/>
                <w:lang w:val="en-US" w:eastAsia="zh-CN"/>
              </w:rPr>
              <w:t>保存得当，及时进行二次加工售卖，记录完整</w:t>
            </w:r>
          </w:p>
        </w:tc>
        <w:tc>
          <w:tcPr>
            <w:tcW w:w="613" w:type="dxa"/>
            <w:tcBorders>
              <w:top w:val="nil"/>
              <w:left w:val="nil"/>
              <w:bottom w:val="single" w:color="auto" w:sz="4" w:space="0"/>
              <w:right w:val="single" w:color="auto" w:sz="4" w:space="0"/>
            </w:tcBorders>
            <w:shd w:val="clear" w:color="auto" w:fill="auto"/>
            <w:vAlign w:val="center"/>
          </w:tcPr>
          <w:p w14:paraId="2727CF84">
            <w:pPr>
              <w:jc w:val="center"/>
              <w:rPr>
                <w:rFonts w:hint="default"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2</w:t>
            </w:r>
          </w:p>
        </w:tc>
        <w:tc>
          <w:tcPr>
            <w:tcW w:w="587" w:type="dxa"/>
            <w:tcBorders>
              <w:top w:val="nil"/>
              <w:left w:val="nil"/>
              <w:bottom w:val="single" w:color="auto" w:sz="4" w:space="0"/>
              <w:right w:val="single" w:color="auto" w:sz="4" w:space="0"/>
            </w:tcBorders>
            <w:shd w:val="clear" w:color="auto" w:fill="auto"/>
            <w:vAlign w:val="center"/>
          </w:tcPr>
          <w:p w14:paraId="207CD60E">
            <w:pPr>
              <w:rPr>
                <w:rFonts w:hint="eastAsia" w:ascii="Times New Roman" w:hAnsi="Times New Roman" w:eastAsia="宋体" w:cs="Times New Roman"/>
                <w:color w:val="auto"/>
                <w:sz w:val="18"/>
                <w:szCs w:val="18"/>
                <w:highlight w:val="none"/>
              </w:rPr>
            </w:pPr>
          </w:p>
        </w:tc>
        <w:tc>
          <w:tcPr>
            <w:tcW w:w="2098" w:type="dxa"/>
            <w:tcBorders>
              <w:top w:val="nil"/>
              <w:left w:val="nil"/>
              <w:bottom w:val="single" w:color="auto" w:sz="4" w:space="0"/>
              <w:right w:val="single" w:color="auto" w:sz="4" w:space="0"/>
            </w:tcBorders>
            <w:shd w:val="clear" w:color="auto" w:fill="auto"/>
            <w:vAlign w:val="center"/>
          </w:tcPr>
          <w:p w14:paraId="2A35AF2D">
            <w:pPr>
              <w:jc w:val="center"/>
              <w:rPr>
                <w:rFonts w:hint="eastAsia" w:ascii="Times New Roman" w:hAnsi="Times New Roman" w:eastAsia="宋体" w:cs="Times New Roman"/>
                <w:color w:val="auto"/>
                <w:kern w:val="2"/>
                <w:sz w:val="18"/>
                <w:szCs w:val="18"/>
                <w:highlight w:val="none"/>
                <w:lang w:val="en-US" w:eastAsia="zh-CN" w:bidi="ar-SA"/>
              </w:rPr>
            </w:pPr>
          </w:p>
        </w:tc>
      </w:tr>
      <w:tr w14:paraId="7EEEF5B3">
        <w:tblPrEx>
          <w:tblCellMar>
            <w:top w:w="0" w:type="dxa"/>
            <w:left w:w="108" w:type="dxa"/>
            <w:bottom w:w="0" w:type="dxa"/>
            <w:right w:w="108" w:type="dxa"/>
          </w:tblCellMar>
        </w:tblPrEx>
        <w:trPr>
          <w:trHeight w:val="30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30255106">
            <w:pPr>
              <w:keepNext w:val="0"/>
              <w:keepLines w:val="0"/>
              <w:widowControl/>
              <w:suppressLineNumbers w:val="0"/>
              <w:jc w:val="center"/>
              <w:textAlignment w:val="center"/>
              <w:rPr>
                <w:rFonts w:hint="eastAsia" w:ascii="Times New Roman" w:hAnsi="Times New Roman" w:eastAsia="等线" w:cs="Times New Roman"/>
                <w:color w:val="auto"/>
                <w:kern w:val="2"/>
                <w:sz w:val="21"/>
                <w:szCs w:val="21"/>
                <w:highlight w:val="none"/>
                <w:lang w:val="en-US" w:eastAsia="zh-CN" w:bidi="ar-SA"/>
              </w:rPr>
            </w:pPr>
            <w:r>
              <w:rPr>
                <w:rFonts w:hint="default" w:ascii="Times New Roman" w:hAnsi="Times New Roman" w:eastAsia="等线" w:cs="Times New Roman"/>
                <w:i w:val="0"/>
                <w:iCs w:val="0"/>
                <w:color w:val="auto"/>
                <w:kern w:val="0"/>
                <w:sz w:val="21"/>
                <w:szCs w:val="21"/>
                <w:highlight w:val="none"/>
                <w:u w:val="none"/>
                <w:lang w:val="en-US" w:eastAsia="zh-CN" w:bidi="ar"/>
              </w:rPr>
              <w:t>26</w:t>
            </w:r>
          </w:p>
        </w:tc>
        <w:tc>
          <w:tcPr>
            <w:tcW w:w="6111" w:type="dxa"/>
            <w:gridSpan w:val="2"/>
            <w:tcBorders>
              <w:top w:val="nil"/>
              <w:left w:val="nil"/>
              <w:bottom w:val="single" w:color="auto" w:sz="4" w:space="0"/>
              <w:right w:val="single" w:color="auto" w:sz="4" w:space="0"/>
            </w:tcBorders>
            <w:shd w:val="clear" w:color="auto" w:fill="auto"/>
            <w:vAlign w:val="center"/>
          </w:tcPr>
          <w:p w14:paraId="529C4950">
            <w:pP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lang w:val="en-US" w:eastAsia="zh-CN"/>
              </w:rPr>
              <w:t>菜品售卖供餐期间要求全程</w:t>
            </w:r>
            <w:r>
              <w:rPr>
                <w:rFonts w:hint="eastAsia" w:ascii="Times New Roman" w:hAnsi="Times New Roman" w:eastAsia="宋体" w:cs="Times New Roman"/>
                <w:color w:val="auto"/>
                <w:sz w:val="18"/>
                <w:szCs w:val="18"/>
                <w:highlight w:val="none"/>
              </w:rPr>
              <w:t>热饭</w:t>
            </w:r>
            <w:r>
              <w:rPr>
                <w:rFonts w:hint="eastAsia" w:ascii="Times New Roman" w:hAnsi="Times New Roman" w:eastAsia="宋体" w:cs="Times New Roman"/>
                <w:color w:val="auto"/>
                <w:sz w:val="18"/>
                <w:szCs w:val="18"/>
                <w:highlight w:val="none"/>
                <w:lang w:val="en-US" w:eastAsia="zh-CN"/>
              </w:rPr>
              <w:t>热</w:t>
            </w:r>
            <w:r>
              <w:rPr>
                <w:rFonts w:hint="eastAsia" w:ascii="Times New Roman" w:hAnsi="Times New Roman" w:eastAsia="宋体" w:cs="Times New Roman"/>
                <w:color w:val="auto"/>
                <w:sz w:val="18"/>
                <w:szCs w:val="18"/>
                <w:highlight w:val="none"/>
              </w:rPr>
              <w:t>菜，菜品保温好</w:t>
            </w:r>
          </w:p>
        </w:tc>
        <w:tc>
          <w:tcPr>
            <w:tcW w:w="613" w:type="dxa"/>
            <w:tcBorders>
              <w:top w:val="nil"/>
              <w:left w:val="nil"/>
              <w:bottom w:val="single" w:color="auto" w:sz="4" w:space="0"/>
              <w:right w:val="single" w:color="auto" w:sz="4" w:space="0"/>
            </w:tcBorders>
            <w:shd w:val="clear" w:color="auto" w:fill="auto"/>
            <w:vAlign w:val="center"/>
          </w:tcPr>
          <w:p w14:paraId="775B1275">
            <w:pPr>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lang w:val="en-US" w:eastAsia="zh-CN"/>
              </w:rPr>
              <w:t>2</w:t>
            </w:r>
          </w:p>
        </w:tc>
        <w:tc>
          <w:tcPr>
            <w:tcW w:w="587" w:type="dxa"/>
            <w:tcBorders>
              <w:top w:val="nil"/>
              <w:left w:val="nil"/>
              <w:bottom w:val="single" w:color="auto" w:sz="4" w:space="0"/>
              <w:right w:val="single" w:color="auto" w:sz="4" w:space="0"/>
            </w:tcBorders>
            <w:shd w:val="clear" w:color="auto" w:fill="auto"/>
            <w:vAlign w:val="center"/>
          </w:tcPr>
          <w:p w14:paraId="5DC2E124">
            <w:pP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rPr>
              <w:t>　</w:t>
            </w:r>
          </w:p>
        </w:tc>
        <w:tc>
          <w:tcPr>
            <w:tcW w:w="2098" w:type="dxa"/>
            <w:tcBorders>
              <w:top w:val="nil"/>
              <w:left w:val="nil"/>
              <w:bottom w:val="single" w:color="auto" w:sz="4" w:space="0"/>
              <w:right w:val="single" w:color="auto" w:sz="4" w:space="0"/>
            </w:tcBorders>
            <w:shd w:val="clear" w:color="auto" w:fill="auto"/>
            <w:vAlign w:val="center"/>
          </w:tcPr>
          <w:p w14:paraId="0078EE4E">
            <w:pPr>
              <w:jc w:val="center"/>
              <w:rPr>
                <w:rFonts w:hint="eastAsia" w:ascii="Times New Roman" w:hAnsi="Times New Roman" w:eastAsia="宋体" w:cs="Times New Roman"/>
                <w:color w:val="auto"/>
                <w:kern w:val="2"/>
                <w:sz w:val="18"/>
                <w:szCs w:val="18"/>
                <w:highlight w:val="none"/>
                <w:lang w:val="en-US" w:eastAsia="zh-CN" w:bidi="ar-SA"/>
              </w:rPr>
            </w:pPr>
          </w:p>
        </w:tc>
      </w:tr>
      <w:tr w14:paraId="0AC01CB1">
        <w:tblPrEx>
          <w:tblCellMar>
            <w:top w:w="0" w:type="dxa"/>
            <w:left w:w="108" w:type="dxa"/>
            <w:bottom w:w="0" w:type="dxa"/>
            <w:right w:w="108" w:type="dxa"/>
          </w:tblCellMar>
        </w:tblPrEx>
        <w:trPr>
          <w:trHeight w:val="30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48C8008C">
            <w:pPr>
              <w:keepNext w:val="0"/>
              <w:keepLines w:val="0"/>
              <w:widowControl/>
              <w:suppressLineNumbers w:val="0"/>
              <w:jc w:val="center"/>
              <w:textAlignment w:val="center"/>
              <w:rPr>
                <w:rFonts w:hint="default" w:ascii="Times New Roman" w:hAnsi="Times New Roman" w:eastAsia="等线" w:cs="Times New Roman"/>
                <w:color w:val="auto"/>
                <w:kern w:val="2"/>
                <w:sz w:val="21"/>
                <w:szCs w:val="21"/>
                <w:highlight w:val="none"/>
                <w:lang w:val="en-US" w:eastAsia="zh-CN" w:bidi="ar-SA"/>
              </w:rPr>
            </w:pPr>
            <w:r>
              <w:rPr>
                <w:rFonts w:hint="default" w:ascii="Times New Roman" w:hAnsi="Times New Roman" w:eastAsia="等线" w:cs="Times New Roman"/>
                <w:i w:val="0"/>
                <w:iCs w:val="0"/>
                <w:color w:val="auto"/>
                <w:kern w:val="0"/>
                <w:sz w:val="21"/>
                <w:szCs w:val="21"/>
                <w:highlight w:val="none"/>
                <w:u w:val="none"/>
                <w:lang w:val="en-US" w:eastAsia="zh-CN" w:bidi="ar"/>
              </w:rPr>
              <w:t>27</w:t>
            </w:r>
          </w:p>
        </w:tc>
        <w:tc>
          <w:tcPr>
            <w:tcW w:w="6111" w:type="dxa"/>
            <w:gridSpan w:val="2"/>
            <w:tcBorders>
              <w:top w:val="nil"/>
              <w:left w:val="nil"/>
              <w:bottom w:val="single" w:color="auto" w:sz="4" w:space="0"/>
              <w:right w:val="single" w:color="auto" w:sz="4" w:space="0"/>
            </w:tcBorders>
            <w:shd w:val="clear" w:color="auto" w:fill="auto"/>
            <w:vAlign w:val="center"/>
          </w:tcPr>
          <w:p w14:paraId="3A643998">
            <w:pPr>
              <w:rPr>
                <w:rFonts w:hint="eastAsia" w:ascii="宋体" w:hAnsi="宋体" w:eastAsia="宋体" w:cs="宋体"/>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rPr>
              <w:t>无夹生米饭、饭菜不熟等现象</w:t>
            </w:r>
          </w:p>
        </w:tc>
        <w:tc>
          <w:tcPr>
            <w:tcW w:w="613" w:type="dxa"/>
            <w:tcBorders>
              <w:top w:val="nil"/>
              <w:left w:val="nil"/>
              <w:bottom w:val="single" w:color="auto" w:sz="4" w:space="0"/>
              <w:right w:val="single" w:color="auto" w:sz="4" w:space="0"/>
            </w:tcBorders>
            <w:shd w:val="clear" w:color="auto" w:fill="auto"/>
            <w:vAlign w:val="center"/>
          </w:tcPr>
          <w:p w14:paraId="4F3A1A58">
            <w:pPr>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lang w:val="en-US" w:eastAsia="zh-CN"/>
              </w:rPr>
              <w:t>1</w:t>
            </w:r>
          </w:p>
        </w:tc>
        <w:tc>
          <w:tcPr>
            <w:tcW w:w="587" w:type="dxa"/>
            <w:tcBorders>
              <w:top w:val="nil"/>
              <w:left w:val="nil"/>
              <w:bottom w:val="single" w:color="auto" w:sz="4" w:space="0"/>
              <w:right w:val="single" w:color="auto" w:sz="4" w:space="0"/>
            </w:tcBorders>
            <w:shd w:val="clear" w:color="auto" w:fill="auto"/>
            <w:vAlign w:val="center"/>
          </w:tcPr>
          <w:p w14:paraId="3AE2F94A">
            <w:pPr>
              <w:rPr>
                <w:rFonts w:hint="eastAsia" w:ascii="Times New Roman" w:hAnsi="Times New Roman" w:eastAsia="宋体" w:cs="Times New Roman"/>
                <w:color w:val="auto"/>
                <w:sz w:val="18"/>
                <w:szCs w:val="18"/>
                <w:highlight w:val="none"/>
              </w:rPr>
            </w:pPr>
          </w:p>
        </w:tc>
        <w:tc>
          <w:tcPr>
            <w:tcW w:w="2098" w:type="dxa"/>
            <w:tcBorders>
              <w:top w:val="nil"/>
              <w:left w:val="nil"/>
              <w:bottom w:val="single" w:color="auto" w:sz="4" w:space="0"/>
              <w:right w:val="single" w:color="auto" w:sz="4" w:space="0"/>
            </w:tcBorders>
            <w:shd w:val="clear" w:color="auto" w:fill="auto"/>
            <w:vAlign w:val="center"/>
          </w:tcPr>
          <w:p w14:paraId="7162AF79">
            <w:pPr>
              <w:jc w:val="center"/>
              <w:rPr>
                <w:rFonts w:hint="eastAsia" w:ascii="Times New Roman" w:hAnsi="Times New Roman" w:eastAsia="宋体" w:cs="Times New Roman"/>
                <w:color w:val="auto"/>
                <w:kern w:val="2"/>
                <w:sz w:val="18"/>
                <w:szCs w:val="18"/>
                <w:highlight w:val="none"/>
                <w:lang w:val="en-US" w:eastAsia="zh-CN" w:bidi="ar-SA"/>
              </w:rPr>
            </w:pPr>
          </w:p>
        </w:tc>
      </w:tr>
      <w:tr w14:paraId="2AEED58D">
        <w:tblPrEx>
          <w:tblCellMar>
            <w:top w:w="0" w:type="dxa"/>
            <w:left w:w="108" w:type="dxa"/>
            <w:bottom w:w="0" w:type="dxa"/>
            <w:right w:w="108" w:type="dxa"/>
          </w:tblCellMar>
        </w:tblPrEx>
        <w:trPr>
          <w:trHeight w:val="9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5748E627">
            <w:pPr>
              <w:keepNext w:val="0"/>
              <w:keepLines w:val="0"/>
              <w:widowControl/>
              <w:suppressLineNumbers w:val="0"/>
              <w:jc w:val="center"/>
              <w:textAlignment w:val="center"/>
              <w:rPr>
                <w:rFonts w:hint="default" w:ascii="Times New Roman" w:hAnsi="Times New Roman" w:eastAsia="等线" w:cs="Times New Roman"/>
                <w:color w:val="auto"/>
                <w:kern w:val="2"/>
                <w:sz w:val="21"/>
                <w:szCs w:val="21"/>
                <w:highlight w:val="none"/>
                <w:lang w:val="en-US" w:eastAsia="zh-CN" w:bidi="ar-SA"/>
              </w:rPr>
            </w:pPr>
            <w:r>
              <w:rPr>
                <w:rFonts w:hint="default" w:ascii="Times New Roman" w:hAnsi="Times New Roman" w:eastAsia="等线" w:cs="Times New Roman"/>
                <w:i w:val="0"/>
                <w:iCs w:val="0"/>
                <w:color w:val="auto"/>
                <w:kern w:val="0"/>
                <w:sz w:val="21"/>
                <w:szCs w:val="21"/>
                <w:highlight w:val="none"/>
                <w:u w:val="none"/>
                <w:lang w:val="en-US" w:eastAsia="zh-CN" w:bidi="ar"/>
              </w:rPr>
              <w:t>28</w:t>
            </w:r>
          </w:p>
        </w:tc>
        <w:tc>
          <w:tcPr>
            <w:tcW w:w="6111" w:type="dxa"/>
            <w:gridSpan w:val="2"/>
            <w:tcBorders>
              <w:top w:val="nil"/>
              <w:left w:val="nil"/>
              <w:bottom w:val="single" w:color="auto" w:sz="4" w:space="0"/>
              <w:right w:val="single" w:color="auto" w:sz="4" w:space="0"/>
            </w:tcBorders>
            <w:shd w:val="clear" w:color="auto" w:fill="auto"/>
            <w:vAlign w:val="center"/>
          </w:tcPr>
          <w:p w14:paraId="270D8612">
            <w:pPr>
              <w:rPr>
                <w:rFonts w:hint="eastAsia" w:ascii="宋体" w:hAnsi="宋体" w:eastAsia="宋体" w:cs="宋体"/>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rPr>
              <w:t>饭菜内无出现有头发、虫子等杂物或有异味等现象</w:t>
            </w:r>
          </w:p>
        </w:tc>
        <w:tc>
          <w:tcPr>
            <w:tcW w:w="613" w:type="dxa"/>
            <w:tcBorders>
              <w:top w:val="nil"/>
              <w:left w:val="nil"/>
              <w:bottom w:val="single" w:color="auto" w:sz="4" w:space="0"/>
              <w:right w:val="single" w:color="auto" w:sz="4" w:space="0"/>
            </w:tcBorders>
            <w:shd w:val="clear" w:color="auto" w:fill="auto"/>
            <w:vAlign w:val="center"/>
          </w:tcPr>
          <w:p w14:paraId="5783CFEE">
            <w:pPr>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1</w:t>
            </w:r>
          </w:p>
        </w:tc>
        <w:tc>
          <w:tcPr>
            <w:tcW w:w="587" w:type="dxa"/>
            <w:tcBorders>
              <w:top w:val="nil"/>
              <w:left w:val="nil"/>
              <w:bottom w:val="single" w:color="auto" w:sz="4" w:space="0"/>
              <w:right w:val="single" w:color="auto" w:sz="4" w:space="0"/>
            </w:tcBorders>
            <w:shd w:val="clear" w:color="auto" w:fill="auto"/>
            <w:vAlign w:val="center"/>
          </w:tcPr>
          <w:p w14:paraId="2CC3A6E1">
            <w:pPr>
              <w:rPr>
                <w:rFonts w:hint="eastAsia" w:ascii="Times New Roman" w:hAnsi="Times New Roman" w:eastAsia="宋体" w:cs="Times New Roman"/>
                <w:color w:val="auto"/>
                <w:sz w:val="18"/>
                <w:szCs w:val="18"/>
                <w:highlight w:val="none"/>
              </w:rPr>
            </w:pPr>
          </w:p>
        </w:tc>
        <w:tc>
          <w:tcPr>
            <w:tcW w:w="2098" w:type="dxa"/>
            <w:tcBorders>
              <w:top w:val="nil"/>
              <w:left w:val="nil"/>
              <w:bottom w:val="single" w:color="auto" w:sz="4" w:space="0"/>
              <w:right w:val="single" w:color="auto" w:sz="4" w:space="0"/>
            </w:tcBorders>
            <w:shd w:val="clear" w:color="auto" w:fill="auto"/>
            <w:vAlign w:val="center"/>
          </w:tcPr>
          <w:p w14:paraId="7B738145">
            <w:pPr>
              <w:jc w:val="center"/>
              <w:rPr>
                <w:rFonts w:hint="eastAsia" w:ascii="Times New Roman" w:hAnsi="Times New Roman" w:eastAsia="宋体" w:cs="Times New Roman"/>
                <w:color w:val="auto"/>
                <w:kern w:val="2"/>
                <w:sz w:val="18"/>
                <w:szCs w:val="18"/>
                <w:highlight w:val="none"/>
                <w:lang w:val="en-US" w:eastAsia="zh-CN" w:bidi="ar-SA"/>
              </w:rPr>
            </w:pPr>
          </w:p>
        </w:tc>
      </w:tr>
      <w:tr w14:paraId="1213CB1B">
        <w:tblPrEx>
          <w:tblCellMar>
            <w:top w:w="0" w:type="dxa"/>
            <w:left w:w="108" w:type="dxa"/>
            <w:bottom w:w="0" w:type="dxa"/>
            <w:right w:w="108" w:type="dxa"/>
          </w:tblCellMar>
        </w:tblPrEx>
        <w:trPr>
          <w:trHeight w:val="30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3D814CCB">
            <w:pPr>
              <w:keepNext w:val="0"/>
              <w:keepLines w:val="0"/>
              <w:widowControl/>
              <w:suppressLineNumbers w:val="0"/>
              <w:jc w:val="center"/>
              <w:textAlignment w:val="center"/>
              <w:rPr>
                <w:rFonts w:hint="eastAsia" w:ascii="Times New Roman" w:hAnsi="Times New Roman" w:eastAsia="等线" w:cs="Times New Roman"/>
                <w:color w:val="auto"/>
                <w:kern w:val="2"/>
                <w:sz w:val="21"/>
                <w:szCs w:val="21"/>
                <w:highlight w:val="none"/>
                <w:lang w:val="en-US" w:eastAsia="zh-CN" w:bidi="ar-SA"/>
              </w:rPr>
            </w:pPr>
            <w:r>
              <w:rPr>
                <w:rFonts w:hint="default" w:ascii="Times New Roman" w:hAnsi="Times New Roman" w:eastAsia="等线" w:cs="Times New Roman"/>
                <w:i w:val="0"/>
                <w:iCs w:val="0"/>
                <w:color w:val="auto"/>
                <w:kern w:val="0"/>
                <w:sz w:val="21"/>
                <w:szCs w:val="21"/>
                <w:highlight w:val="none"/>
                <w:u w:val="none"/>
                <w:lang w:val="en-US" w:eastAsia="zh-CN" w:bidi="ar"/>
              </w:rPr>
              <w:t>29</w:t>
            </w:r>
          </w:p>
        </w:tc>
        <w:tc>
          <w:tcPr>
            <w:tcW w:w="6111" w:type="dxa"/>
            <w:gridSpan w:val="2"/>
            <w:tcBorders>
              <w:top w:val="nil"/>
              <w:left w:val="nil"/>
              <w:bottom w:val="single" w:color="auto" w:sz="4" w:space="0"/>
              <w:right w:val="single" w:color="auto" w:sz="4" w:space="0"/>
            </w:tcBorders>
            <w:shd w:val="clear" w:color="auto" w:fill="auto"/>
            <w:vAlign w:val="center"/>
          </w:tcPr>
          <w:p w14:paraId="420482D0">
            <w:pPr>
              <w:rPr>
                <w:rFonts w:hint="eastAsia" w:ascii="宋体" w:hAnsi="宋体" w:eastAsia="宋体" w:cs="宋体"/>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rPr>
              <w:t>每餐有专人负责所有菜品的留样工作，留样冰箱专柜专用</w:t>
            </w:r>
            <w:r>
              <w:rPr>
                <w:rFonts w:hint="eastAsia" w:ascii="Times New Roman" w:hAnsi="Times New Roman" w:eastAsia="宋体" w:cs="Times New Roman"/>
                <w:color w:val="auto"/>
                <w:sz w:val="18"/>
                <w:szCs w:val="18"/>
                <w:highlight w:val="none"/>
                <w:lang w:val="en-US" w:eastAsia="zh-CN"/>
              </w:rPr>
              <w:t>双人双</w:t>
            </w:r>
            <w:r>
              <w:rPr>
                <w:rFonts w:hint="eastAsia" w:ascii="Times New Roman" w:hAnsi="Times New Roman" w:eastAsia="宋体" w:cs="Times New Roman"/>
                <w:color w:val="auto"/>
                <w:sz w:val="18"/>
                <w:szCs w:val="18"/>
                <w:highlight w:val="none"/>
              </w:rPr>
              <w:t>锁，留样</w:t>
            </w:r>
            <w:r>
              <w:rPr>
                <w:rFonts w:hint="eastAsia" w:ascii="Times New Roman" w:hAnsi="Times New Roman" w:eastAsia="宋体" w:cs="Times New Roman"/>
                <w:color w:val="auto"/>
                <w:sz w:val="18"/>
                <w:szCs w:val="18"/>
                <w:highlight w:val="none"/>
                <w:lang w:val="en-US" w:eastAsia="zh-CN"/>
              </w:rPr>
              <w:t>重量</w:t>
            </w:r>
            <w:r>
              <w:rPr>
                <w:rFonts w:hint="eastAsia" w:ascii="Times New Roman" w:hAnsi="Times New Roman" w:eastAsia="宋体" w:cs="Times New Roman"/>
                <w:color w:val="auto"/>
                <w:sz w:val="18"/>
                <w:szCs w:val="18"/>
                <w:highlight w:val="none"/>
              </w:rPr>
              <w:t>不少于125克</w:t>
            </w:r>
            <w:r>
              <w:rPr>
                <w:rFonts w:hint="eastAsia" w:ascii="Times New Roman" w:hAnsi="Times New Roman" w:eastAsia="宋体" w:cs="Times New Roman"/>
                <w:color w:val="auto"/>
                <w:sz w:val="18"/>
                <w:szCs w:val="18"/>
                <w:highlight w:val="none"/>
                <w:lang w:eastAsia="zh-CN"/>
              </w:rPr>
              <w:t>，</w:t>
            </w:r>
            <w:r>
              <w:rPr>
                <w:rFonts w:hint="eastAsia" w:ascii="Times New Roman" w:hAnsi="Times New Roman" w:eastAsia="宋体" w:cs="Times New Roman"/>
                <w:color w:val="auto"/>
                <w:sz w:val="18"/>
                <w:szCs w:val="18"/>
                <w:highlight w:val="none"/>
              </w:rPr>
              <w:t>48小时以上，留样记录规范完整</w:t>
            </w:r>
          </w:p>
        </w:tc>
        <w:tc>
          <w:tcPr>
            <w:tcW w:w="613" w:type="dxa"/>
            <w:tcBorders>
              <w:top w:val="nil"/>
              <w:left w:val="nil"/>
              <w:bottom w:val="single" w:color="auto" w:sz="4" w:space="0"/>
              <w:right w:val="single" w:color="auto" w:sz="4" w:space="0"/>
            </w:tcBorders>
            <w:shd w:val="clear" w:color="auto" w:fill="auto"/>
            <w:vAlign w:val="center"/>
          </w:tcPr>
          <w:p w14:paraId="08D70D78">
            <w:pPr>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lang w:val="en-US" w:eastAsia="zh-CN"/>
              </w:rPr>
              <w:t>3</w:t>
            </w:r>
          </w:p>
        </w:tc>
        <w:tc>
          <w:tcPr>
            <w:tcW w:w="587" w:type="dxa"/>
            <w:tcBorders>
              <w:top w:val="nil"/>
              <w:left w:val="nil"/>
              <w:bottom w:val="single" w:color="auto" w:sz="4" w:space="0"/>
              <w:right w:val="single" w:color="auto" w:sz="4" w:space="0"/>
            </w:tcBorders>
            <w:vAlign w:val="center"/>
          </w:tcPr>
          <w:p w14:paraId="70579CF7">
            <w:pPr>
              <w:rPr>
                <w:rFonts w:hint="eastAsia" w:ascii="Times New Roman" w:hAnsi="Times New Roman" w:eastAsia="宋体" w:cs="Times New Roman"/>
                <w:color w:val="auto"/>
                <w:sz w:val="18"/>
                <w:szCs w:val="18"/>
                <w:highlight w:val="none"/>
              </w:rPr>
            </w:pPr>
          </w:p>
        </w:tc>
        <w:tc>
          <w:tcPr>
            <w:tcW w:w="2098" w:type="dxa"/>
            <w:tcBorders>
              <w:top w:val="nil"/>
              <w:left w:val="nil"/>
              <w:bottom w:val="single" w:color="auto" w:sz="4" w:space="0"/>
              <w:right w:val="single" w:color="auto" w:sz="4" w:space="0"/>
            </w:tcBorders>
            <w:vAlign w:val="center"/>
          </w:tcPr>
          <w:p w14:paraId="2B621F2F">
            <w:pPr>
              <w:jc w:val="center"/>
              <w:rPr>
                <w:rFonts w:hint="eastAsia" w:ascii="Times New Roman" w:hAnsi="Times New Roman" w:eastAsia="宋体" w:cs="Times New Roman"/>
                <w:color w:val="auto"/>
                <w:sz w:val="18"/>
                <w:szCs w:val="18"/>
                <w:highlight w:val="none"/>
              </w:rPr>
            </w:pPr>
          </w:p>
        </w:tc>
      </w:tr>
      <w:tr w14:paraId="762A657E">
        <w:tblPrEx>
          <w:tblCellMar>
            <w:top w:w="0" w:type="dxa"/>
            <w:left w:w="108" w:type="dxa"/>
            <w:bottom w:w="0" w:type="dxa"/>
            <w:right w:w="108" w:type="dxa"/>
          </w:tblCellMar>
        </w:tblPrEx>
        <w:trPr>
          <w:trHeight w:val="30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64D2152F">
            <w:pPr>
              <w:keepNext w:val="0"/>
              <w:keepLines w:val="0"/>
              <w:widowControl/>
              <w:suppressLineNumbers w:val="0"/>
              <w:jc w:val="center"/>
              <w:textAlignment w:val="center"/>
              <w:rPr>
                <w:rFonts w:hint="eastAsia" w:ascii="Times New Roman" w:hAnsi="Times New Roman" w:eastAsia="等线" w:cs="Times New Roman"/>
                <w:color w:val="auto"/>
                <w:kern w:val="2"/>
                <w:sz w:val="21"/>
                <w:szCs w:val="21"/>
                <w:highlight w:val="none"/>
                <w:lang w:val="en-US" w:eastAsia="zh-CN" w:bidi="ar-SA"/>
              </w:rPr>
            </w:pPr>
            <w:r>
              <w:rPr>
                <w:rFonts w:hint="default" w:ascii="Times New Roman" w:hAnsi="Times New Roman" w:eastAsia="等线" w:cs="Times New Roman"/>
                <w:i w:val="0"/>
                <w:iCs w:val="0"/>
                <w:color w:val="auto"/>
                <w:kern w:val="0"/>
                <w:sz w:val="21"/>
                <w:szCs w:val="21"/>
                <w:highlight w:val="none"/>
                <w:u w:val="none"/>
                <w:lang w:val="en-US" w:eastAsia="zh-CN" w:bidi="ar"/>
              </w:rPr>
              <w:t>30</w:t>
            </w:r>
          </w:p>
        </w:tc>
        <w:tc>
          <w:tcPr>
            <w:tcW w:w="6111" w:type="dxa"/>
            <w:gridSpan w:val="2"/>
            <w:tcBorders>
              <w:top w:val="nil"/>
              <w:left w:val="nil"/>
              <w:bottom w:val="single" w:color="auto" w:sz="4" w:space="0"/>
              <w:right w:val="single" w:color="auto" w:sz="4" w:space="0"/>
            </w:tcBorders>
            <w:shd w:val="clear" w:color="auto" w:fill="auto"/>
            <w:vAlign w:val="center"/>
          </w:tcPr>
          <w:p w14:paraId="22B9FEE9">
            <w:pPr>
              <w:rPr>
                <w:rFonts w:hint="eastAsia" w:ascii="宋体" w:hAnsi="宋体" w:eastAsia="宋体" w:cs="宋体"/>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rPr>
              <w:t>食堂各功能间的“四防”措施（防蚊、防蝇、防鼠、防蟑螂）按规定启用，食堂与外界相通的门挡鼠板</w:t>
            </w:r>
            <w:r>
              <w:rPr>
                <w:rFonts w:hint="eastAsia" w:ascii="Times New Roman" w:hAnsi="Times New Roman" w:eastAsia="宋体" w:cs="Times New Roman"/>
                <w:color w:val="auto"/>
                <w:sz w:val="18"/>
                <w:szCs w:val="18"/>
                <w:highlight w:val="none"/>
                <w:lang w:val="en-US" w:eastAsia="zh-CN"/>
              </w:rPr>
              <w:t>使用正常</w:t>
            </w:r>
            <w:r>
              <w:rPr>
                <w:rFonts w:hint="eastAsia" w:ascii="Times New Roman" w:hAnsi="Times New Roman" w:eastAsia="宋体" w:cs="Times New Roman"/>
                <w:color w:val="auto"/>
                <w:sz w:val="18"/>
                <w:szCs w:val="18"/>
                <w:highlight w:val="none"/>
              </w:rPr>
              <w:t>，窗户保持常闭状态</w:t>
            </w:r>
          </w:p>
        </w:tc>
        <w:tc>
          <w:tcPr>
            <w:tcW w:w="613" w:type="dxa"/>
            <w:tcBorders>
              <w:top w:val="nil"/>
              <w:left w:val="nil"/>
              <w:bottom w:val="single" w:color="auto" w:sz="4" w:space="0"/>
              <w:right w:val="single" w:color="auto" w:sz="4" w:space="0"/>
            </w:tcBorders>
            <w:shd w:val="clear" w:color="auto" w:fill="auto"/>
            <w:vAlign w:val="center"/>
          </w:tcPr>
          <w:p w14:paraId="6B25B605">
            <w:pPr>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rPr>
              <w:t>3</w:t>
            </w:r>
          </w:p>
        </w:tc>
        <w:tc>
          <w:tcPr>
            <w:tcW w:w="587" w:type="dxa"/>
            <w:tcBorders>
              <w:top w:val="nil"/>
              <w:left w:val="nil"/>
              <w:bottom w:val="single" w:color="auto" w:sz="4" w:space="0"/>
              <w:right w:val="single" w:color="auto" w:sz="4" w:space="0"/>
            </w:tcBorders>
            <w:vAlign w:val="center"/>
          </w:tcPr>
          <w:p w14:paraId="77AC28B2">
            <w:pPr>
              <w:rPr>
                <w:rFonts w:hint="eastAsia"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　</w:t>
            </w:r>
          </w:p>
        </w:tc>
        <w:tc>
          <w:tcPr>
            <w:tcW w:w="2098" w:type="dxa"/>
            <w:tcBorders>
              <w:top w:val="nil"/>
              <w:left w:val="nil"/>
              <w:bottom w:val="single" w:color="auto" w:sz="4" w:space="0"/>
              <w:right w:val="single" w:color="auto" w:sz="4" w:space="0"/>
            </w:tcBorders>
            <w:vAlign w:val="center"/>
          </w:tcPr>
          <w:p w14:paraId="33D393A5">
            <w:pPr>
              <w:jc w:val="center"/>
              <w:rPr>
                <w:rFonts w:hint="eastAsia" w:ascii="Times New Roman" w:hAnsi="Times New Roman" w:eastAsia="宋体" w:cs="Times New Roman"/>
                <w:color w:val="auto"/>
                <w:sz w:val="18"/>
                <w:szCs w:val="18"/>
                <w:highlight w:val="none"/>
              </w:rPr>
            </w:pPr>
          </w:p>
        </w:tc>
      </w:tr>
      <w:tr w14:paraId="0A741575">
        <w:tblPrEx>
          <w:tblCellMar>
            <w:top w:w="0" w:type="dxa"/>
            <w:left w:w="108" w:type="dxa"/>
            <w:bottom w:w="0" w:type="dxa"/>
            <w:right w:w="108" w:type="dxa"/>
          </w:tblCellMar>
        </w:tblPrEx>
        <w:trPr>
          <w:trHeight w:val="30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0C8E38AC">
            <w:pPr>
              <w:keepNext w:val="0"/>
              <w:keepLines w:val="0"/>
              <w:widowControl/>
              <w:suppressLineNumbers w:val="0"/>
              <w:jc w:val="center"/>
              <w:textAlignment w:val="center"/>
              <w:rPr>
                <w:rFonts w:hint="eastAsia" w:ascii="Times New Roman" w:hAnsi="Times New Roman" w:eastAsia="等线" w:cs="Times New Roman"/>
                <w:color w:val="auto"/>
                <w:kern w:val="2"/>
                <w:sz w:val="21"/>
                <w:szCs w:val="21"/>
                <w:highlight w:val="none"/>
                <w:lang w:val="en-US" w:eastAsia="zh-CN" w:bidi="ar-SA"/>
              </w:rPr>
            </w:pPr>
            <w:r>
              <w:rPr>
                <w:rFonts w:hint="default" w:ascii="Times New Roman" w:hAnsi="Times New Roman" w:eastAsia="等线" w:cs="Times New Roman"/>
                <w:i w:val="0"/>
                <w:iCs w:val="0"/>
                <w:color w:val="auto"/>
                <w:kern w:val="0"/>
                <w:sz w:val="21"/>
                <w:szCs w:val="21"/>
                <w:highlight w:val="none"/>
                <w:u w:val="none"/>
                <w:lang w:val="en-US" w:eastAsia="zh-CN" w:bidi="ar"/>
              </w:rPr>
              <w:t>31</w:t>
            </w:r>
          </w:p>
        </w:tc>
        <w:tc>
          <w:tcPr>
            <w:tcW w:w="6111" w:type="dxa"/>
            <w:gridSpan w:val="2"/>
            <w:tcBorders>
              <w:top w:val="nil"/>
              <w:left w:val="nil"/>
              <w:bottom w:val="single" w:color="auto" w:sz="4" w:space="0"/>
              <w:right w:val="single" w:color="auto" w:sz="4" w:space="0"/>
            </w:tcBorders>
            <w:shd w:val="clear" w:color="auto" w:fill="auto"/>
            <w:vAlign w:val="center"/>
          </w:tcPr>
          <w:p w14:paraId="02E54F10">
            <w:pPr>
              <w:rPr>
                <w:rFonts w:ascii="宋体" w:hAnsi="宋体" w:eastAsia="宋体" w:cs="宋体"/>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rPr>
              <w:t>熟食冰柜按规定使用，专柜专用</w:t>
            </w:r>
            <w:r>
              <w:rPr>
                <w:rFonts w:hint="eastAsia" w:ascii="Times New Roman" w:hAnsi="Times New Roman" w:eastAsia="宋体" w:cs="Times New Roman"/>
                <w:color w:val="auto"/>
                <w:sz w:val="18"/>
                <w:szCs w:val="18"/>
                <w:highlight w:val="none"/>
                <w:lang w:eastAsia="zh-CN"/>
              </w:rPr>
              <w:t>，</w:t>
            </w:r>
            <w:r>
              <w:rPr>
                <w:rFonts w:hint="eastAsia" w:ascii="Times New Roman" w:hAnsi="Times New Roman" w:eastAsia="宋体" w:cs="Times New Roman"/>
                <w:color w:val="auto"/>
                <w:sz w:val="18"/>
                <w:szCs w:val="18"/>
                <w:highlight w:val="none"/>
              </w:rPr>
              <w:t>冰箱使用温度显示正常</w:t>
            </w:r>
          </w:p>
        </w:tc>
        <w:tc>
          <w:tcPr>
            <w:tcW w:w="613" w:type="dxa"/>
            <w:tcBorders>
              <w:top w:val="nil"/>
              <w:left w:val="nil"/>
              <w:bottom w:val="single" w:color="auto" w:sz="4" w:space="0"/>
              <w:right w:val="single" w:color="auto" w:sz="4" w:space="0"/>
            </w:tcBorders>
            <w:shd w:val="clear" w:color="auto" w:fill="auto"/>
            <w:vAlign w:val="center"/>
          </w:tcPr>
          <w:p w14:paraId="0B0E88A2">
            <w:pPr>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rPr>
              <w:t>2</w:t>
            </w:r>
          </w:p>
        </w:tc>
        <w:tc>
          <w:tcPr>
            <w:tcW w:w="587" w:type="dxa"/>
            <w:tcBorders>
              <w:top w:val="nil"/>
              <w:left w:val="nil"/>
              <w:bottom w:val="single" w:color="auto" w:sz="4" w:space="0"/>
              <w:right w:val="single" w:color="auto" w:sz="4" w:space="0"/>
            </w:tcBorders>
            <w:vAlign w:val="center"/>
          </w:tcPr>
          <w:p w14:paraId="7B0BFB5C">
            <w:pPr>
              <w:rPr>
                <w:rFonts w:hint="eastAsia"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　</w:t>
            </w:r>
          </w:p>
        </w:tc>
        <w:tc>
          <w:tcPr>
            <w:tcW w:w="2098" w:type="dxa"/>
            <w:tcBorders>
              <w:top w:val="nil"/>
              <w:left w:val="nil"/>
              <w:bottom w:val="single" w:color="auto" w:sz="4" w:space="0"/>
              <w:right w:val="single" w:color="auto" w:sz="4" w:space="0"/>
            </w:tcBorders>
            <w:vAlign w:val="center"/>
          </w:tcPr>
          <w:p w14:paraId="74D7FA74">
            <w:pPr>
              <w:jc w:val="center"/>
              <w:rPr>
                <w:rFonts w:hint="eastAsia" w:ascii="Times New Roman" w:hAnsi="Times New Roman" w:eastAsia="宋体" w:cs="Times New Roman"/>
                <w:color w:val="auto"/>
                <w:sz w:val="18"/>
                <w:szCs w:val="18"/>
                <w:highlight w:val="none"/>
              </w:rPr>
            </w:pPr>
          </w:p>
        </w:tc>
      </w:tr>
      <w:tr w14:paraId="3F7F037F">
        <w:tblPrEx>
          <w:tblCellMar>
            <w:top w:w="0" w:type="dxa"/>
            <w:left w:w="108" w:type="dxa"/>
            <w:bottom w:w="0" w:type="dxa"/>
            <w:right w:w="108" w:type="dxa"/>
          </w:tblCellMar>
        </w:tblPrEx>
        <w:trPr>
          <w:trHeight w:val="30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754A346D">
            <w:pPr>
              <w:keepNext w:val="0"/>
              <w:keepLines w:val="0"/>
              <w:widowControl/>
              <w:suppressLineNumbers w:val="0"/>
              <w:jc w:val="center"/>
              <w:textAlignment w:val="center"/>
              <w:rPr>
                <w:rFonts w:hint="eastAsia" w:ascii="Times New Roman" w:hAnsi="Times New Roman" w:eastAsia="等线" w:cs="Times New Roman"/>
                <w:color w:val="auto"/>
                <w:kern w:val="2"/>
                <w:sz w:val="21"/>
                <w:szCs w:val="21"/>
                <w:highlight w:val="none"/>
                <w:lang w:val="en-US" w:eastAsia="zh-CN" w:bidi="ar-SA"/>
              </w:rPr>
            </w:pPr>
            <w:r>
              <w:rPr>
                <w:rFonts w:hint="default" w:ascii="Times New Roman" w:hAnsi="Times New Roman" w:eastAsia="等线" w:cs="Times New Roman"/>
                <w:i w:val="0"/>
                <w:iCs w:val="0"/>
                <w:color w:val="auto"/>
                <w:kern w:val="0"/>
                <w:sz w:val="21"/>
                <w:szCs w:val="21"/>
                <w:highlight w:val="none"/>
                <w:u w:val="none"/>
                <w:lang w:val="en-US" w:eastAsia="zh-CN" w:bidi="ar"/>
              </w:rPr>
              <w:t>32</w:t>
            </w:r>
          </w:p>
        </w:tc>
        <w:tc>
          <w:tcPr>
            <w:tcW w:w="6111" w:type="dxa"/>
            <w:gridSpan w:val="2"/>
            <w:tcBorders>
              <w:top w:val="nil"/>
              <w:left w:val="nil"/>
              <w:bottom w:val="single" w:color="auto" w:sz="4" w:space="0"/>
              <w:right w:val="single" w:color="auto" w:sz="4" w:space="0"/>
            </w:tcBorders>
            <w:shd w:val="clear" w:color="auto" w:fill="auto"/>
            <w:vAlign w:val="center"/>
          </w:tcPr>
          <w:p w14:paraId="5ED32FCE">
            <w:pPr>
              <w:rPr>
                <w:rFonts w:ascii="宋体" w:hAnsi="宋体" w:eastAsia="宋体" w:cs="宋体"/>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lang w:val="en-US" w:eastAsia="zh-CN"/>
              </w:rPr>
              <w:t>保持</w:t>
            </w:r>
            <w:r>
              <w:rPr>
                <w:rFonts w:hint="eastAsia" w:ascii="Times New Roman" w:hAnsi="Times New Roman" w:eastAsia="宋体" w:cs="Times New Roman"/>
                <w:color w:val="auto"/>
                <w:sz w:val="18"/>
                <w:szCs w:val="18"/>
                <w:highlight w:val="none"/>
              </w:rPr>
              <w:t>冷库（候补式、高低温冷库）内外卫生，无异味、残渣、血水等</w:t>
            </w:r>
          </w:p>
        </w:tc>
        <w:tc>
          <w:tcPr>
            <w:tcW w:w="613" w:type="dxa"/>
            <w:tcBorders>
              <w:top w:val="nil"/>
              <w:left w:val="nil"/>
              <w:bottom w:val="single" w:color="auto" w:sz="4" w:space="0"/>
              <w:right w:val="single" w:color="auto" w:sz="4" w:space="0"/>
            </w:tcBorders>
            <w:shd w:val="clear" w:color="auto" w:fill="auto"/>
            <w:vAlign w:val="center"/>
          </w:tcPr>
          <w:p w14:paraId="6EAE3D20">
            <w:pPr>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lang w:val="en-US" w:eastAsia="zh-CN"/>
              </w:rPr>
              <w:t>2</w:t>
            </w:r>
          </w:p>
        </w:tc>
        <w:tc>
          <w:tcPr>
            <w:tcW w:w="587" w:type="dxa"/>
            <w:tcBorders>
              <w:top w:val="nil"/>
              <w:left w:val="nil"/>
              <w:bottom w:val="single" w:color="auto" w:sz="4" w:space="0"/>
              <w:right w:val="single" w:color="auto" w:sz="4" w:space="0"/>
            </w:tcBorders>
            <w:vAlign w:val="center"/>
          </w:tcPr>
          <w:p w14:paraId="14D4B99E">
            <w:pPr>
              <w:rPr>
                <w:rFonts w:hint="eastAsia"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　</w:t>
            </w:r>
          </w:p>
        </w:tc>
        <w:tc>
          <w:tcPr>
            <w:tcW w:w="2098" w:type="dxa"/>
            <w:tcBorders>
              <w:top w:val="nil"/>
              <w:left w:val="nil"/>
              <w:bottom w:val="single" w:color="auto" w:sz="4" w:space="0"/>
              <w:right w:val="single" w:color="auto" w:sz="4" w:space="0"/>
            </w:tcBorders>
            <w:vAlign w:val="center"/>
          </w:tcPr>
          <w:p w14:paraId="7CADAC41">
            <w:pPr>
              <w:jc w:val="center"/>
              <w:rPr>
                <w:rFonts w:hint="eastAsia" w:ascii="Times New Roman" w:hAnsi="Times New Roman" w:eastAsia="宋体" w:cs="Times New Roman"/>
                <w:color w:val="auto"/>
                <w:sz w:val="18"/>
                <w:szCs w:val="18"/>
                <w:highlight w:val="none"/>
              </w:rPr>
            </w:pPr>
          </w:p>
        </w:tc>
      </w:tr>
      <w:tr w14:paraId="19715A3C">
        <w:tblPrEx>
          <w:tblCellMar>
            <w:top w:w="0" w:type="dxa"/>
            <w:left w:w="108" w:type="dxa"/>
            <w:bottom w:w="0" w:type="dxa"/>
            <w:right w:w="108" w:type="dxa"/>
          </w:tblCellMar>
        </w:tblPrEx>
        <w:trPr>
          <w:trHeight w:val="30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39207BB4">
            <w:pPr>
              <w:keepNext w:val="0"/>
              <w:keepLines w:val="0"/>
              <w:widowControl/>
              <w:suppressLineNumbers w:val="0"/>
              <w:jc w:val="center"/>
              <w:textAlignment w:val="center"/>
              <w:rPr>
                <w:rFonts w:hint="default" w:ascii="Times New Roman" w:hAnsi="Times New Roman" w:eastAsia="等线" w:cs="Times New Roman"/>
                <w:color w:val="auto"/>
                <w:kern w:val="2"/>
                <w:sz w:val="21"/>
                <w:szCs w:val="21"/>
                <w:highlight w:val="none"/>
                <w:lang w:val="en-US" w:eastAsia="zh-CN" w:bidi="ar-SA"/>
              </w:rPr>
            </w:pPr>
            <w:r>
              <w:rPr>
                <w:rFonts w:hint="default" w:ascii="Times New Roman" w:hAnsi="Times New Roman" w:eastAsia="等线" w:cs="Times New Roman"/>
                <w:i w:val="0"/>
                <w:iCs w:val="0"/>
                <w:color w:val="auto"/>
                <w:kern w:val="0"/>
                <w:sz w:val="21"/>
                <w:szCs w:val="21"/>
                <w:highlight w:val="none"/>
                <w:u w:val="none"/>
                <w:lang w:val="en-US" w:eastAsia="zh-CN" w:bidi="ar"/>
              </w:rPr>
              <w:t>33</w:t>
            </w:r>
          </w:p>
        </w:tc>
        <w:tc>
          <w:tcPr>
            <w:tcW w:w="6111" w:type="dxa"/>
            <w:gridSpan w:val="2"/>
            <w:tcBorders>
              <w:top w:val="nil"/>
              <w:left w:val="nil"/>
              <w:bottom w:val="single" w:color="auto" w:sz="4" w:space="0"/>
              <w:right w:val="single" w:color="auto" w:sz="4" w:space="0"/>
            </w:tcBorders>
            <w:shd w:val="clear" w:color="auto" w:fill="auto"/>
            <w:vAlign w:val="center"/>
          </w:tcPr>
          <w:p w14:paraId="5ED4B59A">
            <w:pPr>
              <w:rPr>
                <w:rFonts w:hint="eastAsia"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lang w:val="en-US" w:eastAsia="zh-CN"/>
              </w:rPr>
              <w:t>熟食间冷柜</w:t>
            </w:r>
            <w:r>
              <w:rPr>
                <w:rFonts w:hint="eastAsia" w:ascii="Times New Roman" w:hAnsi="Times New Roman" w:eastAsia="宋体" w:cs="Times New Roman"/>
                <w:color w:val="auto"/>
                <w:sz w:val="18"/>
                <w:szCs w:val="18"/>
                <w:highlight w:val="none"/>
              </w:rPr>
              <w:t>按卫生要求使用，无积霜、积污、血水现象，物品摆放整洁</w:t>
            </w:r>
          </w:p>
        </w:tc>
        <w:tc>
          <w:tcPr>
            <w:tcW w:w="613" w:type="dxa"/>
            <w:tcBorders>
              <w:top w:val="nil"/>
              <w:left w:val="nil"/>
              <w:bottom w:val="single" w:color="auto" w:sz="4" w:space="0"/>
              <w:right w:val="single" w:color="auto" w:sz="4" w:space="0"/>
            </w:tcBorders>
            <w:shd w:val="clear" w:color="auto" w:fill="auto"/>
            <w:vAlign w:val="center"/>
          </w:tcPr>
          <w:p w14:paraId="3D56C4CB">
            <w:pPr>
              <w:jc w:val="center"/>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2</w:t>
            </w:r>
          </w:p>
        </w:tc>
        <w:tc>
          <w:tcPr>
            <w:tcW w:w="587" w:type="dxa"/>
            <w:tcBorders>
              <w:top w:val="nil"/>
              <w:left w:val="nil"/>
              <w:bottom w:val="single" w:color="auto" w:sz="4" w:space="0"/>
              <w:right w:val="single" w:color="auto" w:sz="4" w:space="0"/>
            </w:tcBorders>
            <w:vAlign w:val="center"/>
          </w:tcPr>
          <w:p w14:paraId="108B50AC">
            <w:pPr>
              <w:rPr>
                <w:rFonts w:hint="eastAsia" w:ascii="Times New Roman" w:hAnsi="Times New Roman" w:eastAsia="宋体" w:cs="Times New Roman"/>
                <w:color w:val="auto"/>
                <w:sz w:val="18"/>
                <w:szCs w:val="18"/>
                <w:highlight w:val="none"/>
              </w:rPr>
            </w:pPr>
          </w:p>
        </w:tc>
        <w:tc>
          <w:tcPr>
            <w:tcW w:w="2098" w:type="dxa"/>
            <w:tcBorders>
              <w:top w:val="nil"/>
              <w:left w:val="nil"/>
              <w:bottom w:val="single" w:color="auto" w:sz="4" w:space="0"/>
              <w:right w:val="single" w:color="auto" w:sz="4" w:space="0"/>
            </w:tcBorders>
            <w:vAlign w:val="center"/>
          </w:tcPr>
          <w:p w14:paraId="310ED001">
            <w:pPr>
              <w:jc w:val="center"/>
              <w:rPr>
                <w:rFonts w:hint="eastAsia" w:ascii="Times New Roman" w:hAnsi="Times New Roman" w:eastAsia="宋体" w:cs="Times New Roman"/>
                <w:color w:val="auto"/>
                <w:sz w:val="18"/>
                <w:szCs w:val="18"/>
                <w:highlight w:val="none"/>
              </w:rPr>
            </w:pPr>
          </w:p>
        </w:tc>
      </w:tr>
      <w:tr w14:paraId="16D44A66">
        <w:tblPrEx>
          <w:tblCellMar>
            <w:top w:w="0" w:type="dxa"/>
            <w:left w:w="108" w:type="dxa"/>
            <w:bottom w:w="0" w:type="dxa"/>
            <w:right w:w="108" w:type="dxa"/>
          </w:tblCellMar>
        </w:tblPrEx>
        <w:trPr>
          <w:trHeight w:val="30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7F0F997A">
            <w:pPr>
              <w:keepNext w:val="0"/>
              <w:keepLines w:val="0"/>
              <w:widowControl/>
              <w:suppressLineNumbers w:val="0"/>
              <w:jc w:val="center"/>
              <w:textAlignment w:val="center"/>
              <w:rPr>
                <w:rFonts w:hint="eastAsia" w:ascii="Times New Roman" w:hAnsi="Times New Roman" w:eastAsia="等线" w:cs="Times New Roman"/>
                <w:color w:val="auto"/>
                <w:kern w:val="2"/>
                <w:sz w:val="21"/>
                <w:szCs w:val="21"/>
                <w:highlight w:val="none"/>
                <w:lang w:val="en-US" w:eastAsia="zh-CN" w:bidi="ar-SA"/>
              </w:rPr>
            </w:pPr>
            <w:r>
              <w:rPr>
                <w:rFonts w:hint="default" w:ascii="Times New Roman" w:hAnsi="Times New Roman" w:eastAsia="等线" w:cs="Times New Roman"/>
                <w:i w:val="0"/>
                <w:iCs w:val="0"/>
                <w:color w:val="auto"/>
                <w:kern w:val="0"/>
                <w:sz w:val="21"/>
                <w:szCs w:val="21"/>
                <w:highlight w:val="none"/>
                <w:u w:val="none"/>
                <w:lang w:val="en-US" w:eastAsia="zh-CN" w:bidi="ar"/>
              </w:rPr>
              <w:t>34</w:t>
            </w:r>
          </w:p>
        </w:tc>
        <w:tc>
          <w:tcPr>
            <w:tcW w:w="6111" w:type="dxa"/>
            <w:gridSpan w:val="2"/>
            <w:tcBorders>
              <w:top w:val="nil"/>
              <w:left w:val="nil"/>
              <w:bottom w:val="single" w:color="auto" w:sz="4" w:space="0"/>
              <w:right w:val="single" w:color="auto" w:sz="4" w:space="0"/>
            </w:tcBorders>
            <w:vAlign w:val="center"/>
          </w:tcPr>
          <w:p w14:paraId="23A3FCF1">
            <w:pPr>
              <w:rPr>
                <w:rFonts w:ascii="宋体" w:hAnsi="宋体" w:eastAsia="宋体" w:cs="宋体"/>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rPr>
              <w:t>候补式冷库或冰箱食品存放加盖或保鲜膜，记录加工</w:t>
            </w:r>
            <w:r>
              <w:rPr>
                <w:rFonts w:hint="eastAsia" w:ascii="Times New Roman" w:hAnsi="Times New Roman" w:eastAsia="宋体" w:cs="Times New Roman"/>
                <w:color w:val="auto"/>
                <w:sz w:val="18"/>
                <w:szCs w:val="18"/>
                <w:highlight w:val="none"/>
                <w:lang w:val="en-US" w:eastAsia="zh-CN"/>
              </w:rPr>
              <w:t>或</w:t>
            </w:r>
            <w:r>
              <w:rPr>
                <w:rFonts w:hint="eastAsia" w:ascii="Times New Roman" w:hAnsi="Times New Roman" w:eastAsia="宋体" w:cs="Times New Roman"/>
                <w:color w:val="auto"/>
                <w:sz w:val="18"/>
                <w:szCs w:val="18"/>
                <w:highlight w:val="none"/>
              </w:rPr>
              <w:t>生产日期</w:t>
            </w:r>
          </w:p>
        </w:tc>
        <w:tc>
          <w:tcPr>
            <w:tcW w:w="613" w:type="dxa"/>
            <w:tcBorders>
              <w:top w:val="nil"/>
              <w:left w:val="nil"/>
              <w:bottom w:val="single" w:color="auto" w:sz="4" w:space="0"/>
              <w:right w:val="single" w:color="auto" w:sz="4" w:space="0"/>
            </w:tcBorders>
            <w:vAlign w:val="center"/>
          </w:tcPr>
          <w:p w14:paraId="072C5F78">
            <w:pPr>
              <w:jc w:val="center"/>
              <w:rPr>
                <w:rFonts w:hint="default"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2</w:t>
            </w:r>
          </w:p>
        </w:tc>
        <w:tc>
          <w:tcPr>
            <w:tcW w:w="587" w:type="dxa"/>
            <w:tcBorders>
              <w:top w:val="nil"/>
              <w:left w:val="nil"/>
              <w:bottom w:val="single" w:color="auto" w:sz="4" w:space="0"/>
              <w:right w:val="single" w:color="auto" w:sz="4" w:space="0"/>
            </w:tcBorders>
            <w:vAlign w:val="center"/>
          </w:tcPr>
          <w:p w14:paraId="37CEA4AE">
            <w:pPr>
              <w:rPr>
                <w:rFonts w:hint="eastAsia"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　</w:t>
            </w:r>
          </w:p>
        </w:tc>
        <w:tc>
          <w:tcPr>
            <w:tcW w:w="2098" w:type="dxa"/>
            <w:tcBorders>
              <w:top w:val="nil"/>
              <w:left w:val="nil"/>
              <w:bottom w:val="single" w:color="auto" w:sz="4" w:space="0"/>
              <w:right w:val="single" w:color="auto" w:sz="4" w:space="0"/>
            </w:tcBorders>
            <w:vAlign w:val="center"/>
          </w:tcPr>
          <w:p w14:paraId="39717D4F">
            <w:pPr>
              <w:jc w:val="center"/>
              <w:rPr>
                <w:rFonts w:hint="eastAsia" w:ascii="Times New Roman" w:hAnsi="Times New Roman" w:eastAsia="宋体" w:cs="Times New Roman"/>
                <w:color w:val="auto"/>
                <w:sz w:val="18"/>
                <w:szCs w:val="18"/>
                <w:highlight w:val="none"/>
              </w:rPr>
            </w:pPr>
          </w:p>
        </w:tc>
      </w:tr>
      <w:tr w14:paraId="50B14228">
        <w:tblPrEx>
          <w:tblCellMar>
            <w:top w:w="0" w:type="dxa"/>
            <w:left w:w="108" w:type="dxa"/>
            <w:bottom w:w="0" w:type="dxa"/>
            <w:right w:w="108" w:type="dxa"/>
          </w:tblCellMar>
        </w:tblPrEx>
        <w:trPr>
          <w:trHeight w:val="30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71459BB5">
            <w:pPr>
              <w:keepNext w:val="0"/>
              <w:keepLines w:val="0"/>
              <w:widowControl/>
              <w:suppressLineNumbers w:val="0"/>
              <w:jc w:val="center"/>
              <w:textAlignment w:val="center"/>
              <w:rPr>
                <w:rFonts w:hint="eastAsia" w:ascii="Times New Roman" w:hAnsi="Times New Roman" w:eastAsia="等线" w:cs="Times New Roman"/>
                <w:color w:val="auto"/>
                <w:kern w:val="2"/>
                <w:sz w:val="21"/>
                <w:szCs w:val="21"/>
                <w:highlight w:val="none"/>
                <w:lang w:val="en-US" w:eastAsia="zh-CN" w:bidi="ar-SA"/>
              </w:rPr>
            </w:pPr>
            <w:r>
              <w:rPr>
                <w:rFonts w:hint="default" w:ascii="Times New Roman" w:hAnsi="Times New Roman" w:eastAsia="等线" w:cs="Times New Roman"/>
                <w:i w:val="0"/>
                <w:iCs w:val="0"/>
                <w:color w:val="auto"/>
                <w:kern w:val="0"/>
                <w:sz w:val="21"/>
                <w:szCs w:val="21"/>
                <w:highlight w:val="none"/>
                <w:u w:val="none"/>
                <w:lang w:val="en-US" w:eastAsia="zh-CN" w:bidi="ar"/>
              </w:rPr>
              <w:t>35</w:t>
            </w:r>
          </w:p>
        </w:tc>
        <w:tc>
          <w:tcPr>
            <w:tcW w:w="6111" w:type="dxa"/>
            <w:gridSpan w:val="2"/>
            <w:tcBorders>
              <w:top w:val="nil"/>
              <w:left w:val="nil"/>
              <w:bottom w:val="single" w:color="auto" w:sz="4" w:space="0"/>
              <w:right w:val="single" w:color="auto" w:sz="4" w:space="0"/>
            </w:tcBorders>
            <w:shd w:val="clear" w:color="auto" w:fill="auto"/>
            <w:vAlign w:val="center"/>
          </w:tcPr>
          <w:p w14:paraId="71BAF2DA">
            <w:pPr>
              <w:rPr>
                <w:rFonts w:hint="eastAsia" w:ascii="宋体" w:hAnsi="宋体" w:eastAsia="宋体" w:cs="宋体"/>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rPr>
              <w:t>成品、半成品、原材料分类存放，且有明显标识</w:t>
            </w:r>
            <w:r>
              <w:rPr>
                <w:rFonts w:hint="eastAsia" w:ascii="Times New Roman" w:hAnsi="Times New Roman" w:eastAsia="宋体" w:cs="Times New Roman"/>
                <w:color w:val="auto"/>
                <w:sz w:val="18"/>
                <w:szCs w:val="18"/>
                <w:highlight w:val="none"/>
                <w:lang w:val="en-US" w:eastAsia="zh-CN"/>
              </w:rPr>
              <w:t>区分</w:t>
            </w:r>
          </w:p>
        </w:tc>
        <w:tc>
          <w:tcPr>
            <w:tcW w:w="613" w:type="dxa"/>
            <w:tcBorders>
              <w:top w:val="nil"/>
              <w:left w:val="nil"/>
              <w:bottom w:val="single" w:color="auto" w:sz="4" w:space="0"/>
              <w:right w:val="single" w:color="auto" w:sz="4" w:space="0"/>
            </w:tcBorders>
            <w:shd w:val="clear" w:color="auto" w:fill="auto"/>
            <w:vAlign w:val="center"/>
          </w:tcPr>
          <w:p w14:paraId="518A7C13">
            <w:pPr>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2</w:t>
            </w:r>
          </w:p>
        </w:tc>
        <w:tc>
          <w:tcPr>
            <w:tcW w:w="587" w:type="dxa"/>
            <w:tcBorders>
              <w:top w:val="nil"/>
              <w:left w:val="nil"/>
              <w:bottom w:val="single" w:color="auto" w:sz="4" w:space="0"/>
              <w:right w:val="single" w:color="auto" w:sz="4" w:space="0"/>
            </w:tcBorders>
            <w:vAlign w:val="center"/>
          </w:tcPr>
          <w:p w14:paraId="5961C31D">
            <w:pPr>
              <w:rPr>
                <w:rFonts w:hint="eastAsia" w:ascii="Times New Roman" w:hAnsi="Times New Roman" w:eastAsia="宋体" w:cs="Times New Roman"/>
                <w:color w:val="auto"/>
                <w:sz w:val="18"/>
                <w:szCs w:val="18"/>
                <w:highlight w:val="none"/>
              </w:rPr>
            </w:pPr>
          </w:p>
        </w:tc>
        <w:tc>
          <w:tcPr>
            <w:tcW w:w="2098" w:type="dxa"/>
            <w:tcBorders>
              <w:top w:val="nil"/>
              <w:left w:val="nil"/>
              <w:bottom w:val="single" w:color="auto" w:sz="4" w:space="0"/>
              <w:right w:val="single" w:color="auto" w:sz="4" w:space="0"/>
            </w:tcBorders>
            <w:vAlign w:val="center"/>
          </w:tcPr>
          <w:p w14:paraId="6A8F5210">
            <w:pPr>
              <w:jc w:val="center"/>
              <w:rPr>
                <w:rFonts w:hint="eastAsia" w:ascii="Times New Roman" w:hAnsi="Times New Roman" w:eastAsia="宋体" w:cs="Times New Roman"/>
                <w:color w:val="auto"/>
                <w:sz w:val="18"/>
                <w:szCs w:val="18"/>
                <w:highlight w:val="none"/>
              </w:rPr>
            </w:pPr>
          </w:p>
        </w:tc>
      </w:tr>
      <w:tr w14:paraId="211F86A5">
        <w:tblPrEx>
          <w:tblCellMar>
            <w:top w:w="0" w:type="dxa"/>
            <w:left w:w="108" w:type="dxa"/>
            <w:bottom w:w="0" w:type="dxa"/>
            <w:right w:w="108" w:type="dxa"/>
          </w:tblCellMar>
        </w:tblPrEx>
        <w:trPr>
          <w:trHeight w:val="300" w:hRule="atLeast"/>
          <w:jc w:val="center"/>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14:paraId="73AE8887">
            <w:pPr>
              <w:keepNext w:val="0"/>
              <w:keepLines w:val="0"/>
              <w:widowControl/>
              <w:suppressLineNumbers w:val="0"/>
              <w:jc w:val="center"/>
              <w:textAlignment w:val="center"/>
              <w:rPr>
                <w:rFonts w:hint="eastAsia" w:ascii="Times New Roman" w:hAnsi="Times New Roman" w:eastAsia="等线" w:cs="Times New Roman"/>
                <w:color w:val="auto"/>
                <w:kern w:val="2"/>
                <w:sz w:val="21"/>
                <w:szCs w:val="21"/>
                <w:highlight w:val="none"/>
                <w:lang w:val="en-US" w:eastAsia="zh-CN" w:bidi="ar-SA"/>
              </w:rPr>
            </w:pPr>
            <w:r>
              <w:rPr>
                <w:rFonts w:hint="default" w:ascii="Times New Roman" w:hAnsi="Times New Roman" w:eastAsia="等线" w:cs="Times New Roman"/>
                <w:i w:val="0"/>
                <w:iCs w:val="0"/>
                <w:color w:val="auto"/>
                <w:kern w:val="0"/>
                <w:sz w:val="21"/>
                <w:szCs w:val="21"/>
                <w:highlight w:val="none"/>
                <w:u w:val="none"/>
                <w:lang w:val="en-US" w:eastAsia="zh-CN" w:bidi="ar"/>
              </w:rPr>
              <w:t>36</w:t>
            </w:r>
          </w:p>
        </w:tc>
        <w:tc>
          <w:tcPr>
            <w:tcW w:w="61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5CCBA5D">
            <w:pPr>
              <w:rPr>
                <w:rFonts w:hint="eastAsia" w:ascii="宋体" w:hAnsi="宋体" w:eastAsia="宋体" w:cs="宋体"/>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rPr>
              <w:t>肉类、海鲜、蔬菜的盛装容器按规定</w:t>
            </w:r>
            <w:r>
              <w:rPr>
                <w:rFonts w:hint="eastAsia" w:ascii="Times New Roman" w:hAnsi="Times New Roman" w:eastAsia="宋体" w:cs="Times New Roman"/>
                <w:color w:val="auto"/>
                <w:sz w:val="18"/>
                <w:szCs w:val="18"/>
                <w:highlight w:val="none"/>
                <w:lang w:val="en-US" w:eastAsia="zh-CN"/>
              </w:rPr>
              <w:t>分类</w:t>
            </w:r>
            <w:r>
              <w:rPr>
                <w:rFonts w:hint="eastAsia" w:ascii="Times New Roman" w:hAnsi="Times New Roman" w:eastAsia="宋体" w:cs="Times New Roman"/>
                <w:color w:val="auto"/>
                <w:sz w:val="18"/>
                <w:szCs w:val="18"/>
                <w:highlight w:val="none"/>
              </w:rPr>
              <w:t>使用</w:t>
            </w:r>
          </w:p>
        </w:tc>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14:paraId="1B7E758E">
            <w:pPr>
              <w:jc w:val="center"/>
              <w:rPr>
                <w:rFonts w:hint="default"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lang w:val="en-US" w:eastAsia="zh-CN"/>
              </w:rPr>
              <w:t>2</w:t>
            </w:r>
          </w:p>
        </w:tc>
        <w:tc>
          <w:tcPr>
            <w:tcW w:w="587" w:type="dxa"/>
            <w:tcBorders>
              <w:top w:val="single" w:color="auto" w:sz="4" w:space="0"/>
              <w:left w:val="single" w:color="auto" w:sz="4" w:space="0"/>
              <w:bottom w:val="single" w:color="auto" w:sz="4" w:space="0"/>
              <w:right w:val="single" w:color="auto" w:sz="4" w:space="0"/>
            </w:tcBorders>
            <w:vAlign w:val="center"/>
          </w:tcPr>
          <w:p w14:paraId="646100D4">
            <w:pPr>
              <w:rPr>
                <w:rFonts w:hint="eastAsia"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　</w:t>
            </w:r>
          </w:p>
        </w:tc>
        <w:tc>
          <w:tcPr>
            <w:tcW w:w="2098" w:type="dxa"/>
            <w:tcBorders>
              <w:top w:val="single" w:color="auto" w:sz="4" w:space="0"/>
              <w:left w:val="single" w:color="auto" w:sz="4" w:space="0"/>
              <w:bottom w:val="single" w:color="auto" w:sz="4" w:space="0"/>
              <w:right w:val="single" w:color="auto" w:sz="4" w:space="0"/>
            </w:tcBorders>
            <w:vAlign w:val="center"/>
          </w:tcPr>
          <w:p w14:paraId="17900FAA">
            <w:pPr>
              <w:jc w:val="center"/>
              <w:rPr>
                <w:rFonts w:hint="eastAsia" w:ascii="Times New Roman" w:hAnsi="Times New Roman" w:eastAsia="宋体" w:cs="Times New Roman"/>
                <w:color w:val="auto"/>
                <w:sz w:val="18"/>
                <w:szCs w:val="18"/>
                <w:highlight w:val="none"/>
              </w:rPr>
            </w:pPr>
          </w:p>
        </w:tc>
      </w:tr>
      <w:tr w14:paraId="1BFC7633">
        <w:tblPrEx>
          <w:tblCellMar>
            <w:top w:w="0" w:type="dxa"/>
            <w:left w:w="108" w:type="dxa"/>
            <w:bottom w:w="0" w:type="dxa"/>
            <w:right w:w="108" w:type="dxa"/>
          </w:tblCellMar>
        </w:tblPrEx>
        <w:trPr>
          <w:trHeight w:val="390" w:hRule="atLeast"/>
          <w:jc w:val="center"/>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14:paraId="200712F6">
            <w:pPr>
              <w:keepNext w:val="0"/>
              <w:keepLines w:val="0"/>
              <w:widowControl/>
              <w:suppressLineNumbers w:val="0"/>
              <w:jc w:val="center"/>
              <w:textAlignment w:val="center"/>
              <w:rPr>
                <w:rFonts w:hint="eastAsia" w:ascii="Times New Roman" w:hAnsi="Times New Roman" w:eastAsia="等线" w:cs="Times New Roman"/>
                <w:color w:val="auto"/>
                <w:kern w:val="2"/>
                <w:sz w:val="21"/>
                <w:szCs w:val="21"/>
                <w:highlight w:val="none"/>
                <w:lang w:val="en-US" w:eastAsia="zh-CN" w:bidi="ar-SA"/>
              </w:rPr>
            </w:pPr>
            <w:r>
              <w:rPr>
                <w:rFonts w:hint="default" w:ascii="Times New Roman" w:hAnsi="Times New Roman" w:eastAsia="等线" w:cs="Times New Roman"/>
                <w:i w:val="0"/>
                <w:iCs w:val="0"/>
                <w:color w:val="auto"/>
                <w:kern w:val="0"/>
                <w:sz w:val="21"/>
                <w:szCs w:val="21"/>
                <w:highlight w:val="none"/>
                <w:u w:val="none"/>
                <w:lang w:val="en-US" w:eastAsia="zh-CN" w:bidi="ar"/>
              </w:rPr>
              <w:t>37</w:t>
            </w:r>
          </w:p>
        </w:tc>
        <w:tc>
          <w:tcPr>
            <w:tcW w:w="6111" w:type="dxa"/>
            <w:gridSpan w:val="2"/>
            <w:tcBorders>
              <w:top w:val="single" w:color="auto" w:sz="4" w:space="0"/>
              <w:left w:val="nil"/>
              <w:bottom w:val="single" w:color="auto" w:sz="4" w:space="0"/>
              <w:right w:val="single" w:color="auto" w:sz="4" w:space="0"/>
            </w:tcBorders>
            <w:shd w:val="clear" w:color="auto" w:fill="auto"/>
            <w:vAlign w:val="center"/>
          </w:tcPr>
          <w:p w14:paraId="4E905571">
            <w:pP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rPr>
              <w:t>熟食、原材料盛放器具分类清楚，无交叉混用</w:t>
            </w:r>
          </w:p>
        </w:tc>
        <w:tc>
          <w:tcPr>
            <w:tcW w:w="613" w:type="dxa"/>
            <w:tcBorders>
              <w:top w:val="single" w:color="auto" w:sz="4" w:space="0"/>
              <w:left w:val="nil"/>
              <w:bottom w:val="single" w:color="auto" w:sz="4" w:space="0"/>
              <w:right w:val="single" w:color="auto" w:sz="4" w:space="0"/>
            </w:tcBorders>
            <w:shd w:val="clear" w:color="auto" w:fill="auto"/>
            <w:vAlign w:val="center"/>
          </w:tcPr>
          <w:p w14:paraId="499E68E2">
            <w:pPr>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lang w:val="en-US" w:eastAsia="zh-CN"/>
              </w:rPr>
              <w:t>2</w:t>
            </w:r>
          </w:p>
        </w:tc>
        <w:tc>
          <w:tcPr>
            <w:tcW w:w="587" w:type="dxa"/>
            <w:tcBorders>
              <w:top w:val="single" w:color="auto" w:sz="4" w:space="0"/>
              <w:left w:val="nil"/>
              <w:bottom w:val="single" w:color="auto" w:sz="4" w:space="0"/>
              <w:right w:val="single" w:color="auto" w:sz="4" w:space="0"/>
            </w:tcBorders>
            <w:vAlign w:val="center"/>
          </w:tcPr>
          <w:p w14:paraId="063BD0F2">
            <w:pPr>
              <w:rPr>
                <w:rFonts w:hint="eastAsia"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　</w:t>
            </w:r>
          </w:p>
        </w:tc>
        <w:tc>
          <w:tcPr>
            <w:tcW w:w="2098" w:type="dxa"/>
            <w:tcBorders>
              <w:top w:val="single" w:color="auto" w:sz="4" w:space="0"/>
              <w:left w:val="nil"/>
              <w:bottom w:val="single" w:color="auto" w:sz="4" w:space="0"/>
              <w:right w:val="single" w:color="auto" w:sz="4" w:space="0"/>
            </w:tcBorders>
            <w:vAlign w:val="center"/>
          </w:tcPr>
          <w:p w14:paraId="5700B8D9">
            <w:pPr>
              <w:jc w:val="center"/>
              <w:rPr>
                <w:rFonts w:hint="default" w:ascii="Times New Roman" w:hAnsi="Times New Roman" w:eastAsia="宋体" w:cs="Times New Roman"/>
                <w:color w:val="auto"/>
                <w:sz w:val="18"/>
                <w:szCs w:val="18"/>
                <w:highlight w:val="none"/>
                <w:lang w:val="en-US" w:eastAsia="zh-CN"/>
              </w:rPr>
            </w:pPr>
          </w:p>
        </w:tc>
      </w:tr>
      <w:tr w14:paraId="595888CC">
        <w:tblPrEx>
          <w:tblCellMar>
            <w:top w:w="0" w:type="dxa"/>
            <w:left w:w="108" w:type="dxa"/>
            <w:bottom w:w="0" w:type="dxa"/>
            <w:right w:w="108" w:type="dxa"/>
          </w:tblCellMar>
        </w:tblPrEx>
        <w:trPr>
          <w:trHeight w:val="300" w:hRule="atLeast"/>
          <w:jc w:val="center"/>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14:paraId="70BB6BCA">
            <w:pPr>
              <w:keepNext w:val="0"/>
              <w:keepLines w:val="0"/>
              <w:widowControl/>
              <w:suppressLineNumbers w:val="0"/>
              <w:jc w:val="center"/>
              <w:textAlignment w:val="center"/>
              <w:rPr>
                <w:rFonts w:hint="eastAsia" w:ascii="Times New Roman" w:hAnsi="Times New Roman" w:eastAsia="等线" w:cs="Times New Roman"/>
                <w:color w:val="auto"/>
                <w:kern w:val="2"/>
                <w:sz w:val="21"/>
                <w:szCs w:val="21"/>
                <w:highlight w:val="none"/>
                <w:lang w:val="en-US" w:eastAsia="zh-CN" w:bidi="ar-SA"/>
              </w:rPr>
            </w:pPr>
            <w:r>
              <w:rPr>
                <w:rFonts w:hint="default" w:ascii="Times New Roman" w:hAnsi="Times New Roman" w:eastAsia="等线" w:cs="Times New Roman"/>
                <w:i w:val="0"/>
                <w:iCs w:val="0"/>
                <w:color w:val="auto"/>
                <w:kern w:val="0"/>
                <w:sz w:val="21"/>
                <w:szCs w:val="21"/>
                <w:highlight w:val="none"/>
                <w:u w:val="none"/>
                <w:lang w:val="en-US" w:eastAsia="zh-CN" w:bidi="ar"/>
              </w:rPr>
              <w:t>38</w:t>
            </w:r>
          </w:p>
        </w:tc>
        <w:tc>
          <w:tcPr>
            <w:tcW w:w="6111" w:type="dxa"/>
            <w:gridSpan w:val="2"/>
            <w:tcBorders>
              <w:top w:val="single" w:color="auto" w:sz="4" w:space="0"/>
              <w:left w:val="nil"/>
              <w:bottom w:val="single" w:color="auto" w:sz="4" w:space="0"/>
              <w:right w:val="single" w:color="auto" w:sz="4" w:space="0"/>
            </w:tcBorders>
            <w:shd w:val="clear" w:color="auto" w:fill="auto"/>
            <w:vAlign w:val="center"/>
          </w:tcPr>
          <w:p w14:paraId="26C52BB8">
            <w:pPr>
              <w:ind w:left="0" w:leftChars="0" w:firstLine="0" w:firstLineChars="0"/>
              <w:rPr>
                <w:rFonts w:hint="eastAsia" w:ascii="宋体" w:hAnsi="宋体" w:eastAsia="宋体" w:cs="宋体"/>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rPr>
              <w:t>肉类、蔬菜、海鲜分</w:t>
            </w:r>
            <w:r>
              <w:rPr>
                <w:rFonts w:hint="eastAsia" w:ascii="Times New Roman" w:hAnsi="Times New Roman" w:eastAsia="宋体" w:cs="Times New Roman"/>
                <w:color w:val="auto"/>
                <w:sz w:val="18"/>
                <w:szCs w:val="18"/>
                <w:highlight w:val="none"/>
                <w:lang w:val="en-US" w:eastAsia="zh-CN"/>
              </w:rPr>
              <w:t>类</w:t>
            </w:r>
            <w:r>
              <w:rPr>
                <w:rFonts w:hint="eastAsia" w:ascii="Times New Roman" w:hAnsi="Times New Roman" w:eastAsia="宋体" w:cs="Times New Roman"/>
                <w:color w:val="auto"/>
                <w:sz w:val="18"/>
                <w:szCs w:val="18"/>
                <w:highlight w:val="none"/>
              </w:rPr>
              <w:t>加工及清洗，刀具、砧板、工作台、清洗池专</w:t>
            </w:r>
            <w:r>
              <w:rPr>
                <w:rFonts w:hint="eastAsia" w:ascii="Times New Roman" w:hAnsi="Times New Roman" w:eastAsia="宋体" w:cs="Times New Roman"/>
                <w:color w:val="auto"/>
                <w:sz w:val="18"/>
                <w:szCs w:val="18"/>
                <w:highlight w:val="none"/>
                <w:lang w:val="en-US" w:eastAsia="zh-CN"/>
              </w:rPr>
              <w:t>用</w:t>
            </w:r>
          </w:p>
        </w:tc>
        <w:tc>
          <w:tcPr>
            <w:tcW w:w="613" w:type="dxa"/>
            <w:tcBorders>
              <w:top w:val="single" w:color="auto" w:sz="4" w:space="0"/>
              <w:left w:val="nil"/>
              <w:bottom w:val="single" w:color="auto" w:sz="4" w:space="0"/>
              <w:right w:val="single" w:color="auto" w:sz="4" w:space="0"/>
            </w:tcBorders>
            <w:shd w:val="clear" w:color="auto" w:fill="auto"/>
            <w:vAlign w:val="center"/>
          </w:tcPr>
          <w:p w14:paraId="3D7AF2BA">
            <w:pPr>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lang w:val="en-US" w:eastAsia="zh-CN"/>
              </w:rPr>
              <w:t>2</w:t>
            </w:r>
          </w:p>
        </w:tc>
        <w:tc>
          <w:tcPr>
            <w:tcW w:w="587" w:type="dxa"/>
            <w:tcBorders>
              <w:top w:val="single" w:color="auto" w:sz="4" w:space="0"/>
              <w:left w:val="nil"/>
              <w:bottom w:val="single" w:color="auto" w:sz="4" w:space="0"/>
              <w:right w:val="single" w:color="auto" w:sz="4" w:space="0"/>
            </w:tcBorders>
            <w:vAlign w:val="center"/>
          </w:tcPr>
          <w:p w14:paraId="3E04640D">
            <w:pPr>
              <w:rPr>
                <w:rFonts w:hint="eastAsia"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　</w:t>
            </w:r>
          </w:p>
        </w:tc>
        <w:tc>
          <w:tcPr>
            <w:tcW w:w="2098" w:type="dxa"/>
            <w:tcBorders>
              <w:top w:val="single" w:color="auto" w:sz="4" w:space="0"/>
              <w:left w:val="nil"/>
              <w:bottom w:val="single" w:color="auto" w:sz="4" w:space="0"/>
              <w:right w:val="single" w:color="auto" w:sz="4" w:space="0"/>
            </w:tcBorders>
            <w:vAlign w:val="center"/>
          </w:tcPr>
          <w:p w14:paraId="21D173E9">
            <w:pPr>
              <w:jc w:val="center"/>
              <w:rPr>
                <w:rFonts w:hint="eastAsia" w:ascii="Times New Roman" w:hAnsi="Times New Roman" w:eastAsia="宋体" w:cs="Times New Roman"/>
                <w:color w:val="auto"/>
                <w:sz w:val="18"/>
                <w:szCs w:val="18"/>
                <w:highlight w:val="none"/>
              </w:rPr>
            </w:pPr>
          </w:p>
        </w:tc>
      </w:tr>
      <w:tr w14:paraId="46B2F53A">
        <w:tblPrEx>
          <w:tblCellMar>
            <w:top w:w="0" w:type="dxa"/>
            <w:left w:w="108" w:type="dxa"/>
            <w:bottom w:w="0" w:type="dxa"/>
            <w:right w:w="108" w:type="dxa"/>
          </w:tblCellMar>
        </w:tblPrEx>
        <w:trPr>
          <w:trHeight w:val="30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5FFD0C3E">
            <w:pPr>
              <w:keepNext w:val="0"/>
              <w:keepLines w:val="0"/>
              <w:widowControl/>
              <w:suppressLineNumbers w:val="0"/>
              <w:jc w:val="center"/>
              <w:textAlignment w:val="center"/>
              <w:rPr>
                <w:rFonts w:hint="eastAsia" w:ascii="Times New Roman" w:hAnsi="Times New Roman" w:eastAsia="等线" w:cs="Times New Roman"/>
                <w:color w:val="auto"/>
                <w:kern w:val="2"/>
                <w:sz w:val="21"/>
                <w:szCs w:val="21"/>
                <w:highlight w:val="none"/>
                <w:lang w:val="en-US" w:eastAsia="zh-CN" w:bidi="ar-SA"/>
              </w:rPr>
            </w:pPr>
            <w:r>
              <w:rPr>
                <w:rFonts w:hint="default" w:ascii="Times New Roman" w:hAnsi="Times New Roman" w:eastAsia="等线" w:cs="Times New Roman"/>
                <w:i w:val="0"/>
                <w:iCs w:val="0"/>
                <w:color w:val="auto"/>
                <w:kern w:val="0"/>
                <w:sz w:val="21"/>
                <w:szCs w:val="21"/>
                <w:highlight w:val="none"/>
                <w:u w:val="none"/>
                <w:lang w:val="en-US" w:eastAsia="zh-CN" w:bidi="ar"/>
              </w:rPr>
              <w:t>39</w:t>
            </w:r>
          </w:p>
        </w:tc>
        <w:tc>
          <w:tcPr>
            <w:tcW w:w="6111" w:type="dxa"/>
            <w:gridSpan w:val="2"/>
            <w:tcBorders>
              <w:top w:val="nil"/>
              <w:left w:val="nil"/>
              <w:bottom w:val="single" w:color="auto" w:sz="4" w:space="0"/>
              <w:right w:val="single" w:color="auto" w:sz="4" w:space="0"/>
            </w:tcBorders>
            <w:shd w:val="clear" w:color="auto" w:fill="auto"/>
            <w:vAlign w:val="center"/>
          </w:tcPr>
          <w:p w14:paraId="677576BA">
            <w:pPr>
              <w:ind w:left="0" w:leftChars="0" w:firstLine="0" w:firstLineChars="0"/>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rPr>
              <w:t>各类砧板、刀具按规定进行</w:t>
            </w:r>
            <w:r>
              <w:rPr>
                <w:rFonts w:hint="eastAsia" w:ascii="Times New Roman" w:hAnsi="Times New Roman" w:eastAsia="宋体" w:cs="Times New Roman"/>
                <w:color w:val="auto"/>
                <w:sz w:val="18"/>
                <w:szCs w:val="18"/>
                <w:highlight w:val="none"/>
                <w:lang w:val="en-US" w:eastAsia="zh-CN"/>
              </w:rPr>
              <w:t>分类使用</w:t>
            </w:r>
            <w:r>
              <w:rPr>
                <w:rFonts w:hint="eastAsia" w:ascii="Times New Roman" w:hAnsi="Times New Roman" w:eastAsia="宋体" w:cs="Times New Roman"/>
                <w:color w:val="auto"/>
                <w:sz w:val="18"/>
                <w:szCs w:val="18"/>
                <w:highlight w:val="none"/>
              </w:rPr>
              <w:t>，每餐工作后进行消毒</w:t>
            </w:r>
          </w:p>
        </w:tc>
        <w:tc>
          <w:tcPr>
            <w:tcW w:w="613" w:type="dxa"/>
            <w:tcBorders>
              <w:top w:val="nil"/>
              <w:left w:val="nil"/>
              <w:bottom w:val="single" w:color="auto" w:sz="4" w:space="0"/>
              <w:right w:val="single" w:color="auto" w:sz="4" w:space="0"/>
            </w:tcBorders>
            <w:shd w:val="clear" w:color="auto" w:fill="auto"/>
            <w:vAlign w:val="center"/>
          </w:tcPr>
          <w:p w14:paraId="10CC0324">
            <w:pPr>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lang w:val="en-US" w:eastAsia="zh-CN"/>
              </w:rPr>
              <w:t>1</w:t>
            </w:r>
          </w:p>
        </w:tc>
        <w:tc>
          <w:tcPr>
            <w:tcW w:w="587" w:type="dxa"/>
            <w:tcBorders>
              <w:top w:val="nil"/>
              <w:left w:val="nil"/>
              <w:bottom w:val="single" w:color="auto" w:sz="4" w:space="0"/>
              <w:right w:val="single" w:color="auto" w:sz="4" w:space="0"/>
            </w:tcBorders>
            <w:vAlign w:val="center"/>
          </w:tcPr>
          <w:p w14:paraId="5E900D91">
            <w:pPr>
              <w:rPr>
                <w:rFonts w:hint="eastAsia" w:ascii="Times New Roman" w:hAnsi="Times New Roman" w:eastAsia="宋体" w:cs="Times New Roman"/>
                <w:color w:val="auto"/>
                <w:sz w:val="18"/>
                <w:szCs w:val="18"/>
                <w:highlight w:val="none"/>
              </w:rPr>
            </w:pPr>
          </w:p>
        </w:tc>
        <w:tc>
          <w:tcPr>
            <w:tcW w:w="2098" w:type="dxa"/>
            <w:tcBorders>
              <w:top w:val="nil"/>
              <w:left w:val="nil"/>
              <w:bottom w:val="single" w:color="auto" w:sz="4" w:space="0"/>
              <w:right w:val="single" w:color="auto" w:sz="4" w:space="0"/>
            </w:tcBorders>
            <w:vAlign w:val="center"/>
          </w:tcPr>
          <w:p w14:paraId="28EF5064">
            <w:pPr>
              <w:rPr>
                <w:rFonts w:hint="eastAsia" w:ascii="Times New Roman" w:hAnsi="Times New Roman" w:eastAsia="宋体" w:cs="Times New Roman"/>
                <w:color w:val="auto"/>
                <w:sz w:val="18"/>
                <w:szCs w:val="18"/>
                <w:highlight w:val="none"/>
              </w:rPr>
            </w:pPr>
          </w:p>
        </w:tc>
      </w:tr>
      <w:tr w14:paraId="2EEF7EE6">
        <w:tblPrEx>
          <w:tblCellMar>
            <w:top w:w="0" w:type="dxa"/>
            <w:left w:w="108" w:type="dxa"/>
            <w:bottom w:w="0" w:type="dxa"/>
            <w:right w:w="108" w:type="dxa"/>
          </w:tblCellMar>
        </w:tblPrEx>
        <w:trPr>
          <w:trHeight w:val="30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58694D99">
            <w:pPr>
              <w:keepNext w:val="0"/>
              <w:keepLines w:val="0"/>
              <w:widowControl/>
              <w:suppressLineNumbers w:val="0"/>
              <w:jc w:val="center"/>
              <w:textAlignment w:val="center"/>
              <w:rPr>
                <w:rFonts w:hint="default" w:ascii="Times New Roman" w:hAnsi="Times New Roman" w:eastAsia="等线" w:cs="Times New Roman"/>
                <w:color w:val="auto"/>
                <w:kern w:val="2"/>
                <w:sz w:val="21"/>
                <w:szCs w:val="21"/>
                <w:highlight w:val="none"/>
                <w:lang w:val="en-US" w:eastAsia="zh-CN" w:bidi="ar-SA"/>
              </w:rPr>
            </w:pPr>
            <w:r>
              <w:rPr>
                <w:rFonts w:hint="default" w:ascii="Times New Roman" w:hAnsi="Times New Roman" w:eastAsia="等线" w:cs="Times New Roman"/>
                <w:i w:val="0"/>
                <w:iCs w:val="0"/>
                <w:color w:val="auto"/>
                <w:kern w:val="0"/>
                <w:sz w:val="21"/>
                <w:szCs w:val="21"/>
                <w:highlight w:val="none"/>
                <w:u w:val="none"/>
                <w:lang w:val="en-US" w:eastAsia="zh-CN" w:bidi="ar"/>
              </w:rPr>
              <w:t>40</w:t>
            </w:r>
          </w:p>
        </w:tc>
        <w:tc>
          <w:tcPr>
            <w:tcW w:w="6111" w:type="dxa"/>
            <w:gridSpan w:val="2"/>
            <w:tcBorders>
              <w:top w:val="nil"/>
              <w:left w:val="nil"/>
              <w:bottom w:val="single" w:color="auto" w:sz="4" w:space="0"/>
              <w:right w:val="single" w:color="auto" w:sz="4" w:space="0"/>
            </w:tcBorders>
            <w:shd w:val="clear" w:color="auto" w:fill="auto"/>
            <w:vAlign w:val="center"/>
          </w:tcPr>
          <w:p w14:paraId="03AEA194">
            <w:pPr>
              <w:rPr>
                <w:rFonts w:hint="eastAsia" w:ascii="宋体" w:hAnsi="宋体" w:eastAsia="宋体" w:cs="宋体"/>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rPr>
              <w:t>各类清洗水池保持干净</w:t>
            </w:r>
            <w:r>
              <w:rPr>
                <w:rFonts w:hint="eastAsia" w:ascii="Times New Roman" w:hAnsi="Times New Roman" w:eastAsia="宋体" w:cs="Times New Roman"/>
                <w:color w:val="auto"/>
                <w:sz w:val="18"/>
                <w:szCs w:val="18"/>
                <w:highlight w:val="none"/>
                <w:lang w:eastAsia="zh-CN"/>
              </w:rPr>
              <w:t>，</w:t>
            </w:r>
            <w:r>
              <w:rPr>
                <w:rFonts w:hint="eastAsia" w:ascii="Times New Roman" w:hAnsi="Times New Roman" w:eastAsia="宋体" w:cs="Times New Roman"/>
                <w:color w:val="auto"/>
                <w:sz w:val="18"/>
                <w:szCs w:val="18"/>
                <w:highlight w:val="none"/>
                <w:lang w:val="en-US" w:eastAsia="zh-CN"/>
              </w:rPr>
              <w:t>水池内外</w:t>
            </w:r>
            <w:r>
              <w:rPr>
                <w:rFonts w:hint="eastAsia" w:ascii="Times New Roman" w:hAnsi="Times New Roman" w:eastAsia="宋体" w:cs="Times New Roman"/>
                <w:color w:val="auto"/>
                <w:sz w:val="18"/>
                <w:szCs w:val="18"/>
                <w:highlight w:val="none"/>
              </w:rPr>
              <w:t>无污垢和残渍</w:t>
            </w:r>
          </w:p>
        </w:tc>
        <w:tc>
          <w:tcPr>
            <w:tcW w:w="613" w:type="dxa"/>
            <w:tcBorders>
              <w:top w:val="nil"/>
              <w:left w:val="nil"/>
              <w:bottom w:val="single" w:color="auto" w:sz="4" w:space="0"/>
              <w:right w:val="single" w:color="auto" w:sz="4" w:space="0"/>
            </w:tcBorders>
            <w:shd w:val="clear" w:color="auto" w:fill="auto"/>
            <w:vAlign w:val="center"/>
          </w:tcPr>
          <w:p w14:paraId="19D0EBA4">
            <w:pPr>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1</w:t>
            </w:r>
          </w:p>
        </w:tc>
        <w:tc>
          <w:tcPr>
            <w:tcW w:w="587" w:type="dxa"/>
            <w:tcBorders>
              <w:top w:val="nil"/>
              <w:left w:val="nil"/>
              <w:bottom w:val="single" w:color="auto" w:sz="4" w:space="0"/>
              <w:right w:val="single" w:color="auto" w:sz="4" w:space="0"/>
            </w:tcBorders>
            <w:vAlign w:val="center"/>
          </w:tcPr>
          <w:p w14:paraId="4B44238C">
            <w:pPr>
              <w:rPr>
                <w:rFonts w:hint="eastAsia" w:ascii="Times New Roman" w:hAnsi="Times New Roman" w:eastAsia="宋体" w:cs="Times New Roman"/>
                <w:color w:val="auto"/>
                <w:sz w:val="18"/>
                <w:szCs w:val="18"/>
                <w:highlight w:val="none"/>
              </w:rPr>
            </w:pPr>
          </w:p>
        </w:tc>
        <w:tc>
          <w:tcPr>
            <w:tcW w:w="2098" w:type="dxa"/>
            <w:tcBorders>
              <w:top w:val="nil"/>
              <w:left w:val="nil"/>
              <w:bottom w:val="single" w:color="auto" w:sz="4" w:space="0"/>
              <w:right w:val="single" w:color="auto" w:sz="4" w:space="0"/>
            </w:tcBorders>
            <w:vAlign w:val="center"/>
          </w:tcPr>
          <w:p w14:paraId="3220F9B9">
            <w:pPr>
              <w:rPr>
                <w:rFonts w:hint="eastAsia" w:ascii="Times New Roman" w:hAnsi="Times New Roman" w:eastAsia="宋体" w:cs="Times New Roman"/>
                <w:color w:val="auto"/>
                <w:sz w:val="18"/>
                <w:szCs w:val="18"/>
                <w:highlight w:val="none"/>
              </w:rPr>
            </w:pPr>
          </w:p>
        </w:tc>
      </w:tr>
      <w:tr w14:paraId="5B7AFE75">
        <w:tblPrEx>
          <w:tblCellMar>
            <w:top w:w="0" w:type="dxa"/>
            <w:left w:w="108" w:type="dxa"/>
            <w:bottom w:w="0" w:type="dxa"/>
            <w:right w:w="108" w:type="dxa"/>
          </w:tblCellMar>
        </w:tblPrEx>
        <w:trPr>
          <w:trHeight w:val="30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5D248AE7">
            <w:pPr>
              <w:keepNext w:val="0"/>
              <w:keepLines w:val="0"/>
              <w:widowControl/>
              <w:suppressLineNumbers w:val="0"/>
              <w:jc w:val="center"/>
              <w:textAlignment w:val="center"/>
              <w:rPr>
                <w:rFonts w:hint="eastAsia" w:ascii="Times New Roman" w:hAnsi="Times New Roman" w:eastAsia="等线" w:cs="Times New Roman"/>
                <w:color w:val="auto"/>
                <w:kern w:val="2"/>
                <w:sz w:val="21"/>
                <w:szCs w:val="21"/>
                <w:highlight w:val="none"/>
                <w:lang w:val="en-US" w:eastAsia="zh-CN" w:bidi="ar-SA"/>
              </w:rPr>
            </w:pPr>
            <w:r>
              <w:rPr>
                <w:rFonts w:hint="default" w:ascii="Times New Roman" w:hAnsi="Times New Roman" w:eastAsia="等线" w:cs="Times New Roman"/>
                <w:i w:val="0"/>
                <w:iCs w:val="0"/>
                <w:color w:val="auto"/>
                <w:kern w:val="0"/>
                <w:sz w:val="21"/>
                <w:szCs w:val="21"/>
                <w:highlight w:val="none"/>
                <w:u w:val="none"/>
                <w:lang w:val="en-US" w:eastAsia="zh-CN" w:bidi="ar"/>
              </w:rPr>
              <w:t>41</w:t>
            </w:r>
          </w:p>
        </w:tc>
        <w:tc>
          <w:tcPr>
            <w:tcW w:w="6111" w:type="dxa"/>
            <w:gridSpan w:val="2"/>
            <w:tcBorders>
              <w:top w:val="nil"/>
              <w:left w:val="nil"/>
              <w:bottom w:val="single" w:color="auto" w:sz="4" w:space="0"/>
              <w:right w:val="single" w:color="auto" w:sz="4" w:space="0"/>
            </w:tcBorders>
            <w:shd w:val="clear" w:color="auto" w:fill="auto"/>
            <w:vAlign w:val="center"/>
          </w:tcPr>
          <w:p w14:paraId="240793BB">
            <w:pPr>
              <w:rPr>
                <w:rFonts w:hint="default" w:ascii="宋体" w:hAnsi="宋体" w:eastAsia="宋体" w:cs="宋体"/>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rPr>
              <w:t>食品加工处理区</w:t>
            </w:r>
            <w:r>
              <w:rPr>
                <w:rFonts w:hint="eastAsia" w:ascii="Times New Roman" w:hAnsi="Times New Roman" w:eastAsia="宋体" w:cs="Times New Roman"/>
                <w:color w:val="auto"/>
                <w:sz w:val="18"/>
                <w:szCs w:val="18"/>
                <w:highlight w:val="none"/>
                <w:lang w:val="en-US" w:eastAsia="zh-CN"/>
              </w:rPr>
              <w:t>及售卖间</w:t>
            </w:r>
            <w:r>
              <w:rPr>
                <w:rFonts w:hint="eastAsia" w:ascii="Times New Roman" w:hAnsi="Times New Roman" w:eastAsia="宋体" w:cs="Times New Roman"/>
                <w:color w:val="auto"/>
                <w:sz w:val="18"/>
                <w:szCs w:val="18"/>
                <w:highlight w:val="none"/>
              </w:rPr>
              <w:t>使用带盖垃圾筒</w:t>
            </w:r>
            <w:r>
              <w:rPr>
                <w:rFonts w:hint="eastAsia" w:ascii="Times New Roman" w:hAnsi="Times New Roman" w:eastAsia="宋体" w:cs="Times New Roman"/>
                <w:color w:val="auto"/>
                <w:sz w:val="18"/>
                <w:szCs w:val="18"/>
                <w:highlight w:val="none"/>
                <w:lang w:eastAsia="zh-CN"/>
              </w:rPr>
              <w:t>，</w:t>
            </w:r>
            <w:r>
              <w:rPr>
                <w:rFonts w:hint="eastAsia" w:ascii="Times New Roman" w:hAnsi="Times New Roman" w:eastAsia="宋体" w:cs="Times New Roman"/>
                <w:color w:val="auto"/>
                <w:sz w:val="18"/>
                <w:szCs w:val="18"/>
                <w:highlight w:val="none"/>
                <w:lang w:val="en-US" w:eastAsia="zh-CN"/>
              </w:rPr>
              <w:t>垃圾及时清理</w:t>
            </w:r>
          </w:p>
        </w:tc>
        <w:tc>
          <w:tcPr>
            <w:tcW w:w="613" w:type="dxa"/>
            <w:tcBorders>
              <w:top w:val="nil"/>
              <w:left w:val="nil"/>
              <w:bottom w:val="single" w:color="auto" w:sz="4" w:space="0"/>
              <w:right w:val="single" w:color="auto" w:sz="4" w:space="0"/>
            </w:tcBorders>
            <w:shd w:val="clear" w:color="auto" w:fill="auto"/>
            <w:vAlign w:val="center"/>
          </w:tcPr>
          <w:p w14:paraId="6B1BCBD6">
            <w:pPr>
              <w:jc w:val="center"/>
              <w:rPr>
                <w:rFonts w:hint="default"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lang w:val="en-US" w:eastAsia="zh-CN"/>
              </w:rPr>
              <w:t>1</w:t>
            </w:r>
          </w:p>
        </w:tc>
        <w:tc>
          <w:tcPr>
            <w:tcW w:w="587" w:type="dxa"/>
            <w:tcBorders>
              <w:top w:val="nil"/>
              <w:left w:val="nil"/>
              <w:bottom w:val="single" w:color="auto" w:sz="4" w:space="0"/>
              <w:right w:val="single" w:color="auto" w:sz="4" w:space="0"/>
            </w:tcBorders>
            <w:vAlign w:val="center"/>
          </w:tcPr>
          <w:p w14:paraId="7C56F1B7">
            <w:pPr>
              <w:rPr>
                <w:rFonts w:hint="eastAsia"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　</w:t>
            </w:r>
          </w:p>
        </w:tc>
        <w:tc>
          <w:tcPr>
            <w:tcW w:w="2098" w:type="dxa"/>
            <w:tcBorders>
              <w:top w:val="nil"/>
              <w:left w:val="nil"/>
              <w:bottom w:val="single" w:color="auto" w:sz="4" w:space="0"/>
              <w:right w:val="single" w:color="auto" w:sz="4" w:space="0"/>
            </w:tcBorders>
            <w:vAlign w:val="center"/>
          </w:tcPr>
          <w:p w14:paraId="0328266E">
            <w:pPr>
              <w:rPr>
                <w:rFonts w:hint="eastAsia" w:ascii="Times New Roman" w:hAnsi="Times New Roman" w:eastAsia="宋体" w:cs="Times New Roman"/>
                <w:color w:val="auto"/>
                <w:sz w:val="18"/>
                <w:szCs w:val="18"/>
                <w:highlight w:val="none"/>
              </w:rPr>
            </w:pPr>
          </w:p>
        </w:tc>
      </w:tr>
      <w:tr w14:paraId="75B478EA">
        <w:tblPrEx>
          <w:tblCellMar>
            <w:top w:w="0" w:type="dxa"/>
            <w:left w:w="108" w:type="dxa"/>
            <w:bottom w:w="0" w:type="dxa"/>
            <w:right w:w="108" w:type="dxa"/>
          </w:tblCellMar>
        </w:tblPrEx>
        <w:trPr>
          <w:trHeight w:val="30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5A7332E7">
            <w:pPr>
              <w:keepNext w:val="0"/>
              <w:keepLines w:val="0"/>
              <w:widowControl/>
              <w:suppressLineNumbers w:val="0"/>
              <w:jc w:val="center"/>
              <w:textAlignment w:val="center"/>
              <w:rPr>
                <w:rFonts w:hint="eastAsia" w:ascii="Times New Roman" w:hAnsi="Times New Roman" w:eastAsia="等线" w:cs="Times New Roman"/>
                <w:color w:val="auto"/>
                <w:kern w:val="2"/>
                <w:sz w:val="21"/>
                <w:szCs w:val="21"/>
                <w:highlight w:val="none"/>
                <w:lang w:val="en-US" w:eastAsia="zh-CN" w:bidi="ar-SA"/>
              </w:rPr>
            </w:pPr>
            <w:r>
              <w:rPr>
                <w:rFonts w:hint="default" w:ascii="Times New Roman" w:hAnsi="Times New Roman" w:eastAsia="等线" w:cs="Times New Roman"/>
                <w:i w:val="0"/>
                <w:iCs w:val="0"/>
                <w:color w:val="auto"/>
                <w:kern w:val="0"/>
                <w:sz w:val="21"/>
                <w:szCs w:val="21"/>
                <w:highlight w:val="none"/>
                <w:u w:val="none"/>
                <w:lang w:val="en-US" w:eastAsia="zh-CN" w:bidi="ar"/>
              </w:rPr>
              <w:t>42</w:t>
            </w:r>
          </w:p>
        </w:tc>
        <w:tc>
          <w:tcPr>
            <w:tcW w:w="6111" w:type="dxa"/>
            <w:gridSpan w:val="2"/>
            <w:tcBorders>
              <w:top w:val="nil"/>
              <w:left w:val="nil"/>
              <w:bottom w:val="single" w:color="auto" w:sz="4" w:space="0"/>
              <w:right w:val="single" w:color="auto" w:sz="4" w:space="0"/>
            </w:tcBorders>
            <w:vAlign w:val="center"/>
          </w:tcPr>
          <w:p w14:paraId="29EDC8CC">
            <w:pPr>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rPr>
              <w:t>备餐间、熟食间</w:t>
            </w:r>
            <w:r>
              <w:rPr>
                <w:rFonts w:hint="eastAsia" w:ascii="Times New Roman" w:hAnsi="Times New Roman" w:eastAsia="宋体" w:cs="Times New Roman"/>
                <w:color w:val="auto"/>
                <w:sz w:val="18"/>
                <w:szCs w:val="18"/>
                <w:highlight w:val="none"/>
                <w:lang w:val="en-US" w:eastAsia="zh-CN"/>
              </w:rPr>
              <w:t>保持干净整洁</w:t>
            </w:r>
            <w:r>
              <w:rPr>
                <w:rFonts w:hint="eastAsia" w:ascii="Times New Roman" w:hAnsi="Times New Roman" w:eastAsia="宋体" w:cs="Times New Roman"/>
                <w:color w:val="auto"/>
                <w:sz w:val="18"/>
                <w:szCs w:val="18"/>
                <w:highlight w:val="none"/>
                <w:lang w:eastAsia="zh-CN"/>
              </w:rPr>
              <w:t>；</w:t>
            </w:r>
            <w:r>
              <w:rPr>
                <w:rFonts w:hint="eastAsia" w:ascii="Times New Roman" w:hAnsi="Times New Roman" w:eastAsia="宋体" w:cs="Times New Roman"/>
                <w:color w:val="auto"/>
                <w:sz w:val="18"/>
                <w:szCs w:val="18"/>
                <w:highlight w:val="none"/>
              </w:rPr>
              <w:t>紫外线灯按要求消毒</w:t>
            </w:r>
            <w:r>
              <w:rPr>
                <w:rFonts w:hint="eastAsia" w:ascii="Times New Roman" w:hAnsi="Times New Roman" w:eastAsia="宋体" w:cs="Times New Roman"/>
                <w:color w:val="auto"/>
                <w:sz w:val="18"/>
                <w:szCs w:val="18"/>
                <w:highlight w:val="none"/>
                <w:lang w:val="en-US" w:eastAsia="zh-CN"/>
              </w:rPr>
              <w:t>并</w:t>
            </w:r>
            <w:r>
              <w:rPr>
                <w:rFonts w:hint="eastAsia" w:ascii="Times New Roman" w:hAnsi="Times New Roman" w:eastAsia="宋体" w:cs="Times New Roman"/>
                <w:color w:val="auto"/>
                <w:sz w:val="18"/>
                <w:szCs w:val="18"/>
                <w:highlight w:val="none"/>
              </w:rPr>
              <w:t>记录</w:t>
            </w:r>
          </w:p>
        </w:tc>
        <w:tc>
          <w:tcPr>
            <w:tcW w:w="613" w:type="dxa"/>
            <w:tcBorders>
              <w:top w:val="nil"/>
              <w:left w:val="nil"/>
              <w:bottom w:val="single" w:color="auto" w:sz="4" w:space="0"/>
              <w:right w:val="single" w:color="auto" w:sz="4" w:space="0"/>
            </w:tcBorders>
            <w:vAlign w:val="center"/>
          </w:tcPr>
          <w:p w14:paraId="5E717BF6">
            <w:pPr>
              <w:jc w:val="center"/>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2</w:t>
            </w:r>
          </w:p>
        </w:tc>
        <w:tc>
          <w:tcPr>
            <w:tcW w:w="587" w:type="dxa"/>
            <w:tcBorders>
              <w:top w:val="nil"/>
              <w:left w:val="nil"/>
              <w:bottom w:val="single" w:color="auto" w:sz="4" w:space="0"/>
              <w:right w:val="single" w:color="auto" w:sz="4" w:space="0"/>
            </w:tcBorders>
            <w:vAlign w:val="center"/>
          </w:tcPr>
          <w:p w14:paraId="46A6681D">
            <w:pPr>
              <w:rPr>
                <w:rFonts w:hint="eastAsia" w:ascii="Times New Roman" w:hAnsi="Times New Roman" w:eastAsia="宋体" w:cs="Times New Roman"/>
                <w:color w:val="auto"/>
                <w:sz w:val="18"/>
                <w:szCs w:val="18"/>
                <w:highlight w:val="none"/>
              </w:rPr>
            </w:pPr>
          </w:p>
        </w:tc>
        <w:tc>
          <w:tcPr>
            <w:tcW w:w="2098" w:type="dxa"/>
            <w:tcBorders>
              <w:top w:val="nil"/>
              <w:left w:val="nil"/>
              <w:bottom w:val="single" w:color="auto" w:sz="4" w:space="0"/>
              <w:right w:val="single" w:color="auto" w:sz="4" w:space="0"/>
            </w:tcBorders>
            <w:vAlign w:val="center"/>
          </w:tcPr>
          <w:p w14:paraId="20A928D5">
            <w:pPr>
              <w:rPr>
                <w:rFonts w:hint="eastAsia" w:ascii="Times New Roman" w:hAnsi="Times New Roman" w:eastAsia="宋体" w:cs="Times New Roman"/>
                <w:color w:val="auto"/>
                <w:sz w:val="18"/>
                <w:szCs w:val="18"/>
                <w:highlight w:val="none"/>
              </w:rPr>
            </w:pPr>
          </w:p>
        </w:tc>
      </w:tr>
      <w:tr w14:paraId="77570BFB">
        <w:tblPrEx>
          <w:tblCellMar>
            <w:top w:w="0" w:type="dxa"/>
            <w:left w:w="108" w:type="dxa"/>
            <w:bottom w:w="0" w:type="dxa"/>
            <w:right w:w="108" w:type="dxa"/>
          </w:tblCellMar>
        </w:tblPrEx>
        <w:trPr>
          <w:trHeight w:val="309"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2F566DCE">
            <w:pPr>
              <w:keepNext w:val="0"/>
              <w:keepLines w:val="0"/>
              <w:widowControl/>
              <w:suppressLineNumbers w:val="0"/>
              <w:jc w:val="center"/>
              <w:textAlignment w:val="center"/>
              <w:rPr>
                <w:rFonts w:hint="eastAsia" w:ascii="Times New Roman" w:hAnsi="Times New Roman" w:eastAsia="等线" w:cs="Times New Roman"/>
                <w:color w:val="auto"/>
                <w:kern w:val="2"/>
                <w:sz w:val="21"/>
                <w:szCs w:val="21"/>
                <w:highlight w:val="none"/>
                <w:lang w:val="en-US" w:eastAsia="zh-CN" w:bidi="ar-SA"/>
              </w:rPr>
            </w:pPr>
            <w:r>
              <w:rPr>
                <w:rFonts w:hint="default" w:ascii="Times New Roman" w:hAnsi="Times New Roman" w:eastAsia="等线" w:cs="Times New Roman"/>
                <w:i w:val="0"/>
                <w:iCs w:val="0"/>
                <w:color w:val="auto"/>
                <w:kern w:val="0"/>
                <w:sz w:val="21"/>
                <w:szCs w:val="21"/>
                <w:highlight w:val="none"/>
                <w:u w:val="none"/>
                <w:lang w:val="en-US" w:eastAsia="zh-CN" w:bidi="ar"/>
              </w:rPr>
              <w:t>43</w:t>
            </w:r>
          </w:p>
        </w:tc>
        <w:tc>
          <w:tcPr>
            <w:tcW w:w="6111" w:type="dxa"/>
            <w:gridSpan w:val="2"/>
            <w:tcBorders>
              <w:top w:val="nil"/>
              <w:left w:val="nil"/>
              <w:bottom w:val="single" w:color="auto" w:sz="4" w:space="0"/>
              <w:right w:val="single" w:color="auto" w:sz="4" w:space="0"/>
            </w:tcBorders>
            <w:shd w:val="clear" w:color="auto" w:fill="auto"/>
            <w:vAlign w:val="center"/>
          </w:tcPr>
          <w:p w14:paraId="0ACD1CDA">
            <w:pP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餐饮具消毒保洁间要求保持干净无灰尘，每周进行一次全面清洁</w:t>
            </w:r>
          </w:p>
        </w:tc>
        <w:tc>
          <w:tcPr>
            <w:tcW w:w="613" w:type="dxa"/>
            <w:tcBorders>
              <w:top w:val="nil"/>
              <w:left w:val="nil"/>
              <w:bottom w:val="single" w:color="auto" w:sz="4" w:space="0"/>
              <w:right w:val="single" w:color="auto" w:sz="4" w:space="0"/>
            </w:tcBorders>
            <w:shd w:val="clear" w:color="auto" w:fill="auto"/>
            <w:vAlign w:val="center"/>
          </w:tcPr>
          <w:p w14:paraId="712E0EF4">
            <w:pPr>
              <w:jc w:val="center"/>
              <w:rPr>
                <w:rFonts w:hint="default"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1</w:t>
            </w:r>
          </w:p>
        </w:tc>
        <w:tc>
          <w:tcPr>
            <w:tcW w:w="587" w:type="dxa"/>
            <w:tcBorders>
              <w:top w:val="nil"/>
              <w:left w:val="nil"/>
              <w:bottom w:val="single" w:color="auto" w:sz="4" w:space="0"/>
              <w:right w:val="single" w:color="auto" w:sz="4" w:space="0"/>
            </w:tcBorders>
            <w:vAlign w:val="center"/>
          </w:tcPr>
          <w:p w14:paraId="3ECB9696">
            <w:pPr>
              <w:rPr>
                <w:rFonts w:hint="eastAsia"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　</w:t>
            </w:r>
          </w:p>
        </w:tc>
        <w:tc>
          <w:tcPr>
            <w:tcW w:w="2098" w:type="dxa"/>
            <w:tcBorders>
              <w:top w:val="nil"/>
              <w:left w:val="nil"/>
              <w:bottom w:val="single" w:color="auto" w:sz="4" w:space="0"/>
              <w:right w:val="single" w:color="auto" w:sz="4" w:space="0"/>
            </w:tcBorders>
            <w:vAlign w:val="center"/>
          </w:tcPr>
          <w:p w14:paraId="7FAB1A89">
            <w:pPr>
              <w:rPr>
                <w:rFonts w:hint="eastAsia" w:ascii="Times New Roman" w:hAnsi="Times New Roman" w:eastAsia="宋体" w:cs="Times New Roman"/>
                <w:color w:val="auto"/>
                <w:sz w:val="18"/>
                <w:szCs w:val="18"/>
                <w:highlight w:val="none"/>
              </w:rPr>
            </w:pPr>
          </w:p>
        </w:tc>
      </w:tr>
      <w:tr w14:paraId="1CC133D7">
        <w:tblPrEx>
          <w:tblCellMar>
            <w:top w:w="0" w:type="dxa"/>
            <w:left w:w="108" w:type="dxa"/>
            <w:bottom w:w="0" w:type="dxa"/>
            <w:right w:w="108" w:type="dxa"/>
          </w:tblCellMar>
        </w:tblPrEx>
        <w:trPr>
          <w:trHeight w:val="30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56D14A0A">
            <w:pPr>
              <w:keepNext w:val="0"/>
              <w:keepLines w:val="0"/>
              <w:widowControl/>
              <w:suppressLineNumbers w:val="0"/>
              <w:jc w:val="center"/>
              <w:textAlignment w:val="center"/>
              <w:rPr>
                <w:rFonts w:hint="eastAsia" w:ascii="Times New Roman" w:hAnsi="Times New Roman" w:eastAsia="等线" w:cs="Times New Roman"/>
                <w:color w:val="auto"/>
                <w:kern w:val="2"/>
                <w:sz w:val="21"/>
                <w:szCs w:val="21"/>
                <w:highlight w:val="none"/>
                <w:lang w:val="en-US" w:eastAsia="zh-CN" w:bidi="ar-SA"/>
              </w:rPr>
            </w:pPr>
            <w:r>
              <w:rPr>
                <w:rFonts w:hint="default" w:ascii="Times New Roman" w:hAnsi="Times New Roman" w:eastAsia="等线" w:cs="Times New Roman"/>
                <w:i w:val="0"/>
                <w:iCs w:val="0"/>
                <w:color w:val="auto"/>
                <w:kern w:val="0"/>
                <w:sz w:val="21"/>
                <w:szCs w:val="21"/>
                <w:highlight w:val="none"/>
                <w:u w:val="none"/>
                <w:lang w:val="en-US" w:eastAsia="zh-CN" w:bidi="ar"/>
              </w:rPr>
              <w:t>44</w:t>
            </w:r>
          </w:p>
        </w:tc>
        <w:tc>
          <w:tcPr>
            <w:tcW w:w="6111" w:type="dxa"/>
            <w:gridSpan w:val="2"/>
            <w:tcBorders>
              <w:top w:val="nil"/>
              <w:left w:val="nil"/>
              <w:bottom w:val="single" w:color="auto" w:sz="4" w:space="0"/>
              <w:right w:val="single" w:color="auto" w:sz="4" w:space="0"/>
            </w:tcBorders>
            <w:shd w:val="clear" w:color="auto" w:fill="auto"/>
            <w:vAlign w:val="center"/>
          </w:tcPr>
          <w:p w14:paraId="4AE7D096">
            <w:pPr>
              <w:rPr>
                <w:rFonts w:hint="eastAsia" w:ascii="宋体" w:hAnsi="宋体" w:eastAsia="宋体" w:cs="宋体"/>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rPr>
              <w:t>熟食加工间，按规范使用刀具、容器、设备、抹布等</w:t>
            </w:r>
          </w:p>
        </w:tc>
        <w:tc>
          <w:tcPr>
            <w:tcW w:w="613" w:type="dxa"/>
            <w:tcBorders>
              <w:top w:val="nil"/>
              <w:left w:val="nil"/>
              <w:bottom w:val="single" w:color="auto" w:sz="4" w:space="0"/>
              <w:right w:val="single" w:color="auto" w:sz="4" w:space="0"/>
            </w:tcBorders>
            <w:shd w:val="clear" w:color="auto" w:fill="auto"/>
            <w:vAlign w:val="center"/>
          </w:tcPr>
          <w:p w14:paraId="15566D85">
            <w:pPr>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2</w:t>
            </w:r>
          </w:p>
        </w:tc>
        <w:tc>
          <w:tcPr>
            <w:tcW w:w="587" w:type="dxa"/>
            <w:tcBorders>
              <w:top w:val="nil"/>
              <w:left w:val="nil"/>
              <w:bottom w:val="single" w:color="auto" w:sz="4" w:space="0"/>
              <w:right w:val="single" w:color="auto" w:sz="4" w:space="0"/>
            </w:tcBorders>
            <w:vAlign w:val="center"/>
          </w:tcPr>
          <w:p w14:paraId="1DF92021">
            <w:pPr>
              <w:rPr>
                <w:rFonts w:hint="eastAsia"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　</w:t>
            </w:r>
          </w:p>
        </w:tc>
        <w:tc>
          <w:tcPr>
            <w:tcW w:w="2098" w:type="dxa"/>
            <w:tcBorders>
              <w:top w:val="nil"/>
              <w:left w:val="nil"/>
              <w:bottom w:val="single" w:color="auto" w:sz="4" w:space="0"/>
              <w:right w:val="single" w:color="auto" w:sz="4" w:space="0"/>
            </w:tcBorders>
            <w:vAlign w:val="center"/>
          </w:tcPr>
          <w:p w14:paraId="6D471A86">
            <w:pPr>
              <w:rPr>
                <w:rFonts w:hint="eastAsia" w:ascii="Times New Roman" w:hAnsi="Times New Roman" w:eastAsia="宋体" w:cs="Times New Roman"/>
                <w:color w:val="auto"/>
                <w:sz w:val="18"/>
                <w:szCs w:val="18"/>
                <w:highlight w:val="none"/>
              </w:rPr>
            </w:pPr>
          </w:p>
        </w:tc>
      </w:tr>
      <w:tr w14:paraId="5E40AA62">
        <w:tblPrEx>
          <w:tblCellMar>
            <w:top w:w="0" w:type="dxa"/>
            <w:left w:w="108" w:type="dxa"/>
            <w:bottom w:w="0" w:type="dxa"/>
            <w:right w:w="108" w:type="dxa"/>
          </w:tblCellMar>
        </w:tblPrEx>
        <w:trPr>
          <w:trHeight w:val="327"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249485AC">
            <w:pPr>
              <w:keepNext w:val="0"/>
              <w:keepLines w:val="0"/>
              <w:widowControl/>
              <w:suppressLineNumbers w:val="0"/>
              <w:jc w:val="center"/>
              <w:textAlignment w:val="center"/>
              <w:rPr>
                <w:rFonts w:hint="eastAsia" w:ascii="Times New Roman" w:hAnsi="Times New Roman" w:eastAsia="等线" w:cs="Times New Roman"/>
                <w:color w:val="auto"/>
                <w:kern w:val="2"/>
                <w:sz w:val="21"/>
                <w:szCs w:val="21"/>
                <w:highlight w:val="none"/>
                <w:lang w:val="en-US" w:eastAsia="zh-CN" w:bidi="ar-SA"/>
              </w:rPr>
            </w:pPr>
            <w:r>
              <w:rPr>
                <w:rFonts w:hint="default" w:ascii="Times New Roman" w:hAnsi="Times New Roman" w:eastAsia="等线" w:cs="Times New Roman"/>
                <w:i w:val="0"/>
                <w:iCs w:val="0"/>
                <w:color w:val="auto"/>
                <w:kern w:val="0"/>
                <w:sz w:val="21"/>
                <w:szCs w:val="21"/>
                <w:highlight w:val="none"/>
                <w:u w:val="none"/>
                <w:lang w:val="en-US" w:eastAsia="zh-CN" w:bidi="ar"/>
              </w:rPr>
              <w:t>45</w:t>
            </w:r>
          </w:p>
        </w:tc>
        <w:tc>
          <w:tcPr>
            <w:tcW w:w="6111" w:type="dxa"/>
            <w:gridSpan w:val="2"/>
            <w:tcBorders>
              <w:top w:val="nil"/>
              <w:left w:val="nil"/>
              <w:bottom w:val="single" w:color="auto" w:sz="4" w:space="0"/>
              <w:right w:val="single" w:color="auto" w:sz="4" w:space="0"/>
            </w:tcBorders>
            <w:shd w:val="clear" w:color="auto" w:fill="auto"/>
            <w:vAlign w:val="center"/>
          </w:tcPr>
          <w:p w14:paraId="284109BF">
            <w:pPr>
              <w:rPr>
                <w:rFonts w:hint="default"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冻品的解冻按照规定进行处理，流水解冻或低温解冻</w:t>
            </w:r>
          </w:p>
        </w:tc>
        <w:tc>
          <w:tcPr>
            <w:tcW w:w="613" w:type="dxa"/>
            <w:tcBorders>
              <w:top w:val="nil"/>
              <w:left w:val="nil"/>
              <w:bottom w:val="single" w:color="auto" w:sz="4" w:space="0"/>
              <w:right w:val="single" w:color="auto" w:sz="4" w:space="0"/>
            </w:tcBorders>
            <w:shd w:val="clear" w:color="auto" w:fill="auto"/>
            <w:vAlign w:val="center"/>
          </w:tcPr>
          <w:p w14:paraId="659B47D4">
            <w:pPr>
              <w:jc w:val="center"/>
              <w:rPr>
                <w:rFonts w:hint="default"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2</w:t>
            </w:r>
          </w:p>
        </w:tc>
        <w:tc>
          <w:tcPr>
            <w:tcW w:w="587" w:type="dxa"/>
            <w:tcBorders>
              <w:top w:val="nil"/>
              <w:left w:val="nil"/>
              <w:bottom w:val="single" w:color="auto" w:sz="4" w:space="0"/>
              <w:right w:val="single" w:color="auto" w:sz="4" w:space="0"/>
            </w:tcBorders>
            <w:vAlign w:val="center"/>
          </w:tcPr>
          <w:p w14:paraId="55CEC68D">
            <w:pPr>
              <w:rPr>
                <w:rFonts w:hint="eastAsia"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　</w:t>
            </w:r>
          </w:p>
        </w:tc>
        <w:tc>
          <w:tcPr>
            <w:tcW w:w="2098" w:type="dxa"/>
            <w:tcBorders>
              <w:top w:val="nil"/>
              <w:left w:val="nil"/>
              <w:bottom w:val="single" w:color="auto" w:sz="4" w:space="0"/>
              <w:right w:val="single" w:color="auto" w:sz="4" w:space="0"/>
            </w:tcBorders>
            <w:vAlign w:val="center"/>
          </w:tcPr>
          <w:p w14:paraId="75E188E1">
            <w:pPr>
              <w:rPr>
                <w:rFonts w:hint="eastAsia" w:ascii="Times New Roman" w:hAnsi="Times New Roman" w:eastAsia="宋体" w:cs="Times New Roman"/>
                <w:color w:val="auto"/>
                <w:sz w:val="18"/>
                <w:szCs w:val="18"/>
                <w:highlight w:val="none"/>
              </w:rPr>
            </w:pPr>
          </w:p>
        </w:tc>
      </w:tr>
      <w:tr w14:paraId="461C71AE">
        <w:tblPrEx>
          <w:tblCellMar>
            <w:top w:w="0" w:type="dxa"/>
            <w:left w:w="108" w:type="dxa"/>
            <w:bottom w:w="0" w:type="dxa"/>
            <w:right w:w="108" w:type="dxa"/>
          </w:tblCellMar>
        </w:tblPrEx>
        <w:trPr>
          <w:trHeight w:val="370" w:hRule="atLeast"/>
          <w:jc w:val="center"/>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14:paraId="1F4BFC13">
            <w:pPr>
              <w:keepNext w:val="0"/>
              <w:keepLines w:val="0"/>
              <w:widowControl/>
              <w:suppressLineNumbers w:val="0"/>
              <w:jc w:val="center"/>
              <w:textAlignment w:val="center"/>
              <w:rPr>
                <w:rFonts w:hint="eastAsia" w:ascii="Times New Roman" w:hAnsi="Times New Roman" w:eastAsia="等线" w:cs="Times New Roman"/>
                <w:color w:val="auto"/>
                <w:kern w:val="2"/>
                <w:sz w:val="21"/>
                <w:szCs w:val="21"/>
                <w:highlight w:val="none"/>
                <w:lang w:val="en-US" w:eastAsia="zh-CN" w:bidi="ar-SA"/>
              </w:rPr>
            </w:pPr>
            <w:r>
              <w:rPr>
                <w:rFonts w:hint="default" w:ascii="Times New Roman" w:hAnsi="Times New Roman" w:eastAsia="等线" w:cs="Times New Roman"/>
                <w:i w:val="0"/>
                <w:iCs w:val="0"/>
                <w:color w:val="auto"/>
                <w:kern w:val="0"/>
                <w:sz w:val="21"/>
                <w:szCs w:val="21"/>
                <w:highlight w:val="none"/>
                <w:u w:val="none"/>
                <w:lang w:val="en-US" w:eastAsia="zh-CN" w:bidi="ar"/>
              </w:rPr>
              <w:t>46</w:t>
            </w:r>
          </w:p>
        </w:tc>
        <w:tc>
          <w:tcPr>
            <w:tcW w:w="61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137B827">
            <w:pPr>
              <w:rPr>
                <w:rFonts w:hint="default" w:ascii="宋体" w:hAnsi="宋体" w:eastAsia="宋体" w:cs="宋体"/>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rPr>
              <w:t>厨房调味品盛放在容器中按规定加盖处理，保持盛装容器清洁</w:t>
            </w:r>
          </w:p>
        </w:tc>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14:paraId="58EADFBA">
            <w:pPr>
              <w:jc w:val="center"/>
              <w:rPr>
                <w:rFonts w:hint="default"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lang w:val="en-US" w:eastAsia="zh-CN"/>
              </w:rPr>
              <w:t>1</w:t>
            </w:r>
          </w:p>
        </w:tc>
        <w:tc>
          <w:tcPr>
            <w:tcW w:w="587" w:type="dxa"/>
            <w:tcBorders>
              <w:top w:val="single" w:color="auto" w:sz="4" w:space="0"/>
              <w:left w:val="single" w:color="auto" w:sz="4" w:space="0"/>
              <w:bottom w:val="single" w:color="auto" w:sz="4" w:space="0"/>
              <w:right w:val="single" w:color="auto" w:sz="4" w:space="0"/>
            </w:tcBorders>
            <w:vAlign w:val="center"/>
          </w:tcPr>
          <w:p w14:paraId="2D5EBF32">
            <w:pPr>
              <w:rPr>
                <w:rFonts w:hint="eastAsia"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　</w:t>
            </w:r>
          </w:p>
        </w:tc>
        <w:tc>
          <w:tcPr>
            <w:tcW w:w="2098" w:type="dxa"/>
            <w:tcBorders>
              <w:top w:val="single" w:color="auto" w:sz="4" w:space="0"/>
              <w:left w:val="single" w:color="auto" w:sz="4" w:space="0"/>
              <w:bottom w:val="single" w:color="auto" w:sz="4" w:space="0"/>
              <w:right w:val="single" w:color="auto" w:sz="4" w:space="0"/>
            </w:tcBorders>
            <w:vAlign w:val="center"/>
          </w:tcPr>
          <w:p w14:paraId="0A4D4349">
            <w:pPr>
              <w:rPr>
                <w:rFonts w:hint="eastAsia" w:ascii="Times New Roman" w:hAnsi="Times New Roman" w:eastAsia="宋体" w:cs="Times New Roman"/>
                <w:color w:val="auto"/>
                <w:sz w:val="18"/>
                <w:szCs w:val="18"/>
                <w:highlight w:val="none"/>
              </w:rPr>
            </w:pPr>
          </w:p>
        </w:tc>
      </w:tr>
      <w:tr w14:paraId="1CC07C30">
        <w:tblPrEx>
          <w:tblCellMar>
            <w:top w:w="0" w:type="dxa"/>
            <w:left w:w="108" w:type="dxa"/>
            <w:bottom w:w="0" w:type="dxa"/>
            <w:right w:w="108" w:type="dxa"/>
          </w:tblCellMar>
        </w:tblPrEx>
        <w:trPr>
          <w:trHeight w:val="300" w:hRule="atLeast"/>
          <w:jc w:val="center"/>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14:paraId="20027B1A">
            <w:pPr>
              <w:keepNext w:val="0"/>
              <w:keepLines w:val="0"/>
              <w:widowControl/>
              <w:suppressLineNumbers w:val="0"/>
              <w:jc w:val="center"/>
              <w:textAlignment w:val="center"/>
              <w:rPr>
                <w:rFonts w:hint="eastAsia" w:ascii="Times New Roman" w:hAnsi="Times New Roman" w:eastAsia="等线" w:cs="Times New Roman"/>
                <w:color w:val="auto"/>
                <w:kern w:val="2"/>
                <w:sz w:val="21"/>
                <w:szCs w:val="21"/>
                <w:highlight w:val="none"/>
                <w:lang w:val="en-US" w:eastAsia="zh-CN" w:bidi="ar-SA"/>
              </w:rPr>
            </w:pPr>
            <w:r>
              <w:rPr>
                <w:rFonts w:hint="default" w:ascii="Times New Roman" w:hAnsi="Times New Roman" w:eastAsia="等线" w:cs="Times New Roman"/>
                <w:i w:val="0"/>
                <w:iCs w:val="0"/>
                <w:color w:val="auto"/>
                <w:kern w:val="0"/>
                <w:sz w:val="21"/>
                <w:szCs w:val="21"/>
                <w:highlight w:val="none"/>
                <w:u w:val="none"/>
                <w:lang w:val="en-US" w:eastAsia="zh-CN" w:bidi="ar"/>
              </w:rPr>
              <w:t>47</w:t>
            </w:r>
          </w:p>
        </w:tc>
        <w:tc>
          <w:tcPr>
            <w:tcW w:w="6111" w:type="dxa"/>
            <w:gridSpan w:val="2"/>
            <w:tcBorders>
              <w:top w:val="single" w:color="auto" w:sz="4" w:space="0"/>
              <w:left w:val="nil"/>
              <w:bottom w:val="single" w:color="auto" w:sz="4" w:space="0"/>
              <w:right w:val="single" w:color="auto" w:sz="4" w:space="0"/>
            </w:tcBorders>
            <w:shd w:val="clear" w:color="auto" w:fill="auto"/>
            <w:vAlign w:val="center"/>
          </w:tcPr>
          <w:p w14:paraId="7936B909">
            <w:pPr>
              <w:rPr>
                <w:rFonts w:hint="default"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lang w:val="en-US" w:eastAsia="zh-CN"/>
              </w:rPr>
              <w:t>厨房散装食品、调味品标签标识完整规范</w:t>
            </w:r>
          </w:p>
        </w:tc>
        <w:tc>
          <w:tcPr>
            <w:tcW w:w="613" w:type="dxa"/>
            <w:tcBorders>
              <w:top w:val="single" w:color="auto" w:sz="4" w:space="0"/>
              <w:left w:val="nil"/>
              <w:bottom w:val="single" w:color="auto" w:sz="4" w:space="0"/>
              <w:right w:val="single" w:color="auto" w:sz="4" w:space="0"/>
            </w:tcBorders>
            <w:shd w:val="clear" w:color="auto" w:fill="auto"/>
            <w:vAlign w:val="center"/>
          </w:tcPr>
          <w:p w14:paraId="7BBD48E0">
            <w:pPr>
              <w:jc w:val="center"/>
              <w:rPr>
                <w:rFonts w:hint="default"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lang w:val="en-US" w:eastAsia="zh-CN"/>
              </w:rPr>
              <w:t>2</w:t>
            </w:r>
          </w:p>
        </w:tc>
        <w:tc>
          <w:tcPr>
            <w:tcW w:w="587" w:type="dxa"/>
            <w:tcBorders>
              <w:top w:val="single" w:color="auto" w:sz="4" w:space="0"/>
              <w:left w:val="nil"/>
              <w:bottom w:val="single" w:color="auto" w:sz="4" w:space="0"/>
              <w:right w:val="single" w:color="auto" w:sz="4" w:space="0"/>
            </w:tcBorders>
            <w:vAlign w:val="center"/>
          </w:tcPr>
          <w:p w14:paraId="07FF1049">
            <w:pPr>
              <w:rPr>
                <w:rFonts w:hint="eastAsia"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　</w:t>
            </w:r>
          </w:p>
        </w:tc>
        <w:tc>
          <w:tcPr>
            <w:tcW w:w="2098" w:type="dxa"/>
            <w:tcBorders>
              <w:top w:val="single" w:color="auto" w:sz="4" w:space="0"/>
              <w:left w:val="nil"/>
              <w:bottom w:val="single" w:color="auto" w:sz="4" w:space="0"/>
              <w:right w:val="single" w:color="auto" w:sz="4" w:space="0"/>
            </w:tcBorders>
            <w:vAlign w:val="center"/>
          </w:tcPr>
          <w:p w14:paraId="787BBF21">
            <w:pPr>
              <w:rPr>
                <w:rFonts w:hint="eastAsia" w:ascii="Times New Roman" w:hAnsi="Times New Roman" w:eastAsia="宋体" w:cs="Times New Roman"/>
                <w:color w:val="auto"/>
                <w:sz w:val="18"/>
                <w:szCs w:val="18"/>
                <w:highlight w:val="none"/>
              </w:rPr>
            </w:pPr>
          </w:p>
        </w:tc>
      </w:tr>
      <w:tr w14:paraId="1D522B24">
        <w:tblPrEx>
          <w:tblCellMar>
            <w:top w:w="0" w:type="dxa"/>
            <w:left w:w="108" w:type="dxa"/>
            <w:bottom w:w="0" w:type="dxa"/>
            <w:right w:w="108" w:type="dxa"/>
          </w:tblCellMar>
        </w:tblPrEx>
        <w:trPr>
          <w:trHeight w:val="310" w:hRule="atLeast"/>
          <w:jc w:val="center"/>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14:paraId="3CB4ACEC">
            <w:pPr>
              <w:keepNext w:val="0"/>
              <w:keepLines w:val="0"/>
              <w:widowControl/>
              <w:suppressLineNumbers w:val="0"/>
              <w:jc w:val="center"/>
              <w:textAlignment w:val="center"/>
              <w:rPr>
                <w:rFonts w:hint="eastAsia" w:ascii="Times New Roman" w:hAnsi="Times New Roman" w:eastAsia="等线" w:cs="Times New Roman"/>
                <w:color w:val="auto"/>
                <w:kern w:val="2"/>
                <w:sz w:val="21"/>
                <w:szCs w:val="21"/>
                <w:highlight w:val="none"/>
                <w:lang w:val="en-US" w:eastAsia="zh-CN" w:bidi="ar-SA"/>
              </w:rPr>
            </w:pPr>
            <w:r>
              <w:rPr>
                <w:rFonts w:hint="default" w:ascii="Times New Roman" w:hAnsi="Times New Roman" w:eastAsia="等线" w:cs="Times New Roman"/>
                <w:i w:val="0"/>
                <w:iCs w:val="0"/>
                <w:color w:val="auto"/>
                <w:kern w:val="0"/>
                <w:sz w:val="21"/>
                <w:szCs w:val="21"/>
                <w:highlight w:val="none"/>
                <w:u w:val="none"/>
                <w:lang w:val="en-US" w:eastAsia="zh-CN" w:bidi="ar"/>
              </w:rPr>
              <w:t>48</w:t>
            </w:r>
          </w:p>
        </w:tc>
        <w:tc>
          <w:tcPr>
            <w:tcW w:w="61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5C94125">
            <w:pPr>
              <w:rPr>
                <w:rFonts w:hint="eastAsia" w:ascii="宋体" w:hAnsi="宋体" w:eastAsia="宋体" w:cs="宋体"/>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rPr>
              <w:t>工作台、灶台、售卖台干净整洁，无杂物、无油渍</w:t>
            </w:r>
          </w:p>
        </w:tc>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14:paraId="1BC1B4DC">
            <w:pPr>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lang w:val="en-US" w:eastAsia="zh-CN"/>
              </w:rPr>
              <w:t>1</w:t>
            </w:r>
          </w:p>
        </w:tc>
        <w:tc>
          <w:tcPr>
            <w:tcW w:w="587" w:type="dxa"/>
            <w:tcBorders>
              <w:top w:val="single" w:color="auto" w:sz="4" w:space="0"/>
              <w:left w:val="single" w:color="auto" w:sz="4" w:space="0"/>
              <w:bottom w:val="single" w:color="auto" w:sz="4" w:space="0"/>
              <w:right w:val="single" w:color="auto" w:sz="4" w:space="0"/>
            </w:tcBorders>
            <w:vAlign w:val="center"/>
          </w:tcPr>
          <w:p w14:paraId="060E41F7">
            <w:pPr>
              <w:rPr>
                <w:rFonts w:hint="eastAsia"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　</w:t>
            </w:r>
          </w:p>
        </w:tc>
        <w:tc>
          <w:tcPr>
            <w:tcW w:w="2098" w:type="dxa"/>
            <w:tcBorders>
              <w:top w:val="single" w:color="auto" w:sz="4" w:space="0"/>
              <w:left w:val="single" w:color="auto" w:sz="4" w:space="0"/>
              <w:bottom w:val="single" w:color="auto" w:sz="4" w:space="0"/>
              <w:right w:val="single" w:color="auto" w:sz="4" w:space="0"/>
            </w:tcBorders>
            <w:vAlign w:val="center"/>
          </w:tcPr>
          <w:p w14:paraId="08554D30">
            <w:pPr>
              <w:rPr>
                <w:rFonts w:hint="eastAsia" w:ascii="Times New Roman" w:hAnsi="Times New Roman" w:eastAsia="宋体" w:cs="Times New Roman"/>
                <w:color w:val="auto"/>
                <w:sz w:val="18"/>
                <w:szCs w:val="18"/>
                <w:highlight w:val="none"/>
              </w:rPr>
            </w:pPr>
          </w:p>
        </w:tc>
      </w:tr>
      <w:tr w14:paraId="172682DA">
        <w:tblPrEx>
          <w:tblCellMar>
            <w:top w:w="0" w:type="dxa"/>
            <w:left w:w="108" w:type="dxa"/>
            <w:bottom w:w="0" w:type="dxa"/>
            <w:right w:w="108" w:type="dxa"/>
          </w:tblCellMar>
        </w:tblPrEx>
        <w:trPr>
          <w:trHeight w:val="90" w:hRule="atLeast"/>
          <w:jc w:val="center"/>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14:paraId="37A053C8">
            <w:pPr>
              <w:keepNext w:val="0"/>
              <w:keepLines w:val="0"/>
              <w:widowControl/>
              <w:suppressLineNumbers w:val="0"/>
              <w:jc w:val="center"/>
              <w:textAlignment w:val="center"/>
              <w:rPr>
                <w:rFonts w:hint="eastAsia" w:ascii="Times New Roman" w:hAnsi="Times New Roman" w:eastAsia="等线" w:cs="Times New Roman"/>
                <w:color w:val="auto"/>
                <w:kern w:val="2"/>
                <w:sz w:val="21"/>
                <w:szCs w:val="21"/>
                <w:highlight w:val="none"/>
                <w:lang w:val="en-US" w:eastAsia="zh-CN" w:bidi="ar-SA"/>
              </w:rPr>
            </w:pPr>
            <w:r>
              <w:rPr>
                <w:rFonts w:hint="default" w:ascii="Times New Roman" w:hAnsi="Times New Roman" w:eastAsia="等线" w:cs="Times New Roman"/>
                <w:i w:val="0"/>
                <w:iCs w:val="0"/>
                <w:color w:val="auto"/>
                <w:kern w:val="0"/>
                <w:sz w:val="21"/>
                <w:szCs w:val="21"/>
                <w:highlight w:val="none"/>
                <w:u w:val="none"/>
                <w:lang w:val="en-US" w:eastAsia="zh-CN" w:bidi="ar"/>
              </w:rPr>
              <w:t>49</w:t>
            </w:r>
          </w:p>
        </w:tc>
        <w:tc>
          <w:tcPr>
            <w:tcW w:w="6111" w:type="dxa"/>
            <w:gridSpan w:val="2"/>
            <w:tcBorders>
              <w:top w:val="single" w:color="auto" w:sz="4" w:space="0"/>
              <w:left w:val="nil"/>
              <w:bottom w:val="single" w:color="auto" w:sz="4" w:space="0"/>
              <w:right w:val="single" w:color="auto" w:sz="4" w:space="0"/>
            </w:tcBorders>
            <w:shd w:val="clear" w:color="auto" w:fill="auto"/>
            <w:vAlign w:val="center"/>
          </w:tcPr>
          <w:p w14:paraId="100F3EE6">
            <w:pPr>
              <w:rPr>
                <w:rFonts w:hint="eastAsia" w:ascii="宋体" w:hAnsi="宋体" w:eastAsia="宋体" w:cs="宋体"/>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rPr>
              <w:t>厨房机器、加工设备使用后及时清洗干净，无残渍</w:t>
            </w:r>
          </w:p>
        </w:tc>
        <w:tc>
          <w:tcPr>
            <w:tcW w:w="613" w:type="dxa"/>
            <w:tcBorders>
              <w:top w:val="single" w:color="auto" w:sz="4" w:space="0"/>
              <w:left w:val="nil"/>
              <w:bottom w:val="single" w:color="auto" w:sz="4" w:space="0"/>
              <w:right w:val="single" w:color="auto" w:sz="4" w:space="0"/>
            </w:tcBorders>
            <w:shd w:val="clear" w:color="auto" w:fill="auto"/>
            <w:vAlign w:val="center"/>
          </w:tcPr>
          <w:p w14:paraId="1D0F1ACB">
            <w:pPr>
              <w:jc w:val="center"/>
              <w:rPr>
                <w:rFonts w:hint="default"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2</w:t>
            </w:r>
          </w:p>
        </w:tc>
        <w:tc>
          <w:tcPr>
            <w:tcW w:w="587" w:type="dxa"/>
            <w:tcBorders>
              <w:top w:val="single" w:color="auto" w:sz="4" w:space="0"/>
              <w:left w:val="nil"/>
              <w:bottom w:val="single" w:color="auto" w:sz="4" w:space="0"/>
              <w:right w:val="single" w:color="auto" w:sz="4" w:space="0"/>
            </w:tcBorders>
            <w:vAlign w:val="center"/>
          </w:tcPr>
          <w:p w14:paraId="771EFF58">
            <w:pPr>
              <w:rPr>
                <w:rFonts w:hint="eastAsia"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　</w:t>
            </w:r>
          </w:p>
        </w:tc>
        <w:tc>
          <w:tcPr>
            <w:tcW w:w="2098" w:type="dxa"/>
            <w:tcBorders>
              <w:top w:val="single" w:color="auto" w:sz="4" w:space="0"/>
              <w:left w:val="nil"/>
              <w:bottom w:val="single" w:color="auto" w:sz="4" w:space="0"/>
              <w:right w:val="single" w:color="auto" w:sz="4" w:space="0"/>
            </w:tcBorders>
            <w:vAlign w:val="center"/>
          </w:tcPr>
          <w:p w14:paraId="439AF746">
            <w:pPr>
              <w:rPr>
                <w:rFonts w:hint="eastAsia" w:ascii="Times New Roman" w:hAnsi="Times New Roman" w:eastAsia="宋体" w:cs="Times New Roman"/>
                <w:color w:val="auto"/>
                <w:sz w:val="18"/>
                <w:szCs w:val="18"/>
                <w:highlight w:val="none"/>
              </w:rPr>
            </w:pPr>
          </w:p>
        </w:tc>
      </w:tr>
      <w:tr w14:paraId="5757186D">
        <w:tblPrEx>
          <w:tblCellMar>
            <w:top w:w="0" w:type="dxa"/>
            <w:left w:w="108" w:type="dxa"/>
            <w:bottom w:w="0" w:type="dxa"/>
            <w:right w:w="108" w:type="dxa"/>
          </w:tblCellMar>
        </w:tblPrEx>
        <w:trPr>
          <w:trHeight w:val="90" w:hRule="atLeast"/>
          <w:jc w:val="center"/>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14:paraId="4119035B">
            <w:pPr>
              <w:keepNext w:val="0"/>
              <w:keepLines w:val="0"/>
              <w:widowControl/>
              <w:suppressLineNumbers w:val="0"/>
              <w:jc w:val="center"/>
              <w:textAlignment w:val="center"/>
              <w:rPr>
                <w:rFonts w:hint="default" w:ascii="Times New Roman" w:hAnsi="Times New Roman" w:eastAsia="等线" w:cs="Times New Roman"/>
                <w:color w:val="auto"/>
                <w:kern w:val="2"/>
                <w:sz w:val="21"/>
                <w:szCs w:val="21"/>
                <w:highlight w:val="none"/>
                <w:lang w:val="en-US" w:eastAsia="zh-CN" w:bidi="ar-SA"/>
              </w:rPr>
            </w:pPr>
            <w:r>
              <w:rPr>
                <w:rFonts w:hint="default" w:ascii="Times New Roman" w:hAnsi="Times New Roman" w:eastAsia="等线" w:cs="Times New Roman"/>
                <w:i w:val="0"/>
                <w:iCs w:val="0"/>
                <w:color w:val="auto"/>
                <w:kern w:val="0"/>
                <w:sz w:val="21"/>
                <w:szCs w:val="21"/>
                <w:highlight w:val="none"/>
                <w:u w:val="none"/>
                <w:lang w:val="en-US" w:eastAsia="zh-CN" w:bidi="ar"/>
              </w:rPr>
              <w:t>50</w:t>
            </w:r>
          </w:p>
        </w:tc>
        <w:tc>
          <w:tcPr>
            <w:tcW w:w="6111" w:type="dxa"/>
            <w:gridSpan w:val="2"/>
            <w:tcBorders>
              <w:top w:val="single" w:color="auto" w:sz="4" w:space="0"/>
              <w:left w:val="nil"/>
              <w:bottom w:val="single" w:color="auto" w:sz="4" w:space="0"/>
              <w:right w:val="single" w:color="auto" w:sz="4" w:space="0"/>
            </w:tcBorders>
            <w:shd w:val="clear" w:color="auto" w:fill="auto"/>
            <w:vAlign w:val="center"/>
          </w:tcPr>
          <w:p w14:paraId="4321DA59">
            <w:pPr>
              <w:rPr>
                <w:rFonts w:hint="default" w:ascii="宋体" w:hAnsi="宋体" w:eastAsia="宋体" w:cs="宋体"/>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rPr>
              <w:t>操作间</w:t>
            </w:r>
            <w:r>
              <w:rPr>
                <w:rFonts w:hint="eastAsia" w:ascii="Times New Roman" w:hAnsi="Times New Roman" w:eastAsia="宋体" w:cs="Times New Roman"/>
                <w:color w:val="auto"/>
                <w:sz w:val="18"/>
                <w:szCs w:val="18"/>
                <w:highlight w:val="none"/>
                <w:lang w:val="en-US" w:eastAsia="zh-CN"/>
              </w:rPr>
              <w:t>保持</w:t>
            </w:r>
            <w:r>
              <w:rPr>
                <w:rFonts w:hint="eastAsia" w:ascii="Times New Roman" w:hAnsi="Times New Roman" w:eastAsia="宋体" w:cs="Times New Roman"/>
                <w:color w:val="auto"/>
                <w:sz w:val="18"/>
                <w:szCs w:val="18"/>
                <w:highlight w:val="none"/>
              </w:rPr>
              <w:t>干净，无杂物</w:t>
            </w:r>
            <w:r>
              <w:rPr>
                <w:rFonts w:hint="eastAsia" w:ascii="Times New Roman" w:hAnsi="Times New Roman" w:eastAsia="宋体" w:cs="Times New Roman"/>
                <w:color w:val="auto"/>
                <w:sz w:val="18"/>
                <w:szCs w:val="18"/>
                <w:highlight w:val="none"/>
                <w:lang w:eastAsia="zh-CN"/>
              </w:rPr>
              <w:t>、</w:t>
            </w:r>
            <w:r>
              <w:rPr>
                <w:rFonts w:hint="eastAsia" w:ascii="Times New Roman" w:hAnsi="Times New Roman" w:eastAsia="宋体" w:cs="Times New Roman"/>
                <w:color w:val="auto"/>
                <w:sz w:val="18"/>
                <w:szCs w:val="18"/>
                <w:highlight w:val="none"/>
              </w:rPr>
              <w:t>无积水、无油渍</w:t>
            </w:r>
          </w:p>
        </w:tc>
        <w:tc>
          <w:tcPr>
            <w:tcW w:w="613" w:type="dxa"/>
            <w:tcBorders>
              <w:top w:val="single" w:color="auto" w:sz="4" w:space="0"/>
              <w:left w:val="nil"/>
              <w:bottom w:val="single" w:color="auto" w:sz="4" w:space="0"/>
              <w:right w:val="single" w:color="auto" w:sz="4" w:space="0"/>
            </w:tcBorders>
            <w:shd w:val="clear" w:color="auto" w:fill="auto"/>
            <w:vAlign w:val="center"/>
          </w:tcPr>
          <w:p w14:paraId="118E8D82">
            <w:pPr>
              <w:jc w:val="center"/>
              <w:rPr>
                <w:rFonts w:hint="default"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1</w:t>
            </w:r>
          </w:p>
        </w:tc>
        <w:tc>
          <w:tcPr>
            <w:tcW w:w="587" w:type="dxa"/>
            <w:tcBorders>
              <w:top w:val="single" w:color="auto" w:sz="4" w:space="0"/>
              <w:left w:val="nil"/>
              <w:bottom w:val="single" w:color="auto" w:sz="4" w:space="0"/>
              <w:right w:val="single" w:color="auto" w:sz="4" w:space="0"/>
            </w:tcBorders>
            <w:vAlign w:val="center"/>
          </w:tcPr>
          <w:p w14:paraId="0D159FCB">
            <w:pPr>
              <w:rPr>
                <w:rFonts w:hint="eastAsia" w:ascii="Times New Roman" w:hAnsi="Times New Roman" w:eastAsia="宋体" w:cs="Times New Roman"/>
                <w:color w:val="auto"/>
                <w:sz w:val="18"/>
                <w:szCs w:val="18"/>
                <w:highlight w:val="none"/>
              </w:rPr>
            </w:pPr>
          </w:p>
        </w:tc>
        <w:tc>
          <w:tcPr>
            <w:tcW w:w="2098" w:type="dxa"/>
            <w:tcBorders>
              <w:top w:val="single" w:color="auto" w:sz="4" w:space="0"/>
              <w:left w:val="nil"/>
              <w:bottom w:val="single" w:color="auto" w:sz="4" w:space="0"/>
              <w:right w:val="single" w:color="auto" w:sz="4" w:space="0"/>
            </w:tcBorders>
            <w:vAlign w:val="center"/>
          </w:tcPr>
          <w:p w14:paraId="6CC2DB4F">
            <w:pPr>
              <w:rPr>
                <w:rFonts w:hint="eastAsia" w:ascii="Times New Roman" w:hAnsi="Times New Roman" w:eastAsia="宋体" w:cs="Times New Roman"/>
                <w:color w:val="auto"/>
                <w:sz w:val="18"/>
                <w:szCs w:val="18"/>
                <w:highlight w:val="none"/>
              </w:rPr>
            </w:pPr>
          </w:p>
        </w:tc>
      </w:tr>
      <w:tr w14:paraId="33F787C5">
        <w:tblPrEx>
          <w:tblCellMar>
            <w:top w:w="0" w:type="dxa"/>
            <w:left w:w="108" w:type="dxa"/>
            <w:bottom w:w="0" w:type="dxa"/>
            <w:right w:w="108" w:type="dxa"/>
          </w:tblCellMar>
        </w:tblPrEx>
        <w:trPr>
          <w:trHeight w:val="90" w:hRule="atLeast"/>
          <w:jc w:val="center"/>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14:paraId="5ECF0CBA">
            <w:pPr>
              <w:keepNext w:val="0"/>
              <w:keepLines w:val="0"/>
              <w:widowControl/>
              <w:suppressLineNumbers w:val="0"/>
              <w:jc w:val="center"/>
              <w:textAlignment w:val="center"/>
              <w:rPr>
                <w:rFonts w:hint="default" w:ascii="Times New Roman" w:hAnsi="Times New Roman" w:eastAsia="等线" w:cs="Times New Roman"/>
                <w:color w:val="auto"/>
                <w:kern w:val="2"/>
                <w:sz w:val="21"/>
                <w:szCs w:val="21"/>
                <w:highlight w:val="none"/>
                <w:lang w:val="en-US" w:eastAsia="zh-CN" w:bidi="ar-SA"/>
              </w:rPr>
            </w:pPr>
            <w:r>
              <w:rPr>
                <w:rFonts w:hint="default" w:ascii="Times New Roman" w:hAnsi="Times New Roman" w:eastAsia="等线" w:cs="Times New Roman"/>
                <w:i w:val="0"/>
                <w:iCs w:val="0"/>
                <w:color w:val="auto"/>
                <w:kern w:val="0"/>
                <w:sz w:val="21"/>
                <w:szCs w:val="21"/>
                <w:highlight w:val="none"/>
                <w:u w:val="none"/>
                <w:lang w:val="en-US" w:eastAsia="zh-CN" w:bidi="ar"/>
              </w:rPr>
              <w:t>51</w:t>
            </w:r>
          </w:p>
        </w:tc>
        <w:tc>
          <w:tcPr>
            <w:tcW w:w="6111" w:type="dxa"/>
            <w:gridSpan w:val="2"/>
            <w:tcBorders>
              <w:top w:val="single" w:color="auto" w:sz="4" w:space="0"/>
              <w:left w:val="nil"/>
              <w:bottom w:val="single" w:color="auto" w:sz="4" w:space="0"/>
              <w:right w:val="single" w:color="auto" w:sz="4" w:space="0"/>
            </w:tcBorders>
            <w:shd w:val="clear" w:color="auto" w:fill="auto"/>
            <w:vAlign w:val="center"/>
          </w:tcPr>
          <w:p w14:paraId="5AA3CEAD">
            <w:pPr>
              <w:rPr>
                <w:rFonts w:hint="eastAsia"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lang w:val="en-US" w:eastAsia="zh-CN"/>
              </w:rPr>
              <w:t>厨房</w:t>
            </w:r>
            <w:r>
              <w:rPr>
                <w:rFonts w:hint="eastAsia" w:ascii="Times New Roman" w:hAnsi="Times New Roman" w:eastAsia="宋体" w:cs="Times New Roman"/>
                <w:color w:val="auto"/>
                <w:sz w:val="18"/>
                <w:szCs w:val="18"/>
                <w:highlight w:val="none"/>
              </w:rPr>
              <w:t>水沟无杂物、无积垢，下水道</w:t>
            </w:r>
            <w:r>
              <w:rPr>
                <w:rFonts w:hint="eastAsia" w:ascii="Times New Roman" w:hAnsi="Times New Roman" w:eastAsia="宋体" w:cs="Times New Roman"/>
                <w:color w:val="auto"/>
                <w:sz w:val="18"/>
                <w:szCs w:val="18"/>
                <w:highlight w:val="none"/>
                <w:lang w:val="en-US" w:eastAsia="zh-CN"/>
              </w:rPr>
              <w:t>通畅</w:t>
            </w:r>
            <w:r>
              <w:rPr>
                <w:rFonts w:hint="eastAsia" w:ascii="Times New Roman" w:hAnsi="Times New Roman" w:eastAsia="宋体" w:cs="Times New Roman"/>
                <w:color w:val="auto"/>
                <w:sz w:val="18"/>
                <w:szCs w:val="18"/>
                <w:highlight w:val="none"/>
              </w:rPr>
              <w:t>无堵塞</w:t>
            </w:r>
          </w:p>
        </w:tc>
        <w:tc>
          <w:tcPr>
            <w:tcW w:w="613" w:type="dxa"/>
            <w:tcBorders>
              <w:top w:val="single" w:color="auto" w:sz="4" w:space="0"/>
              <w:left w:val="nil"/>
              <w:bottom w:val="single" w:color="auto" w:sz="4" w:space="0"/>
              <w:right w:val="single" w:color="auto" w:sz="4" w:space="0"/>
            </w:tcBorders>
            <w:shd w:val="clear" w:color="auto" w:fill="auto"/>
            <w:vAlign w:val="center"/>
          </w:tcPr>
          <w:p w14:paraId="473A70F9">
            <w:pPr>
              <w:jc w:val="center"/>
              <w:rPr>
                <w:rFonts w:hint="default"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1</w:t>
            </w:r>
          </w:p>
        </w:tc>
        <w:tc>
          <w:tcPr>
            <w:tcW w:w="587" w:type="dxa"/>
            <w:tcBorders>
              <w:top w:val="single" w:color="auto" w:sz="4" w:space="0"/>
              <w:left w:val="nil"/>
              <w:bottom w:val="single" w:color="auto" w:sz="4" w:space="0"/>
              <w:right w:val="single" w:color="auto" w:sz="4" w:space="0"/>
            </w:tcBorders>
            <w:vAlign w:val="center"/>
          </w:tcPr>
          <w:p w14:paraId="284BBEA4">
            <w:pPr>
              <w:rPr>
                <w:rFonts w:hint="eastAsia" w:ascii="Times New Roman" w:hAnsi="Times New Roman" w:eastAsia="宋体" w:cs="Times New Roman"/>
                <w:color w:val="auto"/>
                <w:sz w:val="18"/>
                <w:szCs w:val="18"/>
                <w:highlight w:val="none"/>
              </w:rPr>
            </w:pPr>
          </w:p>
        </w:tc>
        <w:tc>
          <w:tcPr>
            <w:tcW w:w="2098" w:type="dxa"/>
            <w:tcBorders>
              <w:top w:val="single" w:color="auto" w:sz="4" w:space="0"/>
              <w:left w:val="nil"/>
              <w:bottom w:val="single" w:color="auto" w:sz="4" w:space="0"/>
              <w:right w:val="single" w:color="auto" w:sz="4" w:space="0"/>
            </w:tcBorders>
            <w:vAlign w:val="center"/>
          </w:tcPr>
          <w:p w14:paraId="01381B83">
            <w:pPr>
              <w:rPr>
                <w:rFonts w:hint="eastAsia" w:ascii="Times New Roman" w:hAnsi="Times New Roman" w:eastAsia="宋体" w:cs="Times New Roman"/>
                <w:color w:val="auto"/>
                <w:sz w:val="18"/>
                <w:szCs w:val="18"/>
                <w:highlight w:val="none"/>
              </w:rPr>
            </w:pPr>
          </w:p>
        </w:tc>
      </w:tr>
      <w:tr w14:paraId="7BB53554">
        <w:tblPrEx>
          <w:tblCellMar>
            <w:top w:w="0" w:type="dxa"/>
            <w:left w:w="108" w:type="dxa"/>
            <w:bottom w:w="0" w:type="dxa"/>
            <w:right w:w="108" w:type="dxa"/>
          </w:tblCellMar>
        </w:tblPrEx>
        <w:trPr>
          <w:trHeight w:val="90" w:hRule="atLeast"/>
          <w:jc w:val="center"/>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14:paraId="03CC1671">
            <w:pPr>
              <w:keepNext w:val="0"/>
              <w:keepLines w:val="0"/>
              <w:widowControl/>
              <w:suppressLineNumbers w:val="0"/>
              <w:jc w:val="center"/>
              <w:textAlignment w:val="center"/>
              <w:rPr>
                <w:rFonts w:hint="default" w:ascii="Times New Roman" w:hAnsi="Times New Roman" w:eastAsia="等线" w:cs="Times New Roman"/>
                <w:color w:val="auto"/>
                <w:kern w:val="2"/>
                <w:sz w:val="21"/>
                <w:szCs w:val="21"/>
                <w:highlight w:val="none"/>
                <w:lang w:val="en-US" w:eastAsia="zh-CN" w:bidi="ar-SA"/>
              </w:rPr>
            </w:pPr>
            <w:r>
              <w:rPr>
                <w:rFonts w:hint="default" w:ascii="Times New Roman" w:hAnsi="Times New Roman" w:eastAsia="等线" w:cs="Times New Roman"/>
                <w:i w:val="0"/>
                <w:iCs w:val="0"/>
                <w:color w:val="auto"/>
                <w:kern w:val="0"/>
                <w:sz w:val="21"/>
                <w:szCs w:val="21"/>
                <w:highlight w:val="none"/>
                <w:u w:val="none"/>
                <w:lang w:val="en-US" w:eastAsia="zh-CN" w:bidi="ar"/>
              </w:rPr>
              <w:t>52</w:t>
            </w:r>
          </w:p>
        </w:tc>
        <w:tc>
          <w:tcPr>
            <w:tcW w:w="6111" w:type="dxa"/>
            <w:gridSpan w:val="2"/>
            <w:tcBorders>
              <w:top w:val="single" w:color="auto" w:sz="4" w:space="0"/>
              <w:left w:val="nil"/>
              <w:bottom w:val="single" w:color="auto" w:sz="4" w:space="0"/>
              <w:right w:val="single" w:color="auto" w:sz="4" w:space="0"/>
            </w:tcBorders>
            <w:shd w:val="clear" w:color="auto" w:fill="auto"/>
            <w:vAlign w:val="center"/>
          </w:tcPr>
          <w:p w14:paraId="67EFB318">
            <w:pPr>
              <w:rPr>
                <w:rFonts w:hint="eastAsia" w:ascii="宋体" w:hAnsi="宋体" w:eastAsia="宋体" w:cs="宋体"/>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lang w:val="en-US" w:eastAsia="zh-CN"/>
              </w:rPr>
              <w:t>售卖间及熟食加工间</w:t>
            </w:r>
            <w:r>
              <w:rPr>
                <w:rFonts w:hint="eastAsia" w:ascii="Times New Roman" w:hAnsi="Times New Roman" w:eastAsia="宋体" w:cs="Times New Roman"/>
                <w:color w:val="auto"/>
                <w:sz w:val="18"/>
                <w:szCs w:val="18"/>
                <w:highlight w:val="none"/>
              </w:rPr>
              <w:t>地漏加盖，水封保持有水封闭</w:t>
            </w:r>
          </w:p>
        </w:tc>
        <w:tc>
          <w:tcPr>
            <w:tcW w:w="613" w:type="dxa"/>
            <w:tcBorders>
              <w:top w:val="single" w:color="auto" w:sz="4" w:space="0"/>
              <w:left w:val="nil"/>
              <w:bottom w:val="single" w:color="auto" w:sz="4" w:space="0"/>
              <w:right w:val="single" w:color="auto" w:sz="4" w:space="0"/>
            </w:tcBorders>
            <w:shd w:val="clear" w:color="auto" w:fill="auto"/>
            <w:vAlign w:val="center"/>
          </w:tcPr>
          <w:p w14:paraId="3560F741">
            <w:pPr>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1</w:t>
            </w:r>
          </w:p>
        </w:tc>
        <w:tc>
          <w:tcPr>
            <w:tcW w:w="587" w:type="dxa"/>
            <w:tcBorders>
              <w:top w:val="single" w:color="auto" w:sz="4" w:space="0"/>
              <w:left w:val="nil"/>
              <w:bottom w:val="single" w:color="auto" w:sz="4" w:space="0"/>
              <w:right w:val="single" w:color="auto" w:sz="4" w:space="0"/>
            </w:tcBorders>
            <w:vAlign w:val="center"/>
          </w:tcPr>
          <w:p w14:paraId="3E5E05B2">
            <w:pPr>
              <w:rPr>
                <w:rFonts w:hint="eastAsia" w:ascii="Times New Roman" w:hAnsi="Times New Roman" w:eastAsia="宋体" w:cs="Times New Roman"/>
                <w:color w:val="auto"/>
                <w:sz w:val="18"/>
                <w:szCs w:val="18"/>
                <w:highlight w:val="none"/>
              </w:rPr>
            </w:pPr>
          </w:p>
        </w:tc>
        <w:tc>
          <w:tcPr>
            <w:tcW w:w="2098" w:type="dxa"/>
            <w:tcBorders>
              <w:top w:val="single" w:color="auto" w:sz="4" w:space="0"/>
              <w:left w:val="nil"/>
              <w:bottom w:val="single" w:color="auto" w:sz="4" w:space="0"/>
              <w:right w:val="single" w:color="auto" w:sz="4" w:space="0"/>
            </w:tcBorders>
            <w:vAlign w:val="center"/>
          </w:tcPr>
          <w:p w14:paraId="711A0C82">
            <w:pPr>
              <w:rPr>
                <w:rFonts w:hint="eastAsia" w:ascii="Times New Roman" w:hAnsi="Times New Roman" w:eastAsia="宋体" w:cs="Times New Roman"/>
                <w:color w:val="auto"/>
                <w:sz w:val="18"/>
                <w:szCs w:val="18"/>
                <w:highlight w:val="none"/>
              </w:rPr>
            </w:pPr>
          </w:p>
        </w:tc>
      </w:tr>
      <w:tr w14:paraId="1EDB8961">
        <w:tblPrEx>
          <w:tblCellMar>
            <w:top w:w="0" w:type="dxa"/>
            <w:left w:w="108" w:type="dxa"/>
            <w:bottom w:w="0" w:type="dxa"/>
            <w:right w:w="108" w:type="dxa"/>
          </w:tblCellMar>
        </w:tblPrEx>
        <w:trPr>
          <w:trHeight w:val="30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09DF698E">
            <w:pPr>
              <w:keepNext w:val="0"/>
              <w:keepLines w:val="0"/>
              <w:widowControl/>
              <w:suppressLineNumbers w:val="0"/>
              <w:jc w:val="center"/>
              <w:textAlignment w:val="center"/>
              <w:rPr>
                <w:rFonts w:hint="eastAsia" w:ascii="Times New Roman" w:hAnsi="Times New Roman" w:eastAsia="等线" w:cs="Times New Roman"/>
                <w:color w:val="auto"/>
                <w:kern w:val="2"/>
                <w:sz w:val="21"/>
                <w:szCs w:val="21"/>
                <w:highlight w:val="none"/>
                <w:lang w:val="en-US" w:eastAsia="zh-CN" w:bidi="ar-SA"/>
              </w:rPr>
            </w:pPr>
            <w:r>
              <w:rPr>
                <w:rFonts w:hint="default" w:ascii="Times New Roman" w:hAnsi="Times New Roman" w:eastAsia="等线" w:cs="Times New Roman"/>
                <w:i w:val="0"/>
                <w:iCs w:val="0"/>
                <w:color w:val="auto"/>
                <w:kern w:val="0"/>
                <w:sz w:val="21"/>
                <w:szCs w:val="21"/>
                <w:highlight w:val="none"/>
                <w:u w:val="none"/>
                <w:lang w:val="en-US" w:eastAsia="zh-CN" w:bidi="ar"/>
              </w:rPr>
              <w:t>53</w:t>
            </w:r>
          </w:p>
        </w:tc>
        <w:tc>
          <w:tcPr>
            <w:tcW w:w="6111" w:type="dxa"/>
            <w:gridSpan w:val="2"/>
            <w:tcBorders>
              <w:top w:val="nil"/>
              <w:left w:val="nil"/>
              <w:bottom w:val="single" w:color="auto" w:sz="4" w:space="0"/>
              <w:right w:val="single" w:color="auto" w:sz="4" w:space="0"/>
            </w:tcBorders>
            <w:shd w:val="clear" w:color="auto" w:fill="auto"/>
            <w:vAlign w:val="center"/>
          </w:tcPr>
          <w:p w14:paraId="5DDBA74E">
            <w:pPr>
              <w:rPr>
                <w:rFonts w:hint="eastAsia" w:ascii="宋体" w:hAnsi="宋体" w:eastAsia="宋体" w:cs="宋体"/>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rPr>
              <w:t>存放餐具的</w:t>
            </w:r>
            <w:r>
              <w:rPr>
                <w:rFonts w:hint="eastAsia" w:ascii="Times New Roman" w:hAnsi="Times New Roman" w:eastAsia="宋体" w:cs="Times New Roman"/>
                <w:color w:val="auto"/>
                <w:sz w:val="18"/>
                <w:szCs w:val="18"/>
                <w:highlight w:val="none"/>
                <w:lang w:val="en-US" w:eastAsia="zh-CN"/>
              </w:rPr>
              <w:t>消毒</w:t>
            </w:r>
            <w:r>
              <w:rPr>
                <w:rFonts w:hint="eastAsia" w:ascii="Times New Roman" w:hAnsi="Times New Roman" w:eastAsia="宋体" w:cs="Times New Roman"/>
                <w:color w:val="auto"/>
                <w:sz w:val="18"/>
                <w:szCs w:val="18"/>
                <w:highlight w:val="none"/>
              </w:rPr>
              <w:t>容器按时清洗消毒、保洁到位</w:t>
            </w:r>
          </w:p>
        </w:tc>
        <w:tc>
          <w:tcPr>
            <w:tcW w:w="613" w:type="dxa"/>
            <w:tcBorders>
              <w:top w:val="nil"/>
              <w:left w:val="nil"/>
              <w:bottom w:val="single" w:color="auto" w:sz="4" w:space="0"/>
              <w:right w:val="single" w:color="auto" w:sz="4" w:space="0"/>
            </w:tcBorders>
            <w:shd w:val="clear" w:color="auto" w:fill="auto"/>
            <w:vAlign w:val="center"/>
          </w:tcPr>
          <w:p w14:paraId="60FACE87">
            <w:pPr>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1</w:t>
            </w:r>
          </w:p>
        </w:tc>
        <w:tc>
          <w:tcPr>
            <w:tcW w:w="587" w:type="dxa"/>
            <w:tcBorders>
              <w:top w:val="nil"/>
              <w:left w:val="nil"/>
              <w:bottom w:val="single" w:color="auto" w:sz="4" w:space="0"/>
              <w:right w:val="single" w:color="auto" w:sz="4" w:space="0"/>
            </w:tcBorders>
            <w:vAlign w:val="center"/>
          </w:tcPr>
          <w:p w14:paraId="4DB08710">
            <w:pPr>
              <w:rPr>
                <w:rFonts w:hint="eastAsia"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　</w:t>
            </w:r>
          </w:p>
        </w:tc>
        <w:tc>
          <w:tcPr>
            <w:tcW w:w="2098" w:type="dxa"/>
            <w:tcBorders>
              <w:top w:val="nil"/>
              <w:left w:val="nil"/>
              <w:bottom w:val="single" w:color="auto" w:sz="4" w:space="0"/>
              <w:right w:val="single" w:color="auto" w:sz="4" w:space="0"/>
            </w:tcBorders>
            <w:vAlign w:val="center"/>
          </w:tcPr>
          <w:p w14:paraId="0FD6BDD6">
            <w:pPr>
              <w:rPr>
                <w:rFonts w:hint="eastAsia" w:ascii="Times New Roman" w:hAnsi="Times New Roman" w:eastAsia="宋体" w:cs="Times New Roman"/>
                <w:color w:val="auto"/>
                <w:sz w:val="18"/>
                <w:szCs w:val="18"/>
                <w:highlight w:val="none"/>
              </w:rPr>
            </w:pPr>
          </w:p>
        </w:tc>
      </w:tr>
      <w:tr w14:paraId="07A439E7">
        <w:tblPrEx>
          <w:tblCellMar>
            <w:top w:w="0" w:type="dxa"/>
            <w:left w:w="108" w:type="dxa"/>
            <w:bottom w:w="0" w:type="dxa"/>
            <w:right w:w="108" w:type="dxa"/>
          </w:tblCellMar>
        </w:tblPrEx>
        <w:trPr>
          <w:trHeight w:val="30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35590AEA">
            <w:pPr>
              <w:keepNext w:val="0"/>
              <w:keepLines w:val="0"/>
              <w:widowControl/>
              <w:suppressLineNumbers w:val="0"/>
              <w:jc w:val="center"/>
              <w:textAlignment w:val="center"/>
              <w:rPr>
                <w:rFonts w:hint="eastAsia" w:ascii="Times New Roman" w:hAnsi="Times New Roman" w:eastAsia="等线" w:cs="Times New Roman"/>
                <w:color w:val="auto"/>
                <w:kern w:val="2"/>
                <w:sz w:val="21"/>
                <w:szCs w:val="21"/>
                <w:highlight w:val="none"/>
                <w:lang w:val="en-US" w:eastAsia="zh-CN" w:bidi="ar-SA"/>
              </w:rPr>
            </w:pPr>
            <w:r>
              <w:rPr>
                <w:rFonts w:hint="default" w:ascii="Times New Roman" w:hAnsi="Times New Roman" w:eastAsia="等线" w:cs="Times New Roman"/>
                <w:i w:val="0"/>
                <w:iCs w:val="0"/>
                <w:color w:val="auto"/>
                <w:kern w:val="0"/>
                <w:sz w:val="21"/>
                <w:szCs w:val="21"/>
                <w:highlight w:val="none"/>
                <w:u w:val="none"/>
                <w:lang w:val="en-US" w:eastAsia="zh-CN" w:bidi="ar"/>
              </w:rPr>
              <w:t>54</w:t>
            </w:r>
          </w:p>
        </w:tc>
        <w:tc>
          <w:tcPr>
            <w:tcW w:w="6111" w:type="dxa"/>
            <w:gridSpan w:val="2"/>
            <w:tcBorders>
              <w:top w:val="nil"/>
              <w:left w:val="nil"/>
              <w:bottom w:val="single" w:color="auto" w:sz="4" w:space="0"/>
              <w:right w:val="single" w:color="auto" w:sz="4" w:space="0"/>
            </w:tcBorders>
            <w:shd w:val="clear" w:color="auto" w:fill="auto"/>
            <w:vAlign w:val="center"/>
          </w:tcPr>
          <w:p w14:paraId="62A18807">
            <w:pPr>
              <w:rPr>
                <w:rFonts w:hint="default" w:ascii="宋体" w:hAnsi="宋体" w:eastAsia="宋体" w:cs="宋体"/>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rPr>
              <w:t>开餐时餐具充足保证，无出现餐具供应短缺现象</w:t>
            </w:r>
          </w:p>
        </w:tc>
        <w:tc>
          <w:tcPr>
            <w:tcW w:w="613" w:type="dxa"/>
            <w:tcBorders>
              <w:top w:val="nil"/>
              <w:left w:val="nil"/>
              <w:bottom w:val="single" w:color="auto" w:sz="4" w:space="0"/>
              <w:right w:val="single" w:color="auto" w:sz="4" w:space="0"/>
            </w:tcBorders>
            <w:shd w:val="clear" w:color="auto" w:fill="auto"/>
            <w:vAlign w:val="center"/>
          </w:tcPr>
          <w:p w14:paraId="33BD233B">
            <w:pPr>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1</w:t>
            </w:r>
          </w:p>
        </w:tc>
        <w:tc>
          <w:tcPr>
            <w:tcW w:w="587" w:type="dxa"/>
            <w:tcBorders>
              <w:top w:val="nil"/>
              <w:left w:val="nil"/>
              <w:bottom w:val="single" w:color="auto" w:sz="4" w:space="0"/>
              <w:right w:val="single" w:color="auto" w:sz="4" w:space="0"/>
            </w:tcBorders>
            <w:vAlign w:val="center"/>
          </w:tcPr>
          <w:p w14:paraId="3DF5BECA">
            <w:pPr>
              <w:rPr>
                <w:rFonts w:hint="eastAsia"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　</w:t>
            </w:r>
          </w:p>
        </w:tc>
        <w:tc>
          <w:tcPr>
            <w:tcW w:w="2098" w:type="dxa"/>
            <w:tcBorders>
              <w:top w:val="nil"/>
              <w:left w:val="nil"/>
              <w:bottom w:val="single" w:color="auto" w:sz="4" w:space="0"/>
              <w:right w:val="single" w:color="auto" w:sz="4" w:space="0"/>
            </w:tcBorders>
            <w:vAlign w:val="center"/>
          </w:tcPr>
          <w:p w14:paraId="63362F32">
            <w:pPr>
              <w:rPr>
                <w:rFonts w:hint="eastAsia" w:ascii="Times New Roman" w:hAnsi="Times New Roman" w:eastAsia="宋体" w:cs="Times New Roman"/>
                <w:color w:val="auto"/>
                <w:sz w:val="18"/>
                <w:szCs w:val="18"/>
                <w:highlight w:val="none"/>
              </w:rPr>
            </w:pPr>
          </w:p>
        </w:tc>
      </w:tr>
      <w:tr w14:paraId="6FADC445">
        <w:tblPrEx>
          <w:tblCellMar>
            <w:top w:w="0" w:type="dxa"/>
            <w:left w:w="108" w:type="dxa"/>
            <w:bottom w:w="0" w:type="dxa"/>
            <w:right w:w="108" w:type="dxa"/>
          </w:tblCellMar>
        </w:tblPrEx>
        <w:trPr>
          <w:trHeight w:val="30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1332D686">
            <w:pPr>
              <w:keepNext w:val="0"/>
              <w:keepLines w:val="0"/>
              <w:widowControl/>
              <w:suppressLineNumbers w:val="0"/>
              <w:jc w:val="center"/>
              <w:textAlignment w:val="center"/>
              <w:rPr>
                <w:rFonts w:hint="eastAsia" w:ascii="Times New Roman" w:hAnsi="Times New Roman" w:eastAsia="等线" w:cs="Times New Roman"/>
                <w:color w:val="auto"/>
                <w:kern w:val="2"/>
                <w:sz w:val="21"/>
                <w:szCs w:val="21"/>
                <w:highlight w:val="none"/>
                <w:lang w:val="en-US" w:eastAsia="zh-CN" w:bidi="ar-SA"/>
              </w:rPr>
            </w:pPr>
            <w:r>
              <w:rPr>
                <w:rFonts w:hint="default" w:ascii="Times New Roman" w:hAnsi="Times New Roman" w:eastAsia="等线" w:cs="Times New Roman"/>
                <w:i w:val="0"/>
                <w:iCs w:val="0"/>
                <w:color w:val="auto"/>
                <w:kern w:val="0"/>
                <w:sz w:val="21"/>
                <w:szCs w:val="21"/>
                <w:highlight w:val="none"/>
                <w:u w:val="none"/>
                <w:lang w:val="en-US" w:eastAsia="zh-CN" w:bidi="ar"/>
              </w:rPr>
              <w:t>55</w:t>
            </w:r>
          </w:p>
        </w:tc>
        <w:tc>
          <w:tcPr>
            <w:tcW w:w="6111" w:type="dxa"/>
            <w:gridSpan w:val="2"/>
            <w:tcBorders>
              <w:top w:val="nil"/>
              <w:left w:val="nil"/>
              <w:bottom w:val="single" w:color="auto" w:sz="4" w:space="0"/>
              <w:right w:val="single" w:color="auto" w:sz="4" w:space="0"/>
            </w:tcBorders>
            <w:shd w:val="clear" w:color="auto" w:fill="auto"/>
            <w:vAlign w:val="center"/>
          </w:tcPr>
          <w:p w14:paraId="067CA5B6">
            <w:pPr>
              <w:rPr>
                <w:rFonts w:hint="default" w:ascii="宋体" w:hAnsi="宋体" w:eastAsia="宋体" w:cs="宋体"/>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rPr>
              <w:t>消毒后的餐饮具无水、无垢、无油渍，无残渣</w:t>
            </w:r>
          </w:p>
        </w:tc>
        <w:tc>
          <w:tcPr>
            <w:tcW w:w="613" w:type="dxa"/>
            <w:tcBorders>
              <w:top w:val="nil"/>
              <w:left w:val="nil"/>
              <w:bottom w:val="single" w:color="auto" w:sz="4" w:space="0"/>
              <w:right w:val="single" w:color="auto" w:sz="4" w:space="0"/>
            </w:tcBorders>
            <w:shd w:val="clear" w:color="auto" w:fill="auto"/>
            <w:vAlign w:val="center"/>
          </w:tcPr>
          <w:p w14:paraId="2B9B2FDF">
            <w:pPr>
              <w:jc w:val="center"/>
              <w:rPr>
                <w:rFonts w:hint="default"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lang w:val="en-US" w:eastAsia="zh-CN"/>
              </w:rPr>
              <w:t>1</w:t>
            </w:r>
          </w:p>
        </w:tc>
        <w:tc>
          <w:tcPr>
            <w:tcW w:w="587" w:type="dxa"/>
            <w:tcBorders>
              <w:top w:val="nil"/>
              <w:left w:val="nil"/>
              <w:bottom w:val="single" w:color="auto" w:sz="4" w:space="0"/>
              <w:right w:val="single" w:color="auto" w:sz="4" w:space="0"/>
            </w:tcBorders>
            <w:vAlign w:val="center"/>
          </w:tcPr>
          <w:p w14:paraId="6C6D3557">
            <w:pPr>
              <w:rPr>
                <w:rFonts w:hint="eastAsia"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　</w:t>
            </w:r>
          </w:p>
        </w:tc>
        <w:tc>
          <w:tcPr>
            <w:tcW w:w="2098" w:type="dxa"/>
            <w:tcBorders>
              <w:top w:val="nil"/>
              <w:left w:val="nil"/>
              <w:bottom w:val="single" w:color="auto" w:sz="4" w:space="0"/>
              <w:right w:val="single" w:color="auto" w:sz="4" w:space="0"/>
            </w:tcBorders>
            <w:vAlign w:val="center"/>
          </w:tcPr>
          <w:p w14:paraId="289E8F71">
            <w:pPr>
              <w:rPr>
                <w:rFonts w:hint="eastAsia" w:ascii="Times New Roman" w:hAnsi="Times New Roman" w:eastAsia="宋体" w:cs="Times New Roman"/>
                <w:color w:val="auto"/>
                <w:sz w:val="18"/>
                <w:szCs w:val="18"/>
                <w:highlight w:val="none"/>
              </w:rPr>
            </w:pPr>
          </w:p>
        </w:tc>
      </w:tr>
      <w:tr w14:paraId="28F5BDD8">
        <w:tblPrEx>
          <w:tblCellMar>
            <w:top w:w="0" w:type="dxa"/>
            <w:left w:w="108" w:type="dxa"/>
            <w:bottom w:w="0" w:type="dxa"/>
            <w:right w:w="108" w:type="dxa"/>
          </w:tblCellMar>
        </w:tblPrEx>
        <w:trPr>
          <w:trHeight w:val="30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3015774A">
            <w:pPr>
              <w:keepNext w:val="0"/>
              <w:keepLines w:val="0"/>
              <w:widowControl/>
              <w:suppressLineNumbers w:val="0"/>
              <w:jc w:val="center"/>
              <w:textAlignment w:val="center"/>
              <w:rPr>
                <w:rFonts w:hint="eastAsia" w:ascii="Times New Roman" w:hAnsi="Times New Roman" w:eastAsia="等线" w:cs="Times New Roman"/>
                <w:color w:val="auto"/>
                <w:kern w:val="2"/>
                <w:sz w:val="21"/>
                <w:szCs w:val="21"/>
                <w:highlight w:val="none"/>
                <w:lang w:val="en-US" w:eastAsia="zh-CN" w:bidi="ar-SA"/>
              </w:rPr>
            </w:pPr>
            <w:r>
              <w:rPr>
                <w:rFonts w:hint="default" w:ascii="Times New Roman" w:hAnsi="Times New Roman" w:eastAsia="等线" w:cs="Times New Roman"/>
                <w:i w:val="0"/>
                <w:iCs w:val="0"/>
                <w:color w:val="auto"/>
                <w:kern w:val="0"/>
                <w:sz w:val="21"/>
                <w:szCs w:val="21"/>
                <w:highlight w:val="none"/>
                <w:u w:val="none"/>
                <w:lang w:val="en-US" w:eastAsia="zh-CN" w:bidi="ar"/>
              </w:rPr>
              <w:t>56</w:t>
            </w:r>
          </w:p>
        </w:tc>
        <w:tc>
          <w:tcPr>
            <w:tcW w:w="6111" w:type="dxa"/>
            <w:gridSpan w:val="2"/>
            <w:tcBorders>
              <w:top w:val="nil"/>
              <w:left w:val="nil"/>
              <w:bottom w:val="single" w:color="auto" w:sz="4" w:space="0"/>
              <w:right w:val="single" w:color="auto" w:sz="4" w:space="0"/>
            </w:tcBorders>
            <w:shd w:val="clear" w:color="auto" w:fill="auto"/>
            <w:vAlign w:val="center"/>
          </w:tcPr>
          <w:p w14:paraId="2B191E07">
            <w:pPr>
              <w:rPr>
                <w:rFonts w:hint="default" w:ascii="宋体" w:hAnsi="宋体" w:eastAsia="宋体" w:cs="宋体"/>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rPr>
              <w:t>未消毒的餐具与己消毒的餐具分开存放</w:t>
            </w:r>
          </w:p>
        </w:tc>
        <w:tc>
          <w:tcPr>
            <w:tcW w:w="613" w:type="dxa"/>
            <w:tcBorders>
              <w:top w:val="nil"/>
              <w:left w:val="nil"/>
              <w:bottom w:val="single" w:color="auto" w:sz="4" w:space="0"/>
              <w:right w:val="single" w:color="auto" w:sz="4" w:space="0"/>
            </w:tcBorders>
            <w:shd w:val="clear" w:color="auto" w:fill="auto"/>
            <w:vAlign w:val="center"/>
          </w:tcPr>
          <w:p w14:paraId="325B601D">
            <w:pPr>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1</w:t>
            </w:r>
          </w:p>
        </w:tc>
        <w:tc>
          <w:tcPr>
            <w:tcW w:w="587" w:type="dxa"/>
            <w:tcBorders>
              <w:top w:val="nil"/>
              <w:left w:val="nil"/>
              <w:bottom w:val="single" w:color="auto" w:sz="4" w:space="0"/>
              <w:right w:val="single" w:color="auto" w:sz="4" w:space="0"/>
            </w:tcBorders>
            <w:vAlign w:val="center"/>
          </w:tcPr>
          <w:p w14:paraId="5A8D33AA">
            <w:pPr>
              <w:rPr>
                <w:rFonts w:hint="eastAsia"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　</w:t>
            </w:r>
          </w:p>
        </w:tc>
        <w:tc>
          <w:tcPr>
            <w:tcW w:w="2098" w:type="dxa"/>
            <w:tcBorders>
              <w:top w:val="nil"/>
              <w:left w:val="nil"/>
              <w:bottom w:val="single" w:color="auto" w:sz="4" w:space="0"/>
              <w:right w:val="single" w:color="auto" w:sz="4" w:space="0"/>
            </w:tcBorders>
            <w:vAlign w:val="center"/>
          </w:tcPr>
          <w:p w14:paraId="61977138">
            <w:pPr>
              <w:jc w:val="center"/>
              <w:rPr>
                <w:rFonts w:hint="eastAsia" w:ascii="Times New Roman" w:hAnsi="Times New Roman" w:eastAsia="宋体" w:cs="Times New Roman"/>
                <w:color w:val="auto"/>
                <w:sz w:val="18"/>
                <w:szCs w:val="18"/>
                <w:highlight w:val="none"/>
              </w:rPr>
            </w:pPr>
          </w:p>
        </w:tc>
      </w:tr>
      <w:tr w14:paraId="066C694F">
        <w:tblPrEx>
          <w:tblCellMar>
            <w:top w:w="0" w:type="dxa"/>
            <w:left w:w="108" w:type="dxa"/>
            <w:bottom w:w="0" w:type="dxa"/>
            <w:right w:w="108" w:type="dxa"/>
          </w:tblCellMar>
        </w:tblPrEx>
        <w:trPr>
          <w:trHeight w:val="300" w:hRule="atLeast"/>
          <w:jc w:val="center"/>
        </w:trPr>
        <w:tc>
          <w:tcPr>
            <w:tcW w:w="525" w:type="dxa"/>
            <w:tcBorders>
              <w:top w:val="nil"/>
              <w:left w:val="single" w:color="auto" w:sz="4" w:space="0"/>
              <w:bottom w:val="single" w:color="auto" w:sz="4" w:space="0"/>
              <w:right w:val="single" w:color="auto" w:sz="4" w:space="0"/>
            </w:tcBorders>
            <w:shd w:val="clear" w:color="auto" w:fill="auto"/>
            <w:vAlign w:val="center"/>
          </w:tcPr>
          <w:p w14:paraId="744D2E4C">
            <w:pPr>
              <w:keepNext w:val="0"/>
              <w:keepLines w:val="0"/>
              <w:widowControl/>
              <w:suppressLineNumbers w:val="0"/>
              <w:jc w:val="center"/>
              <w:textAlignment w:val="center"/>
              <w:rPr>
                <w:rFonts w:hint="eastAsia" w:ascii="Times New Roman" w:hAnsi="Times New Roman" w:eastAsia="等线" w:cs="Times New Roman"/>
                <w:color w:val="auto"/>
                <w:kern w:val="2"/>
                <w:sz w:val="21"/>
                <w:szCs w:val="21"/>
                <w:highlight w:val="none"/>
                <w:lang w:val="en-US" w:eastAsia="zh-CN" w:bidi="ar-SA"/>
              </w:rPr>
            </w:pPr>
            <w:r>
              <w:rPr>
                <w:rFonts w:hint="default" w:ascii="Times New Roman" w:hAnsi="Times New Roman" w:eastAsia="等线" w:cs="Times New Roman"/>
                <w:i w:val="0"/>
                <w:iCs w:val="0"/>
                <w:color w:val="auto"/>
                <w:kern w:val="0"/>
                <w:sz w:val="21"/>
                <w:szCs w:val="21"/>
                <w:highlight w:val="none"/>
                <w:u w:val="none"/>
                <w:lang w:val="en-US" w:eastAsia="zh-CN" w:bidi="ar"/>
              </w:rPr>
              <w:t>57</w:t>
            </w:r>
          </w:p>
        </w:tc>
        <w:tc>
          <w:tcPr>
            <w:tcW w:w="6111" w:type="dxa"/>
            <w:gridSpan w:val="2"/>
            <w:tcBorders>
              <w:top w:val="nil"/>
              <w:left w:val="nil"/>
              <w:bottom w:val="single" w:color="auto" w:sz="4" w:space="0"/>
              <w:right w:val="single" w:color="auto" w:sz="4" w:space="0"/>
            </w:tcBorders>
            <w:shd w:val="clear" w:color="auto" w:fill="auto"/>
            <w:vAlign w:val="center"/>
          </w:tcPr>
          <w:p w14:paraId="091C7583">
            <w:pPr>
              <w:rPr>
                <w:rFonts w:hint="default" w:ascii="宋体" w:hAnsi="宋体" w:eastAsia="宋体" w:cs="宋体"/>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rPr>
              <w:t>每餐供餐完毕，</w:t>
            </w:r>
            <w:r>
              <w:rPr>
                <w:rFonts w:hint="eastAsia" w:ascii="Times New Roman" w:hAnsi="Times New Roman" w:eastAsia="宋体" w:cs="Times New Roman"/>
                <w:color w:val="auto"/>
                <w:sz w:val="18"/>
                <w:szCs w:val="18"/>
                <w:highlight w:val="none"/>
                <w:lang w:val="en-US" w:eastAsia="zh-CN"/>
              </w:rPr>
              <w:t>售卖餐台</w:t>
            </w:r>
            <w:r>
              <w:rPr>
                <w:rFonts w:hint="eastAsia" w:ascii="Times New Roman" w:hAnsi="Times New Roman" w:eastAsia="宋体" w:cs="Times New Roman"/>
                <w:color w:val="auto"/>
                <w:sz w:val="18"/>
                <w:szCs w:val="18"/>
                <w:highlight w:val="none"/>
              </w:rPr>
              <w:t>及时清洁</w:t>
            </w:r>
          </w:p>
        </w:tc>
        <w:tc>
          <w:tcPr>
            <w:tcW w:w="613" w:type="dxa"/>
            <w:tcBorders>
              <w:top w:val="nil"/>
              <w:left w:val="nil"/>
              <w:bottom w:val="single" w:color="auto" w:sz="4" w:space="0"/>
              <w:right w:val="single" w:color="auto" w:sz="4" w:space="0"/>
            </w:tcBorders>
            <w:shd w:val="clear" w:color="auto" w:fill="auto"/>
            <w:vAlign w:val="center"/>
          </w:tcPr>
          <w:p w14:paraId="0EF9089A">
            <w:pPr>
              <w:jc w:val="center"/>
              <w:rPr>
                <w:rFonts w:hint="default"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1</w:t>
            </w:r>
          </w:p>
        </w:tc>
        <w:tc>
          <w:tcPr>
            <w:tcW w:w="587" w:type="dxa"/>
            <w:tcBorders>
              <w:top w:val="nil"/>
              <w:left w:val="nil"/>
              <w:bottom w:val="single" w:color="auto" w:sz="4" w:space="0"/>
              <w:right w:val="single" w:color="auto" w:sz="4" w:space="0"/>
            </w:tcBorders>
            <w:vAlign w:val="center"/>
          </w:tcPr>
          <w:p w14:paraId="48CD9C43">
            <w:pPr>
              <w:rPr>
                <w:rFonts w:hint="eastAsia"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　</w:t>
            </w:r>
          </w:p>
        </w:tc>
        <w:tc>
          <w:tcPr>
            <w:tcW w:w="2098" w:type="dxa"/>
            <w:tcBorders>
              <w:top w:val="nil"/>
              <w:left w:val="nil"/>
              <w:bottom w:val="single" w:color="auto" w:sz="4" w:space="0"/>
              <w:right w:val="single" w:color="auto" w:sz="4" w:space="0"/>
            </w:tcBorders>
            <w:vAlign w:val="center"/>
          </w:tcPr>
          <w:p w14:paraId="13247E85">
            <w:pPr>
              <w:rPr>
                <w:rFonts w:hint="eastAsia" w:ascii="Times New Roman" w:hAnsi="Times New Roman" w:eastAsia="宋体" w:cs="Times New Roman"/>
                <w:color w:val="auto"/>
                <w:sz w:val="18"/>
                <w:szCs w:val="18"/>
                <w:highlight w:val="none"/>
              </w:rPr>
            </w:pPr>
          </w:p>
        </w:tc>
      </w:tr>
      <w:tr w14:paraId="7B00E599">
        <w:tblPrEx>
          <w:tblCellMar>
            <w:top w:w="0" w:type="dxa"/>
            <w:left w:w="108" w:type="dxa"/>
            <w:bottom w:w="0" w:type="dxa"/>
            <w:right w:w="108" w:type="dxa"/>
          </w:tblCellMar>
        </w:tblPrEx>
        <w:trPr>
          <w:trHeight w:val="252" w:hRule="atLeast"/>
          <w:jc w:val="center"/>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14:paraId="7F66396F">
            <w:pPr>
              <w:keepNext w:val="0"/>
              <w:keepLines w:val="0"/>
              <w:widowControl/>
              <w:suppressLineNumbers w:val="0"/>
              <w:jc w:val="center"/>
              <w:textAlignment w:val="center"/>
              <w:rPr>
                <w:rFonts w:hint="default" w:ascii="Times New Roman" w:hAnsi="Times New Roman" w:eastAsia="等线" w:cs="Times New Roman"/>
                <w:color w:val="auto"/>
                <w:kern w:val="2"/>
                <w:sz w:val="21"/>
                <w:szCs w:val="21"/>
                <w:highlight w:val="none"/>
                <w:lang w:val="en-US" w:eastAsia="zh-CN" w:bidi="ar-SA"/>
              </w:rPr>
            </w:pPr>
            <w:r>
              <w:rPr>
                <w:rFonts w:hint="default" w:ascii="Times New Roman" w:hAnsi="Times New Roman" w:eastAsia="等线" w:cs="Times New Roman"/>
                <w:i w:val="0"/>
                <w:iCs w:val="0"/>
                <w:color w:val="auto"/>
                <w:kern w:val="0"/>
                <w:sz w:val="21"/>
                <w:szCs w:val="21"/>
                <w:highlight w:val="none"/>
                <w:u w:val="none"/>
                <w:lang w:val="en-US" w:eastAsia="zh-CN" w:bidi="ar"/>
              </w:rPr>
              <w:t>58</w:t>
            </w:r>
          </w:p>
        </w:tc>
        <w:tc>
          <w:tcPr>
            <w:tcW w:w="61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5CE7D2C">
            <w:pPr>
              <w:rPr>
                <w:rFonts w:hint="default"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食堂油烟新风管出风口，保持干净无积尘</w:t>
            </w:r>
          </w:p>
        </w:tc>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14:paraId="7FF989EE">
            <w:pPr>
              <w:jc w:val="center"/>
              <w:rPr>
                <w:rFonts w:hint="default"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1</w:t>
            </w:r>
          </w:p>
        </w:tc>
        <w:tc>
          <w:tcPr>
            <w:tcW w:w="587" w:type="dxa"/>
            <w:tcBorders>
              <w:top w:val="single" w:color="auto" w:sz="4" w:space="0"/>
              <w:left w:val="single" w:color="auto" w:sz="4" w:space="0"/>
              <w:bottom w:val="single" w:color="auto" w:sz="4" w:space="0"/>
              <w:right w:val="single" w:color="auto" w:sz="4" w:space="0"/>
            </w:tcBorders>
            <w:vAlign w:val="center"/>
          </w:tcPr>
          <w:p w14:paraId="157ECCB2">
            <w:pPr>
              <w:rPr>
                <w:rFonts w:hint="eastAsia"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　</w:t>
            </w:r>
          </w:p>
        </w:tc>
        <w:tc>
          <w:tcPr>
            <w:tcW w:w="2098" w:type="dxa"/>
            <w:tcBorders>
              <w:top w:val="single" w:color="auto" w:sz="4" w:space="0"/>
              <w:left w:val="single" w:color="auto" w:sz="4" w:space="0"/>
              <w:bottom w:val="single" w:color="auto" w:sz="4" w:space="0"/>
              <w:right w:val="single" w:color="auto" w:sz="4" w:space="0"/>
            </w:tcBorders>
            <w:vAlign w:val="center"/>
          </w:tcPr>
          <w:p w14:paraId="4B18A09C">
            <w:pPr>
              <w:rPr>
                <w:rFonts w:hint="eastAsia" w:ascii="Times New Roman" w:hAnsi="Times New Roman" w:eastAsia="宋体" w:cs="Times New Roman"/>
                <w:color w:val="auto"/>
                <w:sz w:val="18"/>
                <w:szCs w:val="18"/>
                <w:highlight w:val="none"/>
              </w:rPr>
            </w:pPr>
          </w:p>
        </w:tc>
      </w:tr>
      <w:tr w14:paraId="5E6C8185">
        <w:tblPrEx>
          <w:tblCellMar>
            <w:top w:w="0" w:type="dxa"/>
            <w:left w:w="108" w:type="dxa"/>
            <w:bottom w:w="0" w:type="dxa"/>
            <w:right w:w="108" w:type="dxa"/>
          </w:tblCellMar>
        </w:tblPrEx>
        <w:trPr>
          <w:trHeight w:val="279" w:hRule="atLeast"/>
          <w:jc w:val="center"/>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14:paraId="61D136FB">
            <w:pPr>
              <w:keepNext w:val="0"/>
              <w:keepLines w:val="0"/>
              <w:widowControl/>
              <w:suppressLineNumbers w:val="0"/>
              <w:jc w:val="center"/>
              <w:textAlignment w:val="center"/>
              <w:rPr>
                <w:rFonts w:hint="default" w:ascii="Times New Roman" w:hAnsi="Times New Roman" w:eastAsia="等线" w:cs="Times New Roman"/>
                <w:color w:val="auto"/>
                <w:kern w:val="2"/>
                <w:sz w:val="21"/>
                <w:szCs w:val="21"/>
                <w:highlight w:val="none"/>
                <w:lang w:val="en-US" w:eastAsia="zh-CN" w:bidi="ar-SA"/>
              </w:rPr>
            </w:pPr>
            <w:r>
              <w:rPr>
                <w:rFonts w:hint="eastAsia" w:ascii="Times New Roman" w:hAnsi="Times New Roman" w:eastAsia="等线" w:cs="Times New Roman"/>
                <w:color w:val="auto"/>
                <w:kern w:val="2"/>
                <w:sz w:val="21"/>
                <w:szCs w:val="21"/>
                <w:highlight w:val="none"/>
                <w:lang w:val="en-US" w:eastAsia="zh-CN" w:bidi="ar-SA"/>
              </w:rPr>
              <w:t>59</w:t>
            </w:r>
          </w:p>
        </w:tc>
        <w:tc>
          <w:tcPr>
            <w:tcW w:w="61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B081227">
            <w:pPr>
              <w:rPr>
                <w:rFonts w:hint="default" w:ascii="宋体" w:hAnsi="宋体" w:eastAsia="宋体" w:cs="宋体"/>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rPr>
              <w:t>厨房灶台的溶液箱在电灶工作时保持运行状态，及时添加火碱</w:t>
            </w:r>
          </w:p>
        </w:tc>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14:paraId="01C15171">
            <w:pPr>
              <w:jc w:val="center"/>
              <w:rPr>
                <w:rFonts w:hint="default"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1</w:t>
            </w:r>
          </w:p>
        </w:tc>
        <w:tc>
          <w:tcPr>
            <w:tcW w:w="587" w:type="dxa"/>
            <w:tcBorders>
              <w:top w:val="single" w:color="auto" w:sz="4" w:space="0"/>
              <w:left w:val="single" w:color="auto" w:sz="4" w:space="0"/>
              <w:bottom w:val="single" w:color="auto" w:sz="4" w:space="0"/>
              <w:right w:val="single" w:color="auto" w:sz="4" w:space="0"/>
            </w:tcBorders>
            <w:vAlign w:val="center"/>
          </w:tcPr>
          <w:p w14:paraId="1238CD77">
            <w:pPr>
              <w:rPr>
                <w:rFonts w:hint="eastAsia" w:ascii="Times New Roman" w:hAnsi="Times New Roman" w:eastAsia="宋体" w:cs="Times New Roman"/>
                <w:color w:val="auto"/>
                <w:sz w:val="18"/>
                <w:szCs w:val="18"/>
                <w:highlight w:val="none"/>
              </w:rPr>
            </w:pPr>
          </w:p>
        </w:tc>
        <w:tc>
          <w:tcPr>
            <w:tcW w:w="2098" w:type="dxa"/>
            <w:tcBorders>
              <w:top w:val="single" w:color="auto" w:sz="4" w:space="0"/>
              <w:left w:val="single" w:color="auto" w:sz="4" w:space="0"/>
              <w:bottom w:val="single" w:color="auto" w:sz="4" w:space="0"/>
              <w:right w:val="single" w:color="auto" w:sz="4" w:space="0"/>
            </w:tcBorders>
            <w:vAlign w:val="center"/>
          </w:tcPr>
          <w:p w14:paraId="4A5723E9">
            <w:pPr>
              <w:rPr>
                <w:rFonts w:hint="eastAsia" w:ascii="Times New Roman" w:hAnsi="Times New Roman" w:eastAsia="宋体" w:cs="Times New Roman"/>
                <w:color w:val="auto"/>
                <w:sz w:val="18"/>
                <w:szCs w:val="18"/>
                <w:highlight w:val="none"/>
              </w:rPr>
            </w:pPr>
          </w:p>
        </w:tc>
      </w:tr>
      <w:tr w14:paraId="630FB8D8">
        <w:tblPrEx>
          <w:tblCellMar>
            <w:top w:w="0" w:type="dxa"/>
            <w:left w:w="108" w:type="dxa"/>
            <w:bottom w:w="0" w:type="dxa"/>
            <w:right w:w="108" w:type="dxa"/>
          </w:tblCellMar>
        </w:tblPrEx>
        <w:trPr>
          <w:trHeight w:val="279" w:hRule="atLeast"/>
          <w:jc w:val="center"/>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14:paraId="2624BB04">
            <w:pPr>
              <w:keepNext w:val="0"/>
              <w:keepLines w:val="0"/>
              <w:widowControl/>
              <w:suppressLineNumbers w:val="0"/>
              <w:jc w:val="center"/>
              <w:textAlignment w:val="center"/>
              <w:rPr>
                <w:rFonts w:hint="default" w:ascii="Times New Roman" w:hAnsi="Times New Roman" w:eastAsia="等线" w:cs="Times New Roman"/>
                <w:color w:val="auto"/>
                <w:kern w:val="2"/>
                <w:sz w:val="21"/>
                <w:szCs w:val="21"/>
                <w:highlight w:val="none"/>
                <w:lang w:val="en-US" w:eastAsia="zh-CN" w:bidi="ar-SA"/>
              </w:rPr>
            </w:pPr>
            <w:r>
              <w:rPr>
                <w:rFonts w:hint="eastAsia" w:ascii="Times New Roman" w:hAnsi="Times New Roman" w:eastAsia="等线" w:cs="Times New Roman"/>
                <w:color w:val="auto"/>
                <w:kern w:val="2"/>
                <w:sz w:val="21"/>
                <w:szCs w:val="21"/>
                <w:highlight w:val="none"/>
                <w:lang w:val="en-US" w:eastAsia="zh-CN" w:bidi="ar-SA"/>
              </w:rPr>
              <w:t>60</w:t>
            </w:r>
          </w:p>
        </w:tc>
        <w:tc>
          <w:tcPr>
            <w:tcW w:w="61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80B3639">
            <w:pPr>
              <w:rPr>
                <w:rFonts w:hint="default" w:ascii="宋体" w:hAnsi="宋体" w:eastAsia="宋体" w:cs="宋体"/>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rPr>
              <w:t>食堂油烟管道（烟罩外观、隔油网罩）每周清理至少1次</w:t>
            </w:r>
          </w:p>
        </w:tc>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14:paraId="0831913D">
            <w:pPr>
              <w:jc w:val="center"/>
              <w:rPr>
                <w:rFonts w:hint="default"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2</w:t>
            </w:r>
          </w:p>
        </w:tc>
        <w:tc>
          <w:tcPr>
            <w:tcW w:w="587" w:type="dxa"/>
            <w:tcBorders>
              <w:top w:val="single" w:color="auto" w:sz="4" w:space="0"/>
              <w:left w:val="single" w:color="auto" w:sz="4" w:space="0"/>
              <w:bottom w:val="single" w:color="auto" w:sz="4" w:space="0"/>
              <w:right w:val="single" w:color="auto" w:sz="4" w:space="0"/>
            </w:tcBorders>
            <w:vAlign w:val="center"/>
          </w:tcPr>
          <w:p w14:paraId="1C44BE47">
            <w:pPr>
              <w:rPr>
                <w:rFonts w:hint="eastAsia" w:ascii="Times New Roman" w:hAnsi="Times New Roman" w:eastAsia="宋体" w:cs="Times New Roman"/>
                <w:color w:val="auto"/>
                <w:sz w:val="18"/>
                <w:szCs w:val="18"/>
                <w:highlight w:val="none"/>
              </w:rPr>
            </w:pPr>
          </w:p>
        </w:tc>
        <w:tc>
          <w:tcPr>
            <w:tcW w:w="2098" w:type="dxa"/>
            <w:tcBorders>
              <w:top w:val="single" w:color="auto" w:sz="4" w:space="0"/>
              <w:left w:val="single" w:color="auto" w:sz="4" w:space="0"/>
              <w:bottom w:val="single" w:color="auto" w:sz="4" w:space="0"/>
              <w:right w:val="single" w:color="auto" w:sz="4" w:space="0"/>
            </w:tcBorders>
            <w:vAlign w:val="center"/>
          </w:tcPr>
          <w:p w14:paraId="63E7472B">
            <w:pPr>
              <w:rPr>
                <w:rFonts w:hint="eastAsia" w:ascii="Times New Roman" w:hAnsi="Times New Roman" w:eastAsia="宋体" w:cs="Times New Roman"/>
                <w:color w:val="auto"/>
                <w:sz w:val="18"/>
                <w:szCs w:val="18"/>
                <w:highlight w:val="none"/>
              </w:rPr>
            </w:pPr>
          </w:p>
        </w:tc>
      </w:tr>
      <w:tr w14:paraId="4A30198A">
        <w:tblPrEx>
          <w:tblCellMar>
            <w:top w:w="0" w:type="dxa"/>
            <w:left w:w="108" w:type="dxa"/>
            <w:bottom w:w="0" w:type="dxa"/>
            <w:right w:w="108" w:type="dxa"/>
          </w:tblCellMar>
        </w:tblPrEx>
        <w:trPr>
          <w:trHeight w:val="279" w:hRule="atLeast"/>
          <w:jc w:val="center"/>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14:paraId="04206458">
            <w:pPr>
              <w:keepNext w:val="0"/>
              <w:keepLines w:val="0"/>
              <w:widowControl/>
              <w:suppressLineNumbers w:val="0"/>
              <w:jc w:val="center"/>
              <w:textAlignment w:val="center"/>
              <w:rPr>
                <w:rFonts w:hint="default" w:ascii="Times New Roman" w:hAnsi="Times New Roman" w:eastAsia="等线" w:cs="Times New Roman"/>
                <w:color w:val="auto"/>
                <w:kern w:val="2"/>
                <w:sz w:val="21"/>
                <w:szCs w:val="21"/>
                <w:highlight w:val="none"/>
                <w:lang w:val="en-US" w:eastAsia="zh-CN" w:bidi="ar-SA"/>
              </w:rPr>
            </w:pPr>
            <w:r>
              <w:rPr>
                <w:rFonts w:hint="eastAsia" w:ascii="Times New Roman" w:hAnsi="Times New Roman" w:eastAsia="等线" w:cs="Times New Roman"/>
                <w:color w:val="auto"/>
                <w:kern w:val="2"/>
                <w:sz w:val="21"/>
                <w:szCs w:val="21"/>
                <w:highlight w:val="none"/>
                <w:lang w:val="en-US" w:eastAsia="zh-CN" w:bidi="ar-SA"/>
              </w:rPr>
              <w:t>61</w:t>
            </w:r>
          </w:p>
        </w:tc>
        <w:tc>
          <w:tcPr>
            <w:tcW w:w="61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7CCF9B4">
            <w:pPr>
              <w:rPr>
                <w:rFonts w:hint="default" w:ascii="宋体" w:hAnsi="宋体" w:eastAsia="宋体" w:cs="宋体"/>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rPr>
              <w:t>餐桌摆放整齐，桌面无残渍；地面、墙面无污渍，每周至少一次全面清洁</w:t>
            </w:r>
          </w:p>
        </w:tc>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14:paraId="4C4EDD69">
            <w:pPr>
              <w:jc w:val="center"/>
              <w:rPr>
                <w:rFonts w:hint="default"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lang w:val="en-US" w:eastAsia="zh-CN"/>
              </w:rPr>
              <w:t>1</w:t>
            </w:r>
          </w:p>
        </w:tc>
        <w:tc>
          <w:tcPr>
            <w:tcW w:w="587" w:type="dxa"/>
            <w:tcBorders>
              <w:top w:val="single" w:color="auto" w:sz="4" w:space="0"/>
              <w:left w:val="single" w:color="auto" w:sz="4" w:space="0"/>
              <w:bottom w:val="single" w:color="auto" w:sz="4" w:space="0"/>
              <w:right w:val="single" w:color="auto" w:sz="4" w:space="0"/>
            </w:tcBorders>
            <w:vAlign w:val="center"/>
          </w:tcPr>
          <w:p w14:paraId="03BF9A89">
            <w:pPr>
              <w:rPr>
                <w:rFonts w:hint="eastAsia" w:ascii="Times New Roman" w:hAnsi="Times New Roman" w:eastAsia="宋体" w:cs="Times New Roman"/>
                <w:color w:val="auto"/>
                <w:sz w:val="18"/>
                <w:szCs w:val="18"/>
                <w:highlight w:val="none"/>
              </w:rPr>
            </w:pPr>
          </w:p>
        </w:tc>
        <w:tc>
          <w:tcPr>
            <w:tcW w:w="2098" w:type="dxa"/>
            <w:tcBorders>
              <w:top w:val="single" w:color="auto" w:sz="4" w:space="0"/>
              <w:left w:val="single" w:color="auto" w:sz="4" w:space="0"/>
              <w:bottom w:val="single" w:color="auto" w:sz="4" w:space="0"/>
              <w:right w:val="single" w:color="auto" w:sz="4" w:space="0"/>
            </w:tcBorders>
            <w:vAlign w:val="center"/>
          </w:tcPr>
          <w:p w14:paraId="3024E13C">
            <w:pPr>
              <w:rPr>
                <w:rFonts w:hint="eastAsia" w:ascii="Times New Roman" w:hAnsi="Times New Roman" w:eastAsia="宋体" w:cs="Times New Roman"/>
                <w:color w:val="auto"/>
                <w:sz w:val="18"/>
                <w:szCs w:val="18"/>
                <w:highlight w:val="none"/>
              </w:rPr>
            </w:pPr>
          </w:p>
        </w:tc>
      </w:tr>
      <w:tr w14:paraId="4F995D80">
        <w:tblPrEx>
          <w:tblCellMar>
            <w:top w:w="0" w:type="dxa"/>
            <w:left w:w="108" w:type="dxa"/>
            <w:bottom w:w="0" w:type="dxa"/>
            <w:right w:w="108" w:type="dxa"/>
          </w:tblCellMar>
        </w:tblPrEx>
        <w:trPr>
          <w:trHeight w:val="279" w:hRule="atLeast"/>
          <w:jc w:val="center"/>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14:paraId="56C18192">
            <w:pPr>
              <w:keepNext w:val="0"/>
              <w:keepLines w:val="0"/>
              <w:widowControl/>
              <w:suppressLineNumbers w:val="0"/>
              <w:jc w:val="center"/>
              <w:textAlignment w:val="center"/>
              <w:rPr>
                <w:rFonts w:hint="default" w:ascii="Times New Roman" w:hAnsi="Times New Roman" w:eastAsia="等线" w:cs="Times New Roman"/>
                <w:color w:val="auto"/>
                <w:kern w:val="2"/>
                <w:sz w:val="21"/>
                <w:szCs w:val="21"/>
                <w:highlight w:val="none"/>
                <w:lang w:val="en-US" w:eastAsia="zh-CN" w:bidi="ar-SA"/>
              </w:rPr>
            </w:pPr>
            <w:r>
              <w:rPr>
                <w:rFonts w:hint="eastAsia" w:ascii="Times New Roman" w:hAnsi="Times New Roman" w:eastAsia="等线" w:cs="Times New Roman"/>
                <w:color w:val="auto"/>
                <w:kern w:val="2"/>
                <w:sz w:val="21"/>
                <w:szCs w:val="21"/>
                <w:highlight w:val="none"/>
                <w:lang w:val="en-US" w:eastAsia="zh-CN" w:bidi="ar-SA"/>
              </w:rPr>
              <w:t>62</w:t>
            </w:r>
          </w:p>
        </w:tc>
        <w:tc>
          <w:tcPr>
            <w:tcW w:w="61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2F2D2EE">
            <w:pPr>
              <w:rPr>
                <w:rFonts w:hint="default" w:ascii="宋体" w:hAnsi="宋体" w:eastAsia="宋体" w:cs="宋体"/>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rPr>
              <w:t>餐具回收区域卫生干净卫生、</w:t>
            </w:r>
            <w:r>
              <w:rPr>
                <w:rFonts w:hint="eastAsia" w:ascii="Times New Roman" w:hAnsi="Times New Roman" w:eastAsia="宋体" w:cs="Times New Roman"/>
                <w:color w:val="auto"/>
                <w:sz w:val="18"/>
                <w:szCs w:val="18"/>
                <w:highlight w:val="none"/>
                <w:lang w:val="en-US" w:eastAsia="zh-CN"/>
              </w:rPr>
              <w:t>每餐</w:t>
            </w:r>
            <w:r>
              <w:rPr>
                <w:rFonts w:hint="eastAsia" w:ascii="Times New Roman" w:hAnsi="Times New Roman" w:eastAsia="宋体" w:cs="Times New Roman"/>
                <w:color w:val="auto"/>
                <w:sz w:val="18"/>
                <w:szCs w:val="18"/>
                <w:highlight w:val="none"/>
              </w:rPr>
              <w:t>回收及时</w:t>
            </w:r>
          </w:p>
        </w:tc>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14:paraId="752F6D9A">
            <w:pPr>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lang w:val="en-US" w:eastAsia="zh-CN"/>
              </w:rPr>
              <w:t>1</w:t>
            </w:r>
          </w:p>
        </w:tc>
        <w:tc>
          <w:tcPr>
            <w:tcW w:w="587" w:type="dxa"/>
            <w:tcBorders>
              <w:top w:val="single" w:color="auto" w:sz="4" w:space="0"/>
              <w:left w:val="single" w:color="auto" w:sz="4" w:space="0"/>
              <w:bottom w:val="single" w:color="auto" w:sz="4" w:space="0"/>
              <w:right w:val="single" w:color="auto" w:sz="4" w:space="0"/>
            </w:tcBorders>
            <w:vAlign w:val="center"/>
          </w:tcPr>
          <w:p w14:paraId="3C5260ED">
            <w:pPr>
              <w:rPr>
                <w:rFonts w:hint="eastAsia" w:ascii="Times New Roman" w:hAnsi="Times New Roman" w:eastAsia="宋体" w:cs="Times New Roman"/>
                <w:color w:val="auto"/>
                <w:sz w:val="18"/>
                <w:szCs w:val="18"/>
                <w:highlight w:val="none"/>
              </w:rPr>
            </w:pPr>
          </w:p>
        </w:tc>
        <w:tc>
          <w:tcPr>
            <w:tcW w:w="2098" w:type="dxa"/>
            <w:tcBorders>
              <w:top w:val="single" w:color="auto" w:sz="4" w:space="0"/>
              <w:left w:val="single" w:color="auto" w:sz="4" w:space="0"/>
              <w:bottom w:val="single" w:color="auto" w:sz="4" w:space="0"/>
              <w:right w:val="single" w:color="auto" w:sz="4" w:space="0"/>
            </w:tcBorders>
            <w:vAlign w:val="center"/>
          </w:tcPr>
          <w:p w14:paraId="5120820C">
            <w:pPr>
              <w:rPr>
                <w:rFonts w:hint="eastAsia" w:ascii="Times New Roman" w:hAnsi="Times New Roman" w:eastAsia="宋体" w:cs="Times New Roman"/>
                <w:color w:val="auto"/>
                <w:sz w:val="18"/>
                <w:szCs w:val="18"/>
                <w:highlight w:val="none"/>
              </w:rPr>
            </w:pPr>
          </w:p>
        </w:tc>
      </w:tr>
      <w:tr w14:paraId="0B4AE47E">
        <w:tblPrEx>
          <w:tblCellMar>
            <w:top w:w="0" w:type="dxa"/>
            <w:left w:w="108" w:type="dxa"/>
            <w:bottom w:w="0" w:type="dxa"/>
            <w:right w:w="108" w:type="dxa"/>
          </w:tblCellMar>
        </w:tblPrEx>
        <w:trPr>
          <w:trHeight w:val="279" w:hRule="atLeast"/>
          <w:jc w:val="center"/>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14:paraId="0CBCF5B9">
            <w:pPr>
              <w:keepNext w:val="0"/>
              <w:keepLines w:val="0"/>
              <w:widowControl/>
              <w:suppressLineNumbers w:val="0"/>
              <w:jc w:val="center"/>
              <w:textAlignment w:val="center"/>
              <w:rPr>
                <w:rFonts w:hint="default" w:ascii="Times New Roman" w:hAnsi="Times New Roman" w:eastAsia="等线" w:cs="Times New Roman"/>
                <w:color w:val="auto"/>
                <w:kern w:val="2"/>
                <w:sz w:val="21"/>
                <w:szCs w:val="21"/>
                <w:highlight w:val="none"/>
                <w:lang w:val="en-US" w:eastAsia="zh-CN" w:bidi="ar-SA"/>
              </w:rPr>
            </w:pPr>
            <w:r>
              <w:rPr>
                <w:rFonts w:hint="eastAsia" w:ascii="Times New Roman" w:hAnsi="Times New Roman" w:eastAsia="等线" w:cs="Times New Roman"/>
                <w:color w:val="auto"/>
                <w:kern w:val="2"/>
                <w:sz w:val="21"/>
                <w:szCs w:val="21"/>
                <w:highlight w:val="none"/>
                <w:lang w:val="en-US" w:eastAsia="zh-CN" w:bidi="ar-SA"/>
              </w:rPr>
              <w:t>63</w:t>
            </w:r>
          </w:p>
        </w:tc>
        <w:tc>
          <w:tcPr>
            <w:tcW w:w="61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E49C0FF">
            <w:pPr>
              <w:rPr>
                <w:rFonts w:hint="default" w:ascii="宋体" w:hAnsi="宋体" w:eastAsia="宋体" w:cs="宋体"/>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rPr>
              <w:t>食堂厨余、垃圾按规定每餐及时处置，不滞留食堂</w:t>
            </w:r>
          </w:p>
        </w:tc>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14:paraId="1D554342">
            <w:pPr>
              <w:jc w:val="center"/>
              <w:rPr>
                <w:rFonts w:hint="default"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1</w:t>
            </w:r>
          </w:p>
        </w:tc>
        <w:tc>
          <w:tcPr>
            <w:tcW w:w="587" w:type="dxa"/>
            <w:tcBorders>
              <w:top w:val="single" w:color="auto" w:sz="4" w:space="0"/>
              <w:left w:val="single" w:color="auto" w:sz="4" w:space="0"/>
              <w:bottom w:val="single" w:color="auto" w:sz="4" w:space="0"/>
              <w:right w:val="single" w:color="auto" w:sz="4" w:space="0"/>
            </w:tcBorders>
            <w:vAlign w:val="center"/>
          </w:tcPr>
          <w:p w14:paraId="4EF3A10E">
            <w:pPr>
              <w:rPr>
                <w:rFonts w:hint="eastAsia" w:ascii="Times New Roman" w:hAnsi="Times New Roman" w:eastAsia="宋体" w:cs="Times New Roman"/>
                <w:color w:val="auto"/>
                <w:sz w:val="18"/>
                <w:szCs w:val="18"/>
                <w:highlight w:val="none"/>
              </w:rPr>
            </w:pPr>
          </w:p>
        </w:tc>
        <w:tc>
          <w:tcPr>
            <w:tcW w:w="2098" w:type="dxa"/>
            <w:tcBorders>
              <w:top w:val="single" w:color="auto" w:sz="4" w:space="0"/>
              <w:left w:val="single" w:color="auto" w:sz="4" w:space="0"/>
              <w:bottom w:val="single" w:color="auto" w:sz="4" w:space="0"/>
              <w:right w:val="single" w:color="auto" w:sz="4" w:space="0"/>
            </w:tcBorders>
            <w:vAlign w:val="center"/>
          </w:tcPr>
          <w:p w14:paraId="76D92B44">
            <w:pPr>
              <w:rPr>
                <w:rFonts w:hint="eastAsia" w:ascii="Times New Roman" w:hAnsi="Times New Roman" w:eastAsia="宋体" w:cs="Times New Roman"/>
                <w:color w:val="auto"/>
                <w:sz w:val="18"/>
                <w:szCs w:val="18"/>
                <w:highlight w:val="none"/>
              </w:rPr>
            </w:pPr>
          </w:p>
        </w:tc>
      </w:tr>
      <w:tr w14:paraId="6B653523">
        <w:tblPrEx>
          <w:tblCellMar>
            <w:top w:w="0" w:type="dxa"/>
            <w:left w:w="108" w:type="dxa"/>
            <w:bottom w:w="0" w:type="dxa"/>
            <w:right w:w="108" w:type="dxa"/>
          </w:tblCellMar>
        </w:tblPrEx>
        <w:trPr>
          <w:trHeight w:val="279" w:hRule="atLeast"/>
          <w:jc w:val="center"/>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14:paraId="49CCCA04">
            <w:pPr>
              <w:keepNext w:val="0"/>
              <w:keepLines w:val="0"/>
              <w:widowControl/>
              <w:suppressLineNumbers w:val="0"/>
              <w:jc w:val="center"/>
              <w:textAlignment w:val="center"/>
              <w:rPr>
                <w:rFonts w:hint="default" w:ascii="Times New Roman" w:hAnsi="Times New Roman" w:eastAsia="等线" w:cs="Times New Roman"/>
                <w:color w:val="auto"/>
                <w:kern w:val="2"/>
                <w:sz w:val="21"/>
                <w:szCs w:val="21"/>
                <w:highlight w:val="none"/>
                <w:lang w:val="en-US" w:eastAsia="zh-CN" w:bidi="ar-SA"/>
              </w:rPr>
            </w:pPr>
            <w:r>
              <w:rPr>
                <w:rFonts w:hint="eastAsia" w:ascii="Times New Roman" w:hAnsi="Times New Roman" w:eastAsia="等线" w:cs="Times New Roman"/>
                <w:color w:val="auto"/>
                <w:kern w:val="2"/>
                <w:sz w:val="21"/>
                <w:szCs w:val="21"/>
                <w:highlight w:val="none"/>
                <w:lang w:val="en-US" w:eastAsia="zh-CN" w:bidi="ar-SA"/>
              </w:rPr>
              <w:t>64</w:t>
            </w:r>
          </w:p>
        </w:tc>
        <w:tc>
          <w:tcPr>
            <w:tcW w:w="61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44486CF">
            <w:pPr>
              <w:rPr>
                <w:rFonts w:hint="default" w:ascii="宋体" w:hAnsi="宋体" w:eastAsia="宋体" w:cs="宋体"/>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rPr>
              <w:t>工作抹布按规定分类放置于指定位置，抹布干净卫生</w:t>
            </w:r>
          </w:p>
        </w:tc>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14:paraId="7A7B7A9A">
            <w:pPr>
              <w:jc w:val="center"/>
              <w:rPr>
                <w:rFonts w:hint="default"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lang w:val="en-US" w:eastAsia="zh-CN"/>
              </w:rPr>
              <w:t>1</w:t>
            </w:r>
          </w:p>
        </w:tc>
        <w:tc>
          <w:tcPr>
            <w:tcW w:w="587" w:type="dxa"/>
            <w:tcBorders>
              <w:top w:val="single" w:color="auto" w:sz="4" w:space="0"/>
              <w:left w:val="single" w:color="auto" w:sz="4" w:space="0"/>
              <w:bottom w:val="single" w:color="auto" w:sz="4" w:space="0"/>
              <w:right w:val="single" w:color="auto" w:sz="4" w:space="0"/>
            </w:tcBorders>
            <w:vAlign w:val="center"/>
          </w:tcPr>
          <w:p w14:paraId="121DCCC7">
            <w:pPr>
              <w:rPr>
                <w:rFonts w:hint="eastAsia" w:ascii="Times New Roman" w:hAnsi="Times New Roman" w:eastAsia="宋体" w:cs="Times New Roman"/>
                <w:color w:val="auto"/>
                <w:sz w:val="18"/>
                <w:szCs w:val="18"/>
                <w:highlight w:val="none"/>
              </w:rPr>
            </w:pPr>
          </w:p>
        </w:tc>
        <w:tc>
          <w:tcPr>
            <w:tcW w:w="2098" w:type="dxa"/>
            <w:tcBorders>
              <w:top w:val="single" w:color="auto" w:sz="4" w:space="0"/>
              <w:left w:val="single" w:color="auto" w:sz="4" w:space="0"/>
              <w:bottom w:val="single" w:color="auto" w:sz="4" w:space="0"/>
              <w:right w:val="single" w:color="auto" w:sz="4" w:space="0"/>
            </w:tcBorders>
            <w:vAlign w:val="center"/>
          </w:tcPr>
          <w:p w14:paraId="6070BBCE">
            <w:pPr>
              <w:rPr>
                <w:rFonts w:hint="eastAsia" w:ascii="Times New Roman" w:hAnsi="Times New Roman" w:eastAsia="宋体" w:cs="Times New Roman"/>
                <w:color w:val="auto"/>
                <w:sz w:val="18"/>
                <w:szCs w:val="18"/>
                <w:highlight w:val="none"/>
              </w:rPr>
            </w:pPr>
          </w:p>
        </w:tc>
      </w:tr>
      <w:tr w14:paraId="5DF4A5EA">
        <w:tblPrEx>
          <w:tblCellMar>
            <w:top w:w="0" w:type="dxa"/>
            <w:left w:w="108" w:type="dxa"/>
            <w:bottom w:w="0" w:type="dxa"/>
            <w:right w:w="108" w:type="dxa"/>
          </w:tblCellMar>
        </w:tblPrEx>
        <w:trPr>
          <w:trHeight w:val="279" w:hRule="atLeast"/>
          <w:jc w:val="center"/>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14:paraId="4D0D7CED">
            <w:pPr>
              <w:keepNext w:val="0"/>
              <w:keepLines w:val="0"/>
              <w:widowControl/>
              <w:suppressLineNumbers w:val="0"/>
              <w:jc w:val="center"/>
              <w:textAlignment w:val="center"/>
              <w:rPr>
                <w:rFonts w:hint="default" w:ascii="Times New Roman" w:hAnsi="Times New Roman" w:eastAsia="等线" w:cs="Times New Roman"/>
                <w:color w:val="auto"/>
                <w:kern w:val="2"/>
                <w:sz w:val="21"/>
                <w:szCs w:val="21"/>
                <w:highlight w:val="none"/>
                <w:lang w:val="en-US" w:eastAsia="zh-CN" w:bidi="ar-SA"/>
              </w:rPr>
            </w:pPr>
            <w:r>
              <w:rPr>
                <w:rFonts w:hint="eastAsia" w:ascii="Times New Roman" w:hAnsi="Times New Roman" w:eastAsia="等线" w:cs="Times New Roman"/>
                <w:color w:val="auto"/>
                <w:kern w:val="2"/>
                <w:sz w:val="21"/>
                <w:szCs w:val="21"/>
                <w:highlight w:val="none"/>
                <w:lang w:val="en-US" w:eastAsia="zh-CN" w:bidi="ar-SA"/>
              </w:rPr>
              <w:t>65</w:t>
            </w:r>
          </w:p>
        </w:tc>
        <w:tc>
          <w:tcPr>
            <w:tcW w:w="61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65B9CAE">
            <w:pPr>
              <w:rPr>
                <w:rFonts w:hint="default" w:ascii="宋体" w:hAnsi="宋体" w:eastAsia="宋体" w:cs="宋体"/>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rPr>
              <w:t>餐厅卫生整洁，</w:t>
            </w:r>
            <w:r>
              <w:rPr>
                <w:rFonts w:hint="eastAsia" w:ascii="Times New Roman" w:hAnsi="Times New Roman" w:eastAsia="宋体" w:cs="Times New Roman"/>
                <w:color w:val="auto"/>
                <w:sz w:val="18"/>
                <w:szCs w:val="18"/>
                <w:highlight w:val="none"/>
                <w:lang w:val="en-US" w:eastAsia="zh-CN"/>
              </w:rPr>
              <w:t>员工</w:t>
            </w:r>
            <w:r>
              <w:rPr>
                <w:rFonts w:hint="eastAsia" w:ascii="Times New Roman" w:hAnsi="Times New Roman" w:eastAsia="宋体" w:cs="Times New Roman"/>
                <w:color w:val="auto"/>
                <w:sz w:val="18"/>
                <w:szCs w:val="18"/>
                <w:highlight w:val="none"/>
              </w:rPr>
              <w:t>不在餐厅内抽烟（含洗手间、办公室）</w:t>
            </w:r>
          </w:p>
        </w:tc>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14:paraId="1CD49671">
            <w:pPr>
              <w:jc w:val="center"/>
              <w:rPr>
                <w:rFonts w:hint="default"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lang w:val="en-US" w:eastAsia="zh-CN"/>
              </w:rPr>
              <w:t>1</w:t>
            </w:r>
          </w:p>
        </w:tc>
        <w:tc>
          <w:tcPr>
            <w:tcW w:w="587" w:type="dxa"/>
            <w:tcBorders>
              <w:top w:val="single" w:color="auto" w:sz="4" w:space="0"/>
              <w:left w:val="single" w:color="auto" w:sz="4" w:space="0"/>
              <w:bottom w:val="single" w:color="auto" w:sz="4" w:space="0"/>
              <w:right w:val="single" w:color="auto" w:sz="4" w:space="0"/>
            </w:tcBorders>
            <w:vAlign w:val="center"/>
          </w:tcPr>
          <w:p w14:paraId="15C9CC70">
            <w:pPr>
              <w:rPr>
                <w:rFonts w:hint="eastAsia" w:ascii="Times New Roman" w:hAnsi="Times New Roman" w:eastAsia="宋体" w:cs="Times New Roman"/>
                <w:color w:val="auto"/>
                <w:sz w:val="18"/>
                <w:szCs w:val="18"/>
                <w:highlight w:val="none"/>
              </w:rPr>
            </w:pPr>
          </w:p>
        </w:tc>
        <w:tc>
          <w:tcPr>
            <w:tcW w:w="2098" w:type="dxa"/>
            <w:tcBorders>
              <w:top w:val="single" w:color="auto" w:sz="4" w:space="0"/>
              <w:left w:val="single" w:color="auto" w:sz="4" w:space="0"/>
              <w:bottom w:val="single" w:color="auto" w:sz="4" w:space="0"/>
              <w:right w:val="single" w:color="auto" w:sz="4" w:space="0"/>
            </w:tcBorders>
            <w:vAlign w:val="center"/>
          </w:tcPr>
          <w:p w14:paraId="7CA1AF52">
            <w:pPr>
              <w:rPr>
                <w:rFonts w:hint="eastAsia" w:ascii="Times New Roman" w:hAnsi="Times New Roman" w:eastAsia="宋体" w:cs="Times New Roman"/>
                <w:color w:val="auto"/>
                <w:sz w:val="18"/>
                <w:szCs w:val="18"/>
                <w:highlight w:val="none"/>
              </w:rPr>
            </w:pPr>
          </w:p>
        </w:tc>
      </w:tr>
      <w:tr w14:paraId="395531E9">
        <w:tblPrEx>
          <w:tblCellMar>
            <w:top w:w="0" w:type="dxa"/>
            <w:left w:w="108" w:type="dxa"/>
            <w:bottom w:w="0" w:type="dxa"/>
            <w:right w:w="108" w:type="dxa"/>
          </w:tblCellMar>
        </w:tblPrEx>
        <w:trPr>
          <w:trHeight w:val="279" w:hRule="atLeast"/>
          <w:jc w:val="center"/>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14:paraId="695BCAAC">
            <w:pPr>
              <w:keepNext w:val="0"/>
              <w:keepLines w:val="0"/>
              <w:widowControl/>
              <w:suppressLineNumbers w:val="0"/>
              <w:jc w:val="center"/>
              <w:textAlignment w:val="center"/>
              <w:rPr>
                <w:rFonts w:hint="default" w:ascii="Times New Roman" w:hAnsi="Times New Roman" w:eastAsia="等线" w:cs="Times New Roman"/>
                <w:color w:val="auto"/>
                <w:kern w:val="2"/>
                <w:sz w:val="21"/>
                <w:szCs w:val="21"/>
                <w:highlight w:val="none"/>
                <w:lang w:val="en-US" w:eastAsia="zh-CN" w:bidi="ar-SA"/>
              </w:rPr>
            </w:pPr>
            <w:r>
              <w:rPr>
                <w:rFonts w:hint="eastAsia" w:ascii="Times New Roman" w:hAnsi="Times New Roman" w:eastAsia="等线" w:cs="Times New Roman"/>
                <w:color w:val="auto"/>
                <w:kern w:val="2"/>
                <w:sz w:val="21"/>
                <w:szCs w:val="21"/>
                <w:highlight w:val="none"/>
                <w:lang w:val="en-US" w:eastAsia="zh-CN" w:bidi="ar-SA"/>
              </w:rPr>
              <w:t>66</w:t>
            </w:r>
          </w:p>
        </w:tc>
        <w:tc>
          <w:tcPr>
            <w:tcW w:w="61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418EAFF">
            <w:pPr>
              <w:rPr>
                <w:rFonts w:hint="default" w:ascii="宋体" w:hAnsi="宋体" w:eastAsia="宋体" w:cs="宋体"/>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rPr>
              <w:t>卫生间有专人负责清洗，垃圾及时清理，无异味、不堵塞</w:t>
            </w:r>
          </w:p>
        </w:tc>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14:paraId="5067D727">
            <w:pPr>
              <w:jc w:val="center"/>
              <w:rPr>
                <w:rFonts w:hint="default"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1</w:t>
            </w:r>
          </w:p>
        </w:tc>
        <w:tc>
          <w:tcPr>
            <w:tcW w:w="587" w:type="dxa"/>
            <w:tcBorders>
              <w:top w:val="single" w:color="auto" w:sz="4" w:space="0"/>
              <w:left w:val="single" w:color="auto" w:sz="4" w:space="0"/>
              <w:bottom w:val="single" w:color="auto" w:sz="4" w:space="0"/>
              <w:right w:val="single" w:color="auto" w:sz="4" w:space="0"/>
            </w:tcBorders>
            <w:vAlign w:val="center"/>
          </w:tcPr>
          <w:p w14:paraId="0B1AFE93">
            <w:pPr>
              <w:rPr>
                <w:rFonts w:hint="eastAsia" w:ascii="Times New Roman" w:hAnsi="Times New Roman" w:eastAsia="宋体" w:cs="Times New Roman"/>
                <w:color w:val="auto"/>
                <w:sz w:val="18"/>
                <w:szCs w:val="18"/>
                <w:highlight w:val="none"/>
              </w:rPr>
            </w:pPr>
          </w:p>
        </w:tc>
        <w:tc>
          <w:tcPr>
            <w:tcW w:w="2098" w:type="dxa"/>
            <w:tcBorders>
              <w:top w:val="single" w:color="auto" w:sz="4" w:space="0"/>
              <w:left w:val="single" w:color="auto" w:sz="4" w:space="0"/>
              <w:bottom w:val="single" w:color="auto" w:sz="4" w:space="0"/>
              <w:right w:val="single" w:color="auto" w:sz="4" w:space="0"/>
            </w:tcBorders>
            <w:vAlign w:val="center"/>
          </w:tcPr>
          <w:p w14:paraId="68948BAE">
            <w:pPr>
              <w:rPr>
                <w:rFonts w:hint="eastAsia" w:ascii="Times New Roman" w:hAnsi="Times New Roman" w:eastAsia="宋体" w:cs="Times New Roman"/>
                <w:color w:val="auto"/>
                <w:sz w:val="18"/>
                <w:szCs w:val="18"/>
                <w:highlight w:val="none"/>
              </w:rPr>
            </w:pPr>
          </w:p>
        </w:tc>
      </w:tr>
      <w:tr w14:paraId="412088B4">
        <w:tblPrEx>
          <w:tblCellMar>
            <w:top w:w="0" w:type="dxa"/>
            <w:left w:w="108" w:type="dxa"/>
            <w:bottom w:w="0" w:type="dxa"/>
            <w:right w:w="108" w:type="dxa"/>
          </w:tblCellMar>
        </w:tblPrEx>
        <w:trPr>
          <w:trHeight w:val="351" w:hRule="atLeast"/>
          <w:jc w:val="center"/>
        </w:trPr>
        <w:tc>
          <w:tcPr>
            <w:tcW w:w="6636" w:type="dxa"/>
            <w:gridSpan w:val="3"/>
            <w:tcBorders>
              <w:top w:val="single" w:color="auto" w:sz="4" w:space="0"/>
              <w:left w:val="single" w:color="auto" w:sz="4" w:space="0"/>
              <w:bottom w:val="single" w:color="auto" w:sz="4" w:space="0"/>
              <w:right w:val="single" w:color="auto" w:sz="4" w:space="0"/>
            </w:tcBorders>
            <w:vAlign w:val="center"/>
          </w:tcPr>
          <w:p w14:paraId="3BB1E9F4">
            <w:pPr>
              <w:spacing w:line="30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得分合计（100分）</w:t>
            </w:r>
          </w:p>
        </w:tc>
        <w:tc>
          <w:tcPr>
            <w:tcW w:w="1200" w:type="dxa"/>
            <w:gridSpan w:val="2"/>
            <w:tcBorders>
              <w:top w:val="nil"/>
              <w:left w:val="nil"/>
              <w:bottom w:val="single" w:color="auto" w:sz="4" w:space="0"/>
              <w:right w:val="single" w:color="auto" w:sz="4" w:space="0"/>
            </w:tcBorders>
            <w:vAlign w:val="center"/>
          </w:tcPr>
          <w:p w14:paraId="18B2C2FC">
            <w:pPr>
              <w:spacing w:line="30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c>
          <w:tcPr>
            <w:tcW w:w="2098" w:type="dxa"/>
            <w:tcBorders>
              <w:top w:val="nil"/>
              <w:left w:val="nil"/>
              <w:bottom w:val="single" w:color="auto" w:sz="4" w:space="0"/>
              <w:right w:val="single" w:color="auto" w:sz="4" w:space="0"/>
            </w:tcBorders>
            <w:vAlign w:val="center"/>
          </w:tcPr>
          <w:p w14:paraId="5C1C2056">
            <w:pPr>
              <w:spacing w:line="30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w:t>
            </w:r>
          </w:p>
        </w:tc>
      </w:tr>
      <w:tr w14:paraId="42CB645A">
        <w:tblPrEx>
          <w:tblCellMar>
            <w:top w:w="0" w:type="dxa"/>
            <w:left w:w="108" w:type="dxa"/>
            <w:bottom w:w="0" w:type="dxa"/>
            <w:right w:w="108" w:type="dxa"/>
          </w:tblCellMar>
        </w:tblPrEx>
        <w:trPr>
          <w:trHeight w:val="90" w:hRule="atLeast"/>
          <w:jc w:val="center"/>
        </w:trPr>
        <w:tc>
          <w:tcPr>
            <w:tcW w:w="1374" w:type="dxa"/>
            <w:gridSpan w:val="2"/>
            <w:tcBorders>
              <w:top w:val="single" w:color="auto" w:sz="4" w:space="0"/>
              <w:left w:val="single" w:color="auto" w:sz="4" w:space="0"/>
              <w:bottom w:val="single" w:color="auto" w:sz="4" w:space="0"/>
              <w:right w:val="single" w:color="auto" w:sz="4" w:space="0"/>
            </w:tcBorders>
            <w:vAlign w:val="center"/>
          </w:tcPr>
          <w:p w14:paraId="4B6D2D01">
            <w:pPr>
              <w:spacing w:line="300" w:lineRule="auto"/>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负面清单汇总</w:t>
            </w:r>
          </w:p>
        </w:tc>
        <w:tc>
          <w:tcPr>
            <w:tcW w:w="8560" w:type="dxa"/>
            <w:gridSpan w:val="4"/>
            <w:tcBorders>
              <w:top w:val="single" w:color="auto" w:sz="4" w:space="0"/>
              <w:left w:val="single" w:color="auto" w:sz="4" w:space="0"/>
              <w:bottom w:val="single" w:color="auto" w:sz="4" w:space="0"/>
              <w:right w:val="single" w:color="auto" w:sz="4" w:space="0"/>
            </w:tcBorders>
            <w:vAlign w:val="center"/>
          </w:tcPr>
          <w:p w14:paraId="74B0E397">
            <w:pPr>
              <w:widowControl w:val="0"/>
              <w:spacing w:line="360" w:lineRule="auto"/>
              <w:jc w:val="both"/>
              <w:rPr>
                <w:rFonts w:hint="eastAsia" w:ascii="宋体" w:hAnsi="宋体" w:eastAsia="宋体" w:cs="宋体"/>
                <w:bCs/>
                <w:color w:val="auto"/>
                <w:kern w:val="2"/>
                <w:sz w:val="24"/>
                <w:szCs w:val="22"/>
                <w:highlight w:val="none"/>
                <w:lang w:val="en-US" w:eastAsia="zh-CN" w:bidi="ar-SA"/>
              </w:rPr>
            </w:pPr>
          </w:p>
          <w:p w14:paraId="49C283EB">
            <w:pPr>
              <w:widowControl w:val="0"/>
              <w:spacing w:line="360" w:lineRule="auto"/>
              <w:jc w:val="both"/>
              <w:rPr>
                <w:rFonts w:hint="eastAsia" w:ascii="宋体" w:hAnsi="宋体" w:eastAsia="宋体" w:cs="宋体"/>
                <w:bCs/>
                <w:color w:val="auto"/>
                <w:kern w:val="2"/>
                <w:sz w:val="24"/>
                <w:szCs w:val="22"/>
                <w:highlight w:val="none"/>
                <w:lang w:val="en-US" w:eastAsia="zh-CN" w:bidi="ar-SA"/>
              </w:rPr>
            </w:pPr>
          </w:p>
        </w:tc>
      </w:tr>
      <w:tr w14:paraId="5E0FD93A">
        <w:tblPrEx>
          <w:tblCellMar>
            <w:top w:w="0" w:type="dxa"/>
            <w:left w:w="108" w:type="dxa"/>
            <w:bottom w:w="0" w:type="dxa"/>
            <w:right w:w="108" w:type="dxa"/>
          </w:tblCellMar>
        </w:tblPrEx>
        <w:trPr>
          <w:trHeight w:val="1076" w:hRule="atLeast"/>
          <w:jc w:val="center"/>
        </w:trPr>
        <w:tc>
          <w:tcPr>
            <w:tcW w:w="1374" w:type="dxa"/>
            <w:gridSpan w:val="2"/>
            <w:tcBorders>
              <w:top w:val="single" w:color="auto" w:sz="4" w:space="0"/>
              <w:left w:val="single" w:color="auto" w:sz="4" w:space="0"/>
              <w:bottom w:val="single" w:color="auto" w:sz="4" w:space="0"/>
              <w:right w:val="single" w:color="auto" w:sz="4" w:space="0"/>
            </w:tcBorders>
            <w:vAlign w:val="center"/>
          </w:tcPr>
          <w:p w14:paraId="63438CFA">
            <w:pPr>
              <w:widowControl w:val="0"/>
              <w:spacing w:line="360" w:lineRule="auto"/>
              <w:jc w:val="center"/>
              <w:rPr>
                <w:rFonts w:hint="default"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kern w:val="2"/>
                <w:sz w:val="18"/>
                <w:szCs w:val="18"/>
                <w:highlight w:val="none"/>
                <w:lang w:val="en-US" w:eastAsia="zh-CN" w:bidi="ar-SA"/>
              </w:rPr>
              <w:t>学院检查人员</w:t>
            </w:r>
          </w:p>
        </w:tc>
        <w:tc>
          <w:tcPr>
            <w:tcW w:w="5262" w:type="dxa"/>
            <w:tcBorders>
              <w:top w:val="single" w:color="auto" w:sz="4" w:space="0"/>
              <w:left w:val="single" w:color="auto" w:sz="4" w:space="0"/>
              <w:bottom w:val="single" w:color="auto" w:sz="4" w:space="0"/>
              <w:right w:val="single" w:color="auto" w:sz="4" w:space="0"/>
            </w:tcBorders>
            <w:vAlign w:val="center"/>
          </w:tcPr>
          <w:p w14:paraId="30096D63">
            <w:pPr>
              <w:widowControl w:val="0"/>
              <w:spacing w:line="360" w:lineRule="auto"/>
              <w:jc w:val="center"/>
              <w:rPr>
                <w:rFonts w:hint="eastAsia" w:ascii="宋体" w:hAnsi="宋体" w:eastAsia="宋体" w:cs="宋体"/>
                <w:bCs/>
                <w:color w:val="auto"/>
                <w:kern w:val="2"/>
                <w:sz w:val="24"/>
                <w:szCs w:val="22"/>
                <w:highlight w:val="none"/>
                <w:lang w:val="en-US" w:eastAsia="zh-CN" w:bidi="ar-SA"/>
              </w:rPr>
            </w:pPr>
          </w:p>
          <w:p w14:paraId="7A3361BF">
            <w:pPr>
              <w:widowControl w:val="0"/>
              <w:spacing w:line="360" w:lineRule="auto"/>
              <w:jc w:val="center"/>
              <w:rPr>
                <w:rFonts w:hint="eastAsia" w:ascii="宋体" w:hAnsi="宋体" w:eastAsia="宋体" w:cs="宋体"/>
                <w:bCs/>
                <w:color w:val="auto"/>
                <w:kern w:val="2"/>
                <w:sz w:val="24"/>
                <w:szCs w:val="22"/>
                <w:highlight w:val="none"/>
                <w:lang w:val="en-US" w:eastAsia="zh-CN" w:bidi="ar-SA"/>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14:paraId="66C89E38">
            <w:pPr>
              <w:widowControl w:val="0"/>
              <w:spacing w:line="360" w:lineRule="auto"/>
              <w:jc w:val="center"/>
              <w:rPr>
                <w:rFonts w:hint="eastAsia" w:ascii="宋体" w:hAnsi="宋体" w:eastAsia="宋体" w:cs="宋体"/>
                <w:bCs/>
                <w:color w:val="auto"/>
                <w:kern w:val="2"/>
                <w:sz w:val="24"/>
                <w:szCs w:val="22"/>
                <w:highlight w:val="none"/>
                <w:lang w:val="en-US" w:eastAsia="zh-CN" w:bidi="ar-SA"/>
              </w:rPr>
            </w:pPr>
            <w:r>
              <w:rPr>
                <w:rFonts w:hint="eastAsia" w:ascii="宋体" w:hAnsi="宋体" w:eastAsia="宋体" w:cs="宋体"/>
                <w:bCs/>
                <w:color w:val="auto"/>
                <w:kern w:val="2"/>
                <w:sz w:val="18"/>
                <w:szCs w:val="18"/>
                <w:highlight w:val="none"/>
                <w:lang w:val="en-US" w:eastAsia="zh-CN" w:bidi="ar-SA"/>
              </w:rPr>
              <w:t>团队负责人</w:t>
            </w:r>
          </w:p>
        </w:tc>
        <w:tc>
          <w:tcPr>
            <w:tcW w:w="2098" w:type="dxa"/>
            <w:tcBorders>
              <w:top w:val="single" w:color="auto" w:sz="4" w:space="0"/>
              <w:left w:val="single" w:color="auto" w:sz="4" w:space="0"/>
              <w:bottom w:val="single" w:color="auto" w:sz="4" w:space="0"/>
              <w:right w:val="single" w:color="auto" w:sz="4" w:space="0"/>
            </w:tcBorders>
            <w:vAlign w:val="center"/>
          </w:tcPr>
          <w:p w14:paraId="530EA764">
            <w:pPr>
              <w:widowControl w:val="0"/>
              <w:spacing w:line="360" w:lineRule="auto"/>
              <w:jc w:val="both"/>
              <w:rPr>
                <w:rFonts w:hint="eastAsia" w:ascii="宋体" w:hAnsi="宋体" w:eastAsia="宋体" w:cs="宋体"/>
                <w:bCs/>
                <w:color w:val="auto"/>
                <w:kern w:val="2"/>
                <w:sz w:val="24"/>
                <w:szCs w:val="22"/>
                <w:highlight w:val="none"/>
                <w:lang w:val="en-US" w:eastAsia="zh-CN" w:bidi="ar-SA"/>
              </w:rPr>
            </w:pPr>
          </w:p>
        </w:tc>
      </w:tr>
    </w:tbl>
    <w:p w14:paraId="47B087EA">
      <w:pPr>
        <w:keepNext w:val="0"/>
        <w:keepLines w:val="0"/>
        <w:pageBreakBefore w:val="0"/>
        <w:kinsoku/>
        <w:wordWrap/>
        <w:overflowPunct/>
        <w:topLinePunct w:val="0"/>
        <w:autoSpaceDE/>
        <w:autoSpaceDN/>
        <w:bidi w:val="0"/>
        <w:spacing w:beforeAutospacing="0" w:afterAutospacing="0" w:line="400" w:lineRule="exact"/>
        <w:textAlignment w:val="auto"/>
        <w:rPr>
          <w:rFonts w:hint="eastAsia" w:ascii="Times New Roman" w:hAnsi="Times New Roman" w:eastAsia="宋体" w:cs="Times New Roman"/>
          <w:b/>
          <w:color w:val="auto"/>
          <w:sz w:val="24"/>
          <w:szCs w:val="24"/>
          <w:highlight w:val="none"/>
          <w:lang w:val="en-US" w:eastAsia="zh-CN"/>
        </w:rPr>
      </w:pPr>
    </w:p>
    <w:p w14:paraId="0CD48E31">
      <w:pPr>
        <w:keepNext w:val="0"/>
        <w:keepLines w:val="0"/>
        <w:pageBreakBefore w:val="0"/>
        <w:kinsoku/>
        <w:wordWrap/>
        <w:overflowPunct/>
        <w:topLinePunct w:val="0"/>
        <w:autoSpaceDE/>
        <w:autoSpaceDN/>
        <w:bidi w:val="0"/>
        <w:spacing w:beforeAutospacing="0" w:afterAutospacing="0" w:line="400" w:lineRule="exact"/>
        <w:textAlignment w:val="auto"/>
        <w:rPr>
          <w:rFonts w:hint="eastAsia" w:ascii="Times New Roman" w:hAnsi="Times New Roman" w:eastAsia="宋体" w:cs="Times New Roman"/>
          <w:b/>
          <w:color w:val="auto"/>
          <w:sz w:val="24"/>
          <w:szCs w:val="24"/>
          <w:highlight w:val="none"/>
          <w:lang w:val="en-US" w:eastAsia="zh-CN"/>
        </w:rPr>
      </w:pPr>
      <w:r>
        <w:rPr>
          <w:rFonts w:hint="eastAsia" w:ascii="Times New Roman" w:hAnsi="Times New Roman" w:eastAsia="宋体" w:cs="Times New Roman"/>
          <w:b/>
          <w:color w:val="auto"/>
          <w:sz w:val="24"/>
          <w:szCs w:val="24"/>
          <w:highlight w:val="none"/>
          <w:lang w:val="en-US" w:eastAsia="zh-CN"/>
        </w:rPr>
        <w:t>（二）负面清单</w:t>
      </w:r>
    </w:p>
    <w:p w14:paraId="0A486DA0">
      <w:pPr>
        <w:spacing w:line="360" w:lineRule="auto"/>
        <w:jc w:val="center"/>
        <w:rPr>
          <w:rFonts w:hint="default" w:ascii="华文中宋" w:hAnsi="华文中宋" w:eastAsia="华文中宋" w:cs="华文中宋"/>
          <w:b/>
          <w:color w:val="auto"/>
          <w:sz w:val="32"/>
          <w:szCs w:val="28"/>
          <w:highlight w:val="none"/>
          <w:lang w:val="en-US" w:eastAsia="zh-CN"/>
        </w:rPr>
      </w:pPr>
      <w:r>
        <w:rPr>
          <w:rFonts w:hint="eastAsia" w:ascii="华文中宋" w:hAnsi="华文中宋" w:eastAsia="华文中宋" w:cs="华文中宋"/>
          <w:b/>
          <w:color w:val="auto"/>
          <w:sz w:val="32"/>
          <w:szCs w:val="28"/>
          <w:highlight w:val="none"/>
          <w:lang w:val="en-US" w:eastAsia="zh-CN"/>
        </w:rPr>
        <w:t>附件2：</w:t>
      </w:r>
      <w:r>
        <w:rPr>
          <w:rFonts w:hint="eastAsia" w:ascii="华文中宋" w:hAnsi="华文中宋" w:eastAsia="华文中宋" w:cs="华文中宋"/>
          <w:b/>
          <w:color w:val="auto"/>
          <w:sz w:val="32"/>
          <w:szCs w:val="28"/>
          <w:highlight w:val="none"/>
        </w:rPr>
        <w:t>湄洲湾职业技术学院学生餐厅</w:t>
      </w:r>
      <w:r>
        <w:rPr>
          <w:rFonts w:hint="eastAsia" w:ascii="华文中宋" w:hAnsi="华文中宋" w:eastAsia="华文中宋" w:cs="华文中宋"/>
          <w:b/>
          <w:color w:val="auto"/>
          <w:sz w:val="32"/>
          <w:szCs w:val="28"/>
          <w:highlight w:val="none"/>
          <w:lang w:val="en-US" w:eastAsia="zh-CN"/>
        </w:rPr>
        <w:t>服务团队负面清单</w:t>
      </w:r>
    </w:p>
    <w:p w14:paraId="09AC7620">
      <w:pPr>
        <w:widowControl w:val="0"/>
        <w:numPr>
          <w:ilvl w:val="0"/>
          <w:numId w:val="16"/>
        </w:numPr>
        <w:spacing w:line="360" w:lineRule="auto"/>
        <w:ind w:left="0" w:leftChars="0" w:firstLine="420" w:firstLineChars="0"/>
        <w:jc w:val="both"/>
        <w:rPr>
          <w:rFonts w:hint="default" w:ascii="宋体" w:hAnsi="宋体" w:eastAsia="宋体" w:cs="宋体"/>
          <w:bCs/>
          <w:color w:val="auto"/>
          <w:kern w:val="2"/>
          <w:sz w:val="24"/>
          <w:szCs w:val="24"/>
          <w:highlight w:val="none"/>
          <w:lang w:val="en-US" w:eastAsia="zh-CN" w:bidi="ar-SA"/>
        </w:rPr>
      </w:pPr>
      <w:r>
        <w:rPr>
          <w:rFonts w:hint="eastAsia" w:ascii="华文中宋" w:hAnsi="华文中宋" w:eastAsia="华文中宋" w:cs="华文中宋"/>
          <w:b/>
          <w:bCs/>
          <w:color w:val="auto"/>
          <w:kern w:val="2"/>
          <w:sz w:val="24"/>
          <w:szCs w:val="24"/>
          <w:highlight w:val="none"/>
          <w:lang w:val="en-US" w:eastAsia="zh-CN" w:bidi="ar-SA"/>
        </w:rPr>
        <w:t>下列负面条款为重大违约条款，记入重大违约次数</w:t>
      </w:r>
    </w:p>
    <w:p w14:paraId="43ACB826">
      <w:pPr>
        <w:widowControl/>
        <w:numPr>
          <w:ilvl w:val="0"/>
          <w:numId w:val="17"/>
        </w:numPr>
        <w:adjustRightInd w:val="0"/>
        <w:snapToGrid w:val="0"/>
        <w:spacing w:line="360" w:lineRule="auto"/>
        <w:ind w:left="0" w:leftChars="0" w:firstLine="400" w:firstLineChars="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shd w:val="clear" w:color="auto" w:fill="FFFFFF"/>
          <w:lang w:val="en-US" w:eastAsia="zh-CN" w:bidi="ar-SA"/>
        </w:rPr>
        <w:t>在学院要求的供餐期间，每停膳1天，乙方向甲方支付违约金20000元并视为重大违约一次。以此累推。</w:t>
      </w:r>
    </w:p>
    <w:p w14:paraId="2DC07B54">
      <w:pPr>
        <w:widowControl/>
        <w:numPr>
          <w:ilvl w:val="0"/>
          <w:numId w:val="17"/>
        </w:numPr>
        <w:adjustRightInd w:val="0"/>
        <w:snapToGrid w:val="0"/>
        <w:spacing w:line="360" w:lineRule="auto"/>
        <w:ind w:left="0" w:leftChars="0" w:firstLine="400" w:firstLineChars="0"/>
        <w:contextualSpacing/>
        <w:jc w:val="left"/>
        <w:rPr>
          <w:rFonts w:hint="eastAsia" w:ascii="宋体" w:hAnsi="宋体" w:eastAsia="宋体" w:cs="宋体"/>
          <w:b w:val="0"/>
          <w:bCs w:val="0"/>
          <w:color w:val="auto"/>
          <w:kern w:val="2"/>
          <w:sz w:val="24"/>
          <w:szCs w:val="24"/>
          <w:highlight w:val="none"/>
          <w:shd w:val="clear" w:color="auto" w:fill="FFFFFF"/>
          <w:lang w:val="en-US" w:eastAsia="zh-CN" w:bidi="ar-SA"/>
        </w:rPr>
      </w:pPr>
      <w:r>
        <w:rPr>
          <w:rFonts w:hint="eastAsia" w:ascii="宋体" w:hAnsi="宋体" w:eastAsia="宋体" w:cs="宋体"/>
          <w:b w:val="0"/>
          <w:bCs w:val="0"/>
          <w:color w:val="auto"/>
          <w:kern w:val="2"/>
          <w:sz w:val="24"/>
          <w:szCs w:val="24"/>
          <w:highlight w:val="none"/>
          <w:shd w:val="clear" w:color="auto" w:fill="FFFFFF"/>
          <w:lang w:val="en-US" w:eastAsia="zh-CN" w:bidi="ar-SA"/>
        </w:rPr>
        <w:t>发生3人以上食物中毒事故（经责任认定是食堂加工过程的责任），视为重大违约一次。乙方向甲方支付违约金10000元，并赔偿给事故受害人因事故造成包括医疗费、误工费、护理费等在内的一系列人身损害赔偿。</w:t>
      </w:r>
      <w:r>
        <w:rPr>
          <w:rFonts w:ascii="Arial" w:hAnsi="Arial" w:eastAsia="Arial" w:cs="Arial"/>
          <w:b w:val="0"/>
          <w:bCs w:val="0"/>
          <w:i w:val="0"/>
          <w:iCs w:val="0"/>
          <w:caps w:val="0"/>
          <w:color w:val="auto"/>
          <w:spacing w:val="0"/>
          <w:kern w:val="2"/>
          <w:sz w:val="24"/>
          <w:szCs w:val="24"/>
          <w:highlight w:val="none"/>
          <w:shd w:val="clear" w:fill="FFFFFF"/>
          <w:lang w:val="en-US" w:eastAsia="zh-CN" w:bidi="ar-SA"/>
        </w:rPr>
        <w:t>‌</w:t>
      </w:r>
    </w:p>
    <w:p w14:paraId="403A70D8">
      <w:pPr>
        <w:widowControl/>
        <w:numPr>
          <w:ilvl w:val="0"/>
          <w:numId w:val="17"/>
        </w:numPr>
        <w:adjustRightInd w:val="0"/>
        <w:snapToGrid w:val="0"/>
        <w:spacing w:line="360" w:lineRule="auto"/>
        <w:ind w:left="0" w:leftChars="0" w:firstLine="400" w:firstLineChars="0"/>
        <w:contextualSpacing/>
        <w:jc w:val="left"/>
        <w:rPr>
          <w:rFonts w:hint="eastAsia" w:ascii="宋体" w:hAnsi="宋体" w:eastAsia="宋体" w:cs="宋体"/>
          <w:b w:val="0"/>
          <w:bCs w:val="0"/>
          <w:color w:val="auto"/>
          <w:kern w:val="2"/>
          <w:sz w:val="24"/>
          <w:szCs w:val="24"/>
          <w:highlight w:val="none"/>
          <w:shd w:val="clear" w:color="auto" w:fill="FFFFFF"/>
          <w:lang w:val="en-US" w:eastAsia="zh-CN" w:bidi="ar-SA"/>
        </w:rPr>
      </w:pPr>
      <w:r>
        <w:rPr>
          <w:rFonts w:hint="eastAsia" w:ascii="宋体" w:hAnsi="宋体" w:eastAsia="宋体" w:cs="宋体"/>
          <w:b w:val="0"/>
          <w:bCs w:val="0"/>
          <w:color w:val="auto"/>
          <w:kern w:val="2"/>
          <w:sz w:val="24"/>
          <w:szCs w:val="24"/>
          <w:highlight w:val="none"/>
          <w:shd w:val="clear" w:color="auto" w:fill="FFFFFF"/>
          <w:lang w:val="en-US" w:eastAsia="zh-CN" w:bidi="ar-SA"/>
        </w:rPr>
        <w:t>因人为因素导致发生较大火灾事故并造成财物损失的，视为重大违约一次。乙方向甲方支付违约金10000元，并赔偿包括被烧毁的财物、房屋等的损失。</w:t>
      </w:r>
    </w:p>
    <w:p w14:paraId="11E013D6">
      <w:pPr>
        <w:widowControl w:val="0"/>
        <w:numPr>
          <w:ilvl w:val="0"/>
          <w:numId w:val="16"/>
        </w:numPr>
        <w:spacing w:line="360" w:lineRule="auto"/>
        <w:ind w:left="0" w:leftChars="0" w:firstLine="420" w:firstLineChars="0"/>
        <w:jc w:val="both"/>
        <w:rPr>
          <w:rFonts w:hint="default" w:ascii="华文中宋" w:hAnsi="华文中宋" w:eastAsia="华文中宋" w:cs="华文中宋"/>
          <w:b/>
          <w:bCs/>
          <w:color w:val="auto"/>
          <w:kern w:val="2"/>
          <w:sz w:val="24"/>
          <w:szCs w:val="24"/>
          <w:highlight w:val="none"/>
          <w:lang w:val="en-US" w:eastAsia="zh-CN" w:bidi="ar-SA"/>
        </w:rPr>
      </w:pPr>
      <w:r>
        <w:rPr>
          <w:rFonts w:hint="eastAsia" w:ascii="华文中宋" w:hAnsi="华文中宋" w:eastAsia="华文中宋" w:cs="华文中宋"/>
          <w:b/>
          <w:bCs/>
          <w:color w:val="auto"/>
          <w:kern w:val="2"/>
          <w:sz w:val="24"/>
          <w:szCs w:val="24"/>
          <w:highlight w:val="none"/>
          <w:lang w:val="en-US" w:eastAsia="zh-CN" w:bidi="ar-SA"/>
        </w:rPr>
        <w:t>下列负面条款为一般违约条款，记入一般违约次数</w:t>
      </w:r>
    </w:p>
    <w:p w14:paraId="0CFF743B">
      <w:pPr>
        <w:widowControl/>
        <w:numPr>
          <w:ilvl w:val="0"/>
          <w:numId w:val="18"/>
        </w:numPr>
        <w:adjustRightInd w:val="0"/>
        <w:snapToGrid w:val="0"/>
        <w:spacing w:line="360" w:lineRule="auto"/>
        <w:ind w:left="0" w:leftChars="0" w:firstLine="400" w:firstLineChars="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乙方指派的项目经理，如果业务水平无法达到甲方要求，必须应甲方要求更换新的项目经理。未按要求限时更换的，视为一般违约一次。</w:t>
      </w:r>
    </w:p>
    <w:p w14:paraId="1371678A">
      <w:pPr>
        <w:widowControl/>
        <w:numPr>
          <w:ilvl w:val="0"/>
          <w:numId w:val="18"/>
        </w:numPr>
        <w:adjustRightInd w:val="0"/>
        <w:snapToGrid w:val="0"/>
        <w:spacing w:line="360" w:lineRule="auto"/>
        <w:ind w:left="0" w:leftChars="0" w:firstLine="400" w:firstLineChars="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违反消防安全制度和有关操作规程，引发灾害未造成损失的；存在火灾、食品安全隐患，经上级职能部门检查通报、学院保卫等部门通知后逾期仍未整改的，视为一般违约一次。</w:t>
      </w:r>
    </w:p>
    <w:p w14:paraId="42588A8B">
      <w:pPr>
        <w:widowControl/>
        <w:numPr>
          <w:ilvl w:val="0"/>
          <w:numId w:val="18"/>
        </w:numPr>
        <w:adjustRightInd w:val="0"/>
        <w:snapToGrid w:val="0"/>
        <w:spacing w:line="360" w:lineRule="auto"/>
        <w:ind w:left="0" w:leftChars="0" w:firstLine="400" w:firstLineChars="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乙方无法响应甲方根据任务需要发出上班时间调整要求导致无法按任务要求及时供餐的的，视为一般违约一次。</w:t>
      </w:r>
    </w:p>
    <w:p w14:paraId="2F61CB7A">
      <w:pPr>
        <w:widowControl/>
        <w:numPr>
          <w:ilvl w:val="0"/>
          <w:numId w:val="18"/>
        </w:numPr>
        <w:adjustRightInd w:val="0"/>
        <w:snapToGrid w:val="0"/>
        <w:spacing w:line="360" w:lineRule="auto"/>
        <w:ind w:left="0" w:leftChars="0" w:firstLine="400" w:firstLineChars="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服务团队日常管理不当，在服务过程中处置不当而引发负面舆情4级及以上（含4级）的，视为一般违约一次。</w:t>
      </w:r>
    </w:p>
    <w:p w14:paraId="5C98B192">
      <w:pPr>
        <w:widowControl/>
        <w:numPr>
          <w:ilvl w:val="0"/>
          <w:numId w:val="18"/>
        </w:numPr>
        <w:adjustRightInd w:val="0"/>
        <w:snapToGrid w:val="0"/>
        <w:spacing w:line="360" w:lineRule="auto"/>
        <w:ind w:left="0" w:leftChars="0" w:firstLine="400" w:firstLineChars="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福建省“一品一码”追溯管理系统被上级部门抽检发现问题并受到通报的，罚款5000元/次，并视为一般违约一次。</w:t>
      </w:r>
    </w:p>
    <w:p w14:paraId="276C3A04">
      <w:pPr>
        <w:widowControl/>
        <w:numPr>
          <w:ilvl w:val="0"/>
          <w:numId w:val="18"/>
        </w:numPr>
        <w:adjustRightInd w:val="0"/>
        <w:snapToGrid w:val="0"/>
        <w:spacing w:line="360" w:lineRule="auto"/>
        <w:ind w:left="0" w:leftChars="0" w:firstLine="400" w:firstLineChars="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食堂库存或售卖过期、变质、发霉食物等情况，发现一次罚款5000元，并视为一般违约一次。</w:t>
      </w:r>
    </w:p>
    <w:p w14:paraId="3B5A83F7">
      <w:pPr>
        <w:widowControl/>
        <w:numPr>
          <w:ilvl w:val="0"/>
          <w:numId w:val="18"/>
        </w:numPr>
        <w:adjustRightInd w:val="0"/>
        <w:snapToGrid w:val="0"/>
        <w:spacing w:line="360" w:lineRule="auto"/>
        <w:ind w:left="0" w:leftChars="0" w:firstLine="400" w:firstLineChars="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现场抽查发现未严格做好食材验收，发现以次充好、短斤少两、接收腐烂变质食材等现象，每次罚款1000元，并视为一般违约一次。</w:t>
      </w:r>
    </w:p>
    <w:p w14:paraId="4F58BF25">
      <w:pPr>
        <w:widowControl/>
        <w:numPr>
          <w:ilvl w:val="0"/>
          <w:numId w:val="18"/>
        </w:numPr>
        <w:adjustRightInd w:val="0"/>
        <w:snapToGrid w:val="0"/>
        <w:spacing w:line="360" w:lineRule="auto"/>
        <w:ind w:left="0" w:leftChars="0" w:firstLine="400" w:firstLineChars="0"/>
        <w:jc w:val="left"/>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部门抽检发现餐具消毒未符合要求，要求落实整改后仍未无法达到合格标准的，每次罚款1000元，并视为一般违约一次。</w:t>
      </w:r>
    </w:p>
    <w:p w14:paraId="38C3D808">
      <w:pPr>
        <w:widowControl/>
        <w:numPr>
          <w:ilvl w:val="0"/>
          <w:numId w:val="18"/>
        </w:numPr>
        <w:adjustRightInd w:val="0"/>
        <w:snapToGrid w:val="0"/>
        <w:spacing w:line="360" w:lineRule="auto"/>
        <w:ind w:left="0" w:leftChars="0" w:firstLine="400" w:firstLineChars="0"/>
        <w:jc w:val="left"/>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日常管理过程中有违规行为被市场监督管理部门公开通报批评，每次罚款1000元，并视为一般违约一次。</w:t>
      </w:r>
    </w:p>
    <w:p w14:paraId="6C281753">
      <w:pPr>
        <w:widowControl/>
        <w:numPr>
          <w:ilvl w:val="0"/>
          <w:numId w:val="18"/>
        </w:numPr>
        <w:adjustRightInd w:val="0"/>
        <w:snapToGrid w:val="0"/>
        <w:spacing w:line="360" w:lineRule="auto"/>
        <w:ind w:left="0" w:leftChars="0" w:firstLine="400" w:firstLineChars="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乙方在未经允许的情况下，在经营时没有要求学生刷卡或赊帐就餐的，按私自收取现金处理，按收取金额的10倍罚款（不足1000元，按1000元计），并视为一般违约一次。</w:t>
      </w:r>
    </w:p>
    <w:p w14:paraId="6C840B5E">
      <w:pPr>
        <w:widowControl/>
        <w:numPr>
          <w:ilvl w:val="0"/>
          <w:numId w:val="18"/>
        </w:numPr>
        <w:adjustRightInd w:val="0"/>
        <w:snapToGrid w:val="0"/>
        <w:spacing w:line="360" w:lineRule="auto"/>
        <w:ind w:left="0" w:leftChars="0" w:firstLine="400" w:firstLineChars="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因乙方原因造成餐厅员工工资迟发，发生纠纷造成不良影响的。每次罚款1000元，并视为一般违约一次。</w:t>
      </w:r>
    </w:p>
    <w:p w14:paraId="32D3DBFA">
      <w:pPr>
        <w:widowControl/>
        <w:numPr>
          <w:ilvl w:val="0"/>
          <w:numId w:val="18"/>
        </w:numPr>
        <w:adjustRightInd w:val="0"/>
        <w:snapToGrid w:val="0"/>
        <w:spacing w:line="360" w:lineRule="auto"/>
        <w:ind w:left="0" w:leftChars="0" w:firstLine="400" w:firstLineChars="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私自使用未经报备的人员，发现一次罚款1000元，并视为一般违约一次。</w:t>
      </w:r>
    </w:p>
    <w:p w14:paraId="1584BDD4">
      <w:pPr>
        <w:widowControl/>
        <w:numPr>
          <w:ilvl w:val="0"/>
          <w:numId w:val="18"/>
        </w:numPr>
        <w:adjustRightInd w:val="0"/>
        <w:snapToGrid w:val="0"/>
        <w:spacing w:line="360" w:lineRule="auto"/>
        <w:ind w:left="0" w:leftChars="0" w:firstLine="400" w:firstLineChars="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使用未经消毒餐具的，每次罚款1000元，并视为一般违约一次。</w:t>
      </w:r>
    </w:p>
    <w:p w14:paraId="003C3CFC">
      <w:pPr>
        <w:widowControl/>
        <w:numPr>
          <w:ilvl w:val="0"/>
          <w:numId w:val="18"/>
        </w:numPr>
        <w:adjustRightInd w:val="0"/>
        <w:snapToGrid w:val="0"/>
        <w:spacing w:line="360" w:lineRule="auto"/>
        <w:ind w:left="0" w:leftChars="0" w:firstLine="400" w:firstLineChars="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使用不符合食品卫生安全标准的不合格洗洁精，每次罚款500元，并视为一般违约一次。</w:t>
      </w:r>
    </w:p>
    <w:p w14:paraId="6AF7C176">
      <w:pPr>
        <w:widowControl/>
        <w:numPr>
          <w:ilvl w:val="0"/>
          <w:numId w:val="18"/>
        </w:numPr>
        <w:adjustRightInd w:val="0"/>
        <w:snapToGrid w:val="0"/>
        <w:spacing w:line="360" w:lineRule="auto"/>
        <w:ind w:left="0" w:leftChars="0" w:firstLine="400" w:firstLineChars="0"/>
        <w:jc w:val="left"/>
        <w:rPr>
          <w:rFonts w:hint="eastAsia" w:ascii="宋体" w:hAnsi="宋体" w:eastAsia="宋体" w:cs="宋体"/>
          <w:b w:val="0"/>
          <w:bCs w:val="0"/>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lang w:val="en-US" w:eastAsia="zh-CN" w:bidi="ar-SA"/>
        </w:rPr>
        <w:t>乙方没有留样或留样变质的，每发现一次罚款500元，并视为一般违约一次。</w:t>
      </w:r>
    </w:p>
    <w:p w14:paraId="0D019C3A">
      <w:pPr>
        <w:widowControl w:val="0"/>
        <w:numPr>
          <w:ilvl w:val="0"/>
          <w:numId w:val="16"/>
        </w:numPr>
        <w:spacing w:line="360" w:lineRule="auto"/>
        <w:ind w:left="0" w:firstLine="420"/>
        <w:jc w:val="both"/>
        <w:rPr>
          <w:rFonts w:ascii="华文中宋" w:hAnsi="华文中宋" w:eastAsia="华文中宋" w:cs="华文中宋"/>
          <w:b/>
          <w:bCs/>
          <w:color w:val="auto"/>
          <w:kern w:val="2"/>
          <w:sz w:val="24"/>
          <w:szCs w:val="24"/>
          <w:highlight w:val="none"/>
          <w:lang w:val="en-US" w:eastAsia="zh-CN" w:bidi="ar-SA"/>
        </w:rPr>
      </w:pPr>
      <w:r>
        <w:rPr>
          <w:rFonts w:hint="eastAsia" w:ascii="华文中宋" w:hAnsi="华文中宋" w:eastAsia="华文中宋" w:cs="华文中宋"/>
          <w:b/>
          <w:bCs/>
          <w:color w:val="auto"/>
          <w:kern w:val="2"/>
          <w:sz w:val="24"/>
          <w:szCs w:val="24"/>
          <w:highlight w:val="none"/>
          <w:lang w:val="en-US" w:eastAsia="zh-CN" w:bidi="ar-SA"/>
        </w:rPr>
        <w:t>常规负面条款，仅作罚款处理但不记入违约次数。</w:t>
      </w:r>
    </w:p>
    <w:p w14:paraId="101EF3D2">
      <w:pPr>
        <w:widowControl/>
        <w:numPr>
          <w:ilvl w:val="0"/>
          <w:numId w:val="19"/>
        </w:numPr>
        <w:adjustRightInd w:val="0"/>
        <w:snapToGrid w:val="0"/>
        <w:spacing w:line="360" w:lineRule="auto"/>
        <w:ind w:left="0" w:firstLine="400" w:firstLineChars="0"/>
        <w:contextualSpacing/>
        <w:jc w:val="left"/>
        <w:rPr>
          <w:rFonts w:ascii="宋体" w:hAnsi="宋体" w:eastAsia="宋体" w:cs="宋体"/>
          <w:color w:val="auto"/>
          <w:kern w:val="2"/>
          <w:sz w:val="24"/>
          <w:szCs w:val="24"/>
          <w:highlight w:val="none"/>
          <w:shd w:val="clear" w:color="auto" w:fill="FFFFFF"/>
          <w:lang w:val="en-US" w:eastAsia="zh-CN" w:bidi="ar-SA"/>
        </w:rPr>
      </w:pPr>
      <w:r>
        <w:rPr>
          <w:rFonts w:hint="eastAsia" w:ascii="宋体" w:hAnsi="宋体" w:eastAsia="宋体" w:cs="宋体"/>
          <w:color w:val="auto"/>
          <w:kern w:val="2"/>
          <w:sz w:val="24"/>
          <w:szCs w:val="24"/>
          <w:highlight w:val="none"/>
          <w:lang w:val="en-US" w:eastAsia="zh-CN" w:bidi="ar-SA"/>
        </w:rPr>
        <w:t>落实食堂“日管控、周排查、月调度”不力，上级相关部门检查时发现问题并且被通报的，每次罚款1000元。</w:t>
      </w:r>
    </w:p>
    <w:p w14:paraId="36E222B2">
      <w:pPr>
        <w:widowControl/>
        <w:numPr>
          <w:ilvl w:val="0"/>
          <w:numId w:val="19"/>
        </w:numPr>
        <w:adjustRightInd w:val="0"/>
        <w:snapToGrid w:val="0"/>
        <w:spacing w:line="360" w:lineRule="auto"/>
        <w:ind w:left="0" w:leftChars="0" w:firstLine="400" w:firstLineChars="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发现员工有偷窃和侵占食堂的食材、公共财物等行为的，每次罚款1000元。</w:t>
      </w:r>
    </w:p>
    <w:p w14:paraId="3E9259F4">
      <w:pPr>
        <w:widowControl/>
        <w:numPr>
          <w:ilvl w:val="0"/>
          <w:numId w:val="19"/>
        </w:numPr>
        <w:adjustRightInd w:val="0"/>
        <w:snapToGrid w:val="0"/>
        <w:spacing w:line="360" w:lineRule="auto"/>
        <w:ind w:left="0" w:leftChars="0" w:firstLine="400" w:firstLineChars="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学生投诉食堂饭菜不干净，混有蚊、蝇、虫、毛发等异物，经查证属实的每次罚款500元。</w:t>
      </w:r>
    </w:p>
    <w:p w14:paraId="2A1603AE">
      <w:pPr>
        <w:widowControl/>
        <w:numPr>
          <w:ilvl w:val="0"/>
          <w:numId w:val="19"/>
        </w:numPr>
        <w:adjustRightInd w:val="0"/>
        <w:snapToGrid w:val="0"/>
        <w:spacing w:line="360" w:lineRule="auto"/>
        <w:ind w:left="0" w:leftChars="0" w:firstLine="400" w:firstLineChars="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熟食未按规定存放在熟食专柜，与生食或半成品存在交叉污染的，每次罚款500元。</w:t>
      </w:r>
    </w:p>
    <w:p w14:paraId="1B30158A">
      <w:pPr>
        <w:widowControl/>
        <w:numPr>
          <w:ilvl w:val="0"/>
          <w:numId w:val="19"/>
        </w:numPr>
        <w:adjustRightInd w:val="0"/>
        <w:snapToGrid w:val="0"/>
        <w:spacing w:line="360" w:lineRule="auto"/>
        <w:ind w:left="0" w:leftChars="0" w:firstLine="400" w:firstLineChars="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检查发现切肉机等设备未按规定清洗干净，存在安全隐患的，每次罚款500元。</w:t>
      </w:r>
    </w:p>
    <w:p w14:paraId="40A2694C">
      <w:pPr>
        <w:widowControl/>
        <w:numPr>
          <w:ilvl w:val="0"/>
          <w:numId w:val="19"/>
        </w:numPr>
        <w:adjustRightInd w:val="0"/>
        <w:snapToGrid w:val="0"/>
        <w:spacing w:line="360" w:lineRule="auto"/>
        <w:ind w:left="0" w:leftChars="0" w:firstLine="400" w:firstLineChars="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员工在食品处理区内（含办公室、内部通道）抽烟者，每次罚款500元。</w:t>
      </w:r>
    </w:p>
    <w:p w14:paraId="2899FC96">
      <w:pPr>
        <w:widowControl/>
        <w:numPr>
          <w:ilvl w:val="0"/>
          <w:numId w:val="19"/>
        </w:numPr>
        <w:adjustRightInd w:val="0"/>
        <w:snapToGrid w:val="0"/>
        <w:spacing w:line="360" w:lineRule="auto"/>
        <w:ind w:left="0" w:leftChars="0" w:firstLine="400" w:firstLineChars="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学院检查发现食堂的索证索票与追溯系统不一致，每次罚款500元。</w:t>
      </w:r>
    </w:p>
    <w:p w14:paraId="4457D405">
      <w:pPr>
        <w:widowControl/>
        <w:numPr>
          <w:ilvl w:val="0"/>
          <w:numId w:val="19"/>
        </w:numPr>
        <w:adjustRightInd w:val="0"/>
        <w:snapToGrid w:val="0"/>
        <w:spacing w:line="360" w:lineRule="auto"/>
        <w:ind w:left="0" w:leftChars="0" w:firstLine="400" w:firstLineChars="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发现无健康证上岗或持过期健康证上岗的，每人次罚款500元。</w:t>
      </w:r>
    </w:p>
    <w:p w14:paraId="41B98DD1">
      <w:pPr>
        <w:widowControl/>
        <w:numPr>
          <w:ilvl w:val="0"/>
          <w:numId w:val="19"/>
        </w:numPr>
        <w:adjustRightInd w:val="0"/>
        <w:snapToGrid w:val="0"/>
        <w:spacing w:line="360" w:lineRule="auto"/>
        <w:ind w:left="0" w:leftChars="0" w:firstLine="400" w:firstLineChars="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食堂饭菜、米饭未煮熟，每次罚款500元。</w:t>
      </w:r>
    </w:p>
    <w:p w14:paraId="6FF50B50">
      <w:pPr>
        <w:widowControl/>
        <w:numPr>
          <w:ilvl w:val="0"/>
          <w:numId w:val="19"/>
        </w:numPr>
        <w:adjustRightInd w:val="0"/>
        <w:snapToGrid w:val="0"/>
        <w:spacing w:line="360" w:lineRule="auto"/>
        <w:ind w:left="0" w:leftChars="0" w:firstLine="400" w:firstLineChars="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餐厅卫生保洁不干净，在要求整改的限期内仍未整改完毕的，每次罚款200元。</w:t>
      </w:r>
    </w:p>
    <w:p w14:paraId="74A85B85">
      <w:pPr>
        <w:widowControl/>
        <w:numPr>
          <w:ilvl w:val="0"/>
          <w:numId w:val="19"/>
        </w:numPr>
        <w:adjustRightInd w:val="0"/>
        <w:snapToGrid w:val="0"/>
        <w:spacing w:line="360" w:lineRule="auto"/>
        <w:ind w:left="0" w:leftChars="0" w:firstLine="400" w:firstLineChars="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留样不齐全、留样冰箱存放其他食物或不按规范要求留样的，每次罚款200元。</w:t>
      </w:r>
    </w:p>
    <w:p w14:paraId="67326AD2">
      <w:pPr>
        <w:widowControl/>
        <w:numPr>
          <w:ilvl w:val="0"/>
          <w:numId w:val="19"/>
        </w:numPr>
        <w:adjustRightInd w:val="0"/>
        <w:snapToGrid w:val="0"/>
        <w:spacing w:line="360" w:lineRule="auto"/>
        <w:ind w:left="0" w:leftChars="0" w:firstLine="400" w:firstLineChars="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发现违规使用食品添加剂，或未按规定管理使用添加剂，每次罚款200元。</w:t>
      </w:r>
    </w:p>
    <w:p w14:paraId="12B3DBEA">
      <w:pPr>
        <w:widowControl/>
        <w:numPr>
          <w:ilvl w:val="0"/>
          <w:numId w:val="19"/>
        </w:numPr>
        <w:adjustRightInd w:val="0"/>
        <w:snapToGrid w:val="0"/>
        <w:spacing w:line="360" w:lineRule="auto"/>
        <w:ind w:left="0" w:leftChars="0" w:firstLine="400" w:firstLineChars="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员工违反校内管理规定被学院相关部门通报，每次罚款200元。</w:t>
      </w:r>
    </w:p>
    <w:p w14:paraId="50363ABE">
      <w:pPr>
        <w:widowControl/>
        <w:numPr>
          <w:ilvl w:val="0"/>
          <w:numId w:val="19"/>
        </w:numPr>
        <w:adjustRightInd w:val="0"/>
        <w:snapToGrid w:val="0"/>
        <w:spacing w:line="360" w:lineRule="auto"/>
        <w:ind w:left="0" w:leftChars="0" w:firstLine="400" w:firstLineChars="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在食品加工区内就餐的，每次罚款200元。</w:t>
      </w:r>
    </w:p>
    <w:p w14:paraId="719C99DE">
      <w:pPr>
        <w:widowControl/>
        <w:numPr>
          <w:ilvl w:val="0"/>
          <w:numId w:val="19"/>
        </w:numPr>
        <w:adjustRightInd w:val="0"/>
        <w:snapToGrid w:val="0"/>
        <w:spacing w:line="360" w:lineRule="auto"/>
        <w:ind w:left="0" w:leftChars="0" w:firstLine="400" w:firstLineChars="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员工未进行晨、午检，每次罚款200元。</w:t>
      </w:r>
    </w:p>
    <w:p w14:paraId="05128C51">
      <w:pPr>
        <w:widowControl/>
        <w:numPr>
          <w:ilvl w:val="0"/>
          <w:numId w:val="19"/>
        </w:numPr>
        <w:adjustRightInd w:val="0"/>
        <w:snapToGrid w:val="0"/>
        <w:spacing w:line="360" w:lineRule="auto"/>
        <w:ind w:left="0" w:leftChars="0" w:firstLine="400" w:firstLineChars="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员工非食品处理区的服装未与食品处理区的服装明显区分，每次罚款100元。</w:t>
      </w:r>
    </w:p>
    <w:p w14:paraId="13448D6C">
      <w:pPr>
        <w:widowControl/>
        <w:numPr>
          <w:ilvl w:val="0"/>
          <w:numId w:val="19"/>
        </w:numPr>
        <w:adjustRightInd w:val="0"/>
        <w:snapToGrid w:val="0"/>
        <w:spacing w:line="360" w:lineRule="auto"/>
        <w:ind w:left="0" w:leftChars="0" w:firstLine="400" w:firstLineChars="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乙方结算时误刷学生费用，学生投诉且未及时处理的，每次罚款100元。</w:t>
      </w:r>
    </w:p>
    <w:p w14:paraId="46CFACB1">
      <w:pPr>
        <w:widowControl/>
        <w:numPr>
          <w:ilvl w:val="0"/>
          <w:numId w:val="19"/>
        </w:numPr>
        <w:adjustRightInd w:val="0"/>
        <w:snapToGrid w:val="0"/>
        <w:spacing w:line="360" w:lineRule="auto"/>
        <w:ind w:left="0" w:leftChars="0" w:firstLine="400" w:firstLineChars="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员工服务态度差，每被投诉一次经确认情况属实，每次罚款100元。</w:t>
      </w:r>
    </w:p>
    <w:p w14:paraId="32415F10">
      <w:pPr>
        <w:widowControl/>
        <w:numPr>
          <w:ilvl w:val="0"/>
          <w:numId w:val="19"/>
        </w:numPr>
        <w:adjustRightInd w:val="0"/>
        <w:snapToGrid w:val="0"/>
        <w:spacing w:line="360" w:lineRule="auto"/>
        <w:ind w:left="0" w:leftChars="0" w:firstLine="400" w:firstLineChars="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未按规定流程从预进间进入售卖间或专间的，每次罚款100元。</w:t>
      </w:r>
    </w:p>
    <w:p w14:paraId="11B12129">
      <w:pPr>
        <w:widowControl/>
        <w:numPr>
          <w:ilvl w:val="0"/>
          <w:numId w:val="19"/>
        </w:numPr>
        <w:adjustRightInd w:val="0"/>
        <w:snapToGrid w:val="0"/>
        <w:spacing w:line="360" w:lineRule="auto"/>
        <w:ind w:left="0" w:leftChars="0" w:firstLine="400" w:firstLineChars="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未按规范戴口罩、工作帽、穿工作服等，每次罚款100元。</w:t>
      </w:r>
    </w:p>
    <w:p w14:paraId="42F192C6">
      <w:pPr>
        <w:widowControl/>
        <w:numPr>
          <w:ilvl w:val="0"/>
          <w:numId w:val="19"/>
        </w:numPr>
        <w:adjustRightInd w:val="0"/>
        <w:snapToGrid w:val="0"/>
        <w:spacing w:line="360" w:lineRule="auto"/>
        <w:ind w:left="0" w:leftChars="0" w:firstLine="400" w:firstLineChars="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售卖间或专间未按规定更换服装的，每次罚款100元。</w:t>
      </w:r>
    </w:p>
    <w:p w14:paraId="61A8A4C7">
      <w:pPr>
        <w:widowControl/>
        <w:numPr>
          <w:ilvl w:val="0"/>
          <w:numId w:val="19"/>
        </w:numPr>
        <w:adjustRightInd w:val="0"/>
        <w:snapToGrid w:val="0"/>
        <w:spacing w:line="360" w:lineRule="auto"/>
        <w:ind w:left="0" w:leftChars="0" w:firstLine="400" w:firstLineChars="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劳务人员与就餐人员发生争吵的，</w:t>
      </w:r>
      <w:r>
        <w:rPr>
          <w:rFonts w:hint="eastAsia" w:ascii="宋体" w:hAnsi="宋体" w:eastAsia="宋体" w:cs="宋体"/>
          <w:bCs/>
          <w:color w:val="auto"/>
          <w:kern w:val="2"/>
          <w:sz w:val="24"/>
          <w:szCs w:val="24"/>
          <w:highlight w:val="none"/>
          <w:lang w:val="en-US" w:eastAsia="zh-CN" w:bidi="ar-SA"/>
        </w:rPr>
        <w:t>每次罚款100元。</w:t>
      </w:r>
    </w:p>
    <w:p w14:paraId="371575E9">
      <w:pPr>
        <w:widowControl/>
        <w:numPr>
          <w:ilvl w:val="0"/>
          <w:numId w:val="19"/>
        </w:numPr>
        <w:adjustRightInd w:val="0"/>
        <w:snapToGrid w:val="0"/>
        <w:spacing w:line="360" w:lineRule="auto"/>
        <w:ind w:left="0" w:leftChars="0" w:firstLine="400" w:firstLineChars="0"/>
        <w:jc w:val="left"/>
        <w:rPr>
          <w:rFonts w:hint="eastAsia" w:ascii="宋体" w:hAnsi="宋体" w:eastAsia="宋体" w:cs="宋体"/>
          <w:b w:val="0"/>
          <w:bCs w:val="0"/>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lang w:val="en-US" w:eastAsia="zh-CN" w:bidi="ar-SA"/>
        </w:rPr>
        <w:t>乙方的实际操作与餐饮服务食品安全操作规范、乙方的责任、乙方的投标承诺及本合同所规定的指标不符即视为违约，甲方有权向乙方索赔，赔偿数额已有规定的按规定执行，</w:t>
      </w:r>
      <w:r>
        <w:rPr>
          <w:rFonts w:hint="eastAsia" w:ascii="宋体" w:hAnsi="宋体" w:eastAsia="宋体" w:cs="宋体"/>
          <w:color w:val="auto"/>
          <w:kern w:val="2"/>
          <w:sz w:val="24"/>
          <w:szCs w:val="24"/>
          <w:highlight w:val="none"/>
          <w:shd w:val="clear" w:color="auto" w:fill="FFFFFF"/>
          <w:lang w:val="en-US" w:eastAsia="zh-CN" w:bidi="ar-SA"/>
        </w:rPr>
        <w:t>没有具体规定的可按违约程度每次罚款200元，情节严重最高处每次可罚款1000元。</w:t>
      </w:r>
    </w:p>
    <w:p w14:paraId="11CD8203">
      <w:pPr>
        <w:widowControl/>
        <w:numPr>
          <w:ilvl w:val="0"/>
          <w:numId w:val="19"/>
        </w:numPr>
        <w:adjustRightInd w:val="0"/>
        <w:snapToGrid w:val="0"/>
        <w:spacing w:line="360" w:lineRule="auto"/>
        <w:ind w:left="0" w:leftChars="0" w:firstLine="400" w:firstLineChars="0"/>
        <w:jc w:val="left"/>
        <w:rPr>
          <w:rFonts w:ascii="Times New Roman" w:hAnsi="Times New Roman" w:eastAsia="宋体" w:cs="Times New Roman"/>
          <w:color w:val="auto"/>
          <w:kern w:val="2"/>
          <w:sz w:val="24"/>
          <w:szCs w:val="24"/>
          <w:highlight w:val="none"/>
          <w:lang w:val="en-US" w:eastAsia="zh-CN" w:bidi="ar-SA"/>
        </w:rPr>
      </w:pPr>
      <w:r>
        <w:rPr>
          <w:rFonts w:hint="eastAsia" w:ascii="宋体" w:hAnsi="宋体" w:eastAsia="宋体" w:cs="宋体"/>
          <w:b w:val="0"/>
          <w:bCs w:val="0"/>
          <w:strike w:val="0"/>
          <w:dstrike w:val="0"/>
          <w:color w:val="auto"/>
          <w:kern w:val="2"/>
          <w:sz w:val="24"/>
          <w:szCs w:val="24"/>
          <w:highlight w:val="none"/>
          <w:shd w:val="clear" w:color="auto" w:fill="FFFFFF"/>
          <w:lang w:val="en-US" w:eastAsia="zh-CN" w:bidi="ar-SA"/>
        </w:rPr>
        <w:t>其它违反学院各类相关管理规定的，视情况给予处相应的罚款。</w:t>
      </w:r>
    </w:p>
    <w:p w14:paraId="55655295">
      <w:pPr>
        <w:keepNext w:val="0"/>
        <w:keepLines w:val="0"/>
        <w:pageBreakBefore w:val="0"/>
        <w:kinsoku/>
        <w:wordWrap/>
        <w:overflowPunct/>
        <w:topLinePunct w:val="0"/>
        <w:autoSpaceDE/>
        <w:autoSpaceDN/>
        <w:bidi w:val="0"/>
        <w:adjustRightInd/>
        <w:snapToGrid/>
        <w:spacing w:before="75" w:after="75" w:line="420" w:lineRule="exact"/>
        <w:ind w:firstLine="480" w:firstLineChars="200"/>
        <w:textAlignment w:val="auto"/>
        <w:rPr>
          <w:rFonts w:hint="eastAsia" w:ascii="Times New Roman" w:hAnsi="Times New Roman" w:eastAsia="宋体" w:cs="Times New Roman"/>
          <w:b w:val="0"/>
          <w:bCs w:val="0"/>
          <w:color w:val="auto"/>
          <w:kern w:val="2"/>
          <w:sz w:val="24"/>
          <w:szCs w:val="24"/>
          <w:highlight w:val="none"/>
          <w:lang w:val="en-US" w:eastAsia="zh-CN" w:bidi="ar-SA"/>
        </w:rPr>
      </w:pPr>
      <w:r>
        <w:rPr>
          <w:rFonts w:hint="eastAsia" w:cs="Times New Roman"/>
          <w:b w:val="0"/>
          <w:bCs w:val="0"/>
          <w:color w:val="auto"/>
          <w:kern w:val="2"/>
          <w:sz w:val="24"/>
          <w:szCs w:val="24"/>
          <w:highlight w:val="none"/>
          <w:lang w:val="en-US" w:eastAsia="zh-CN" w:bidi="ar-SA"/>
        </w:rPr>
        <w:t>（三）</w:t>
      </w:r>
      <w:r>
        <w:rPr>
          <w:rFonts w:hint="eastAsia" w:ascii="Times New Roman" w:hAnsi="Times New Roman" w:eastAsia="宋体" w:cs="Times New Roman"/>
          <w:b w:val="0"/>
          <w:bCs w:val="0"/>
          <w:color w:val="auto"/>
          <w:kern w:val="2"/>
          <w:sz w:val="24"/>
          <w:szCs w:val="24"/>
          <w:highlight w:val="none"/>
          <w:lang w:val="en-US" w:eastAsia="zh-CN" w:bidi="ar-SA"/>
        </w:rPr>
        <w:t>除招标文件另有规定外，若出现有关法律、法规和规章有强制性规定但招标文件未列明的情形，则投标人应按照有关法律、法规和规章强制性规定执行。</w:t>
      </w:r>
    </w:p>
    <w:p w14:paraId="4C18D9E5">
      <w:pPr>
        <w:pStyle w:val="19"/>
        <w:widowControl/>
        <w:rPr>
          <w:color w:val="auto"/>
          <w:sz w:val="24"/>
          <w:szCs w:val="24"/>
          <w:highlight w:val="none"/>
        </w:rPr>
      </w:pPr>
    </w:p>
    <w:p w14:paraId="6D5E12E3">
      <w:pPr>
        <w:pStyle w:val="19"/>
        <w:widowControl/>
        <w:rPr>
          <w:color w:val="auto"/>
          <w:highlight w:val="none"/>
        </w:rPr>
      </w:pPr>
    </w:p>
    <w:p w14:paraId="3C3E9B85">
      <w:pPr>
        <w:pStyle w:val="19"/>
        <w:widowControl/>
        <w:rPr>
          <w:color w:val="auto"/>
          <w:highlight w:val="none"/>
        </w:rPr>
      </w:pPr>
    </w:p>
    <w:p w14:paraId="20FCADE3">
      <w:pPr>
        <w:pStyle w:val="19"/>
        <w:widowControl/>
        <w:rPr>
          <w:color w:val="auto"/>
          <w:highlight w:val="none"/>
        </w:rPr>
      </w:pPr>
    </w:p>
    <w:p w14:paraId="49456BA8">
      <w:pPr>
        <w:pStyle w:val="19"/>
        <w:widowControl/>
        <w:rPr>
          <w:color w:val="auto"/>
          <w:highlight w:val="none"/>
        </w:rPr>
      </w:pPr>
    </w:p>
    <w:p w14:paraId="29EC5662">
      <w:pPr>
        <w:pStyle w:val="19"/>
        <w:widowControl/>
        <w:spacing w:before="75" w:beforeAutospacing="0" w:after="75" w:afterAutospacing="0"/>
        <w:jc w:val="center"/>
        <w:rPr>
          <w:rStyle w:val="26"/>
          <w:rFonts w:hint="eastAsia" w:ascii="宋体" w:hAnsi="宋体" w:cs="宋体"/>
          <w:color w:val="auto"/>
          <w:sz w:val="31"/>
          <w:szCs w:val="31"/>
          <w:highlight w:val="none"/>
        </w:rPr>
      </w:pPr>
    </w:p>
    <w:p w14:paraId="6B177783">
      <w:pPr>
        <w:pStyle w:val="19"/>
        <w:widowControl/>
        <w:spacing w:before="75" w:beforeAutospacing="0" w:after="75" w:afterAutospacing="0"/>
        <w:jc w:val="center"/>
        <w:rPr>
          <w:rStyle w:val="26"/>
          <w:rFonts w:hint="eastAsia" w:ascii="宋体" w:hAnsi="宋体" w:cs="宋体"/>
          <w:color w:val="auto"/>
          <w:sz w:val="31"/>
          <w:szCs w:val="31"/>
          <w:highlight w:val="none"/>
        </w:rPr>
      </w:pPr>
    </w:p>
    <w:p w14:paraId="0AD0A85B">
      <w:pPr>
        <w:pStyle w:val="19"/>
        <w:widowControl/>
        <w:spacing w:before="75" w:beforeAutospacing="0" w:after="75" w:afterAutospacing="0"/>
        <w:jc w:val="center"/>
        <w:rPr>
          <w:rStyle w:val="26"/>
          <w:rFonts w:hint="eastAsia" w:ascii="宋体" w:hAnsi="宋体" w:cs="宋体"/>
          <w:color w:val="auto"/>
          <w:sz w:val="31"/>
          <w:szCs w:val="31"/>
          <w:highlight w:val="none"/>
        </w:rPr>
      </w:pPr>
    </w:p>
    <w:p w14:paraId="0474FE65">
      <w:pPr>
        <w:pStyle w:val="19"/>
        <w:widowControl/>
        <w:spacing w:before="75" w:beforeAutospacing="0" w:after="75" w:afterAutospacing="0"/>
        <w:jc w:val="center"/>
        <w:rPr>
          <w:rStyle w:val="26"/>
          <w:rFonts w:hint="eastAsia" w:ascii="宋体" w:hAnsi="宋体" w:cs="宋体"/>
          <w:color w:val="auto"/>
          <w:sz w:val="31"/>
          <w:szCs w:val="31"/>
          <w:highlight w:val="none"/>
        </w:rPr>
      </w:pPr>
    </w:p>
    <w:p w14:paraId="44BDCF12">
      <w:pPr>
        <w:pStyle w:val="19"/>
        <w:widowControl/>
        <w:spacing w:before="75" w:beforeAutospacing="0" w:after="75" w:afterAutospacing="0"/>
        <w:jc w:val="center"/>
        <w:rPr>
          <w:rStyle w:val="26"/>
          <w:rFonts w:hint="eastAsia" w:ascii="宋体" w:hAnsi="宋体" w:cs="宋体"/>
          <w:color w:val="auto"/>
          <w:sz w:val="31"/>
          <w:szCs w:val="31"/>
          <w:highlight w:val="none"/>
        </w:rPr>
      </w:pPr>
    </w:p>
    <w:p w14:paraId="780196A6">
      <w:pPr>
        <w:pStyle w:val="19"/>
        <w:widowControl/>
        <w:spacing w:before="75" w:beforeAutospacing="0" w:after="75" w:afterAutospacing="0"/>
        <w:jc w:val="center"/>
        <w:rPr>
          <w:color w:val="auto"/>
          <w:highlight w:val="none"/>
        </w:rPr>
      </w:pPr>
      <w:bookmarkStart w:id="8" w:name="_GoBack"/>
      <w:bookmarkEnd w:id="8"/>
      <w:r>
        <w:rPr>
          <w:rStyle w:val="26"/>
          <w:rFonts w:hint="eastAsia" w:ascii="宋体" w:hAnsi="宋体" w:cs="宋体"/>
          <w:color w:val="auto"/>
          <w:sz w:val="31"/>
          <w:szCs w:val="31"/>
          <w:highlight w:val="none"/>
        </w:rPr>
        <w:t>第六章   政府采购合同（参考文本）</w:t>
      </w:r>
    </w:p>
    <w:p w14:paraId="3A0F6CDC">
      <w:pPr>
        <w:pStyle w:val="19"/>
        <w:widowControl/>
        <w:spacing w:before="75" w:beforeAutospacing="0" w:after="75" w:afterAutospacing="0"/>
        <w:rPr>
          <w:color w:val="auto"/>
          <w:highlight w:val="none"/>
        </w:rPr>
      </w:pPr>
      <w:r>
        <w:rPr>
          <w:rFonts w:hint="eastAsia" w:ascii="宋体" w:hAnsi="宋体" w:cs="宋体"/>
          <w:color w:val="auto"/>
          <w:highlight w:val="none"/>
        </w:rPr>
        <w:t> </w:t>
      </w:r>
    </w:p>
    <w:p w14:paraId="2EFEBD82">
      <w:pPr>
        <w:pStyle w:val="33"/>
        <w:jc w:val="center"/>
        <w:outlineLvl w:val="1"/>
        <w:rPr>
          <w:rFonts w:hint="eastAsia" w:ascii="宋体" w:hAnsi="宋体" w:eastAsia="宋体" w:cs="宋体"/>
          <w:color w:val="auto"/>
          <w:highlight w:val="none"/>
        </w:rPr>
      </w:pPr>
      <w:r>
        <w:rPr>
          <w:rFonts w:hint="eastAsia" w:ascii="宋体" w:hAnsi="宋体" w:eastAsia="宋体" w:cs="宋体"/>
          <w:b/>
          <w:color w:val="auto"/>
          <w:sz w:val="36"/>
          <w:highlight w:val="none"/>
        </w:rPr>
        <w:t>政府采购合同（服务类）</w:t>
      </w:r>
    </w:p>
    <w:p w14:paraId="36C835F2">
      <w:pPr>
        <w:pStyle w:val="33"/>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编制说明</w:t>
      </w:r>
      <w:r>
        <w:rPr>
          <w:rFonts w:hint="eastAsia" w:ascii="宋体" w:hAnsi="宋体" w:eastAsia="宋体" w:cs="宋体"/>
          <w:color w:val="auto"/>
          <w:sz w:val="24"/>
          <w:szCs w:val="24"/>
          <w:highlight w:val="none"/>
        </w:rPr>
        <w:br w:type="textWrapping"/>
      </w:r>
    </w:p>
    <w:p w14:paraId="7ADEB96E">
      <w:pPr>
        <w:pStyle w:val="33"/>
        <w:jc w:val="left"/>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1.签订合同应遵守《中华人民共和国政府采购法》及其实施条例、《中华人民共和国民法典》等法律法规及其他有关规定。</w:t>
      </w:r>
    </w:p>
    <w:p w14:paraId="21B0EBB4">
      <w:pPr>
        <w:pStyle w:val="33"/>
        <w:jc w:val="left"/>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2.签订合同时，采购人与中标(成交)人应结合采购文件规定填列相应内容。采购文件已有约定的，双方均不得对约定进行变更或调整；采购文件未作规定的，双方可通过友好协商进行约定。</w:t>
      </w:r>
    </w:p>
    <w:p w14:paraId="2D577C06">
      <w:pPr>
        <w:pStyle w:val="33"/>
        <w:jc w:val="left"/>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3.政府有关主管部门对若干合同有规范文本的，可使用相应合同文本。</w:t>
      </w:r>
    </w:p>
    <w:p w14:paraId="4D728BE1">
      <w:pPr>
        <w:pStyle w:val="33"/>
        <w:jc w:val="left"/>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4.本合同范本仅供参考，采购人应当根据采购项目的实际需求对合同条款进行修改、补充。</w:t>
      </w:r>
    </w:p>
    <w:p w14:paraId="5811C4D2">
      <w:pPr>
        <w:pStyle w:val="33"/>
        <w:ind w:left="0"/>
        <w:jc w:val="left"/>
        <w:rPr>
          <w:rFonts w:hint="eastAsia" w:ascii="宋体" w:hAnsi="宋体" w:eastAsia="宋体" w:cs="宋体"/>
          <w:color w:val="auto"/>
          <w:sz w:val="24"/>
          <w:szCs w:val="24"/>
          <w:highlight w:val="none"/>
        </w:rPr>
      </w:pPr>
    </w:p>
    <w:p w14:paraId="6B06CC32">
      <w:pPr>
        <w:pStyle w:val="3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p>
    <w:p w14:paraId="720BE864">
      <w:pPr>
        <w:pStyle w:val="3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住所地：________________</w:t>
      </w:r>
    </w:p>
    <w:p w14:paraId="56C6B23A">
      <w:pPr>
        <w:pStyle w:val="3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联系人：________________</w:t>
      </w:r>
    </w:p>
    <w:p w14:paraId="590BA0C0">
      <w:pPr>
        <w:pStyle w:val="3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联系电话：______________</w:t>
      </w:r>
    </w:p>
    <w:p w14:paraId="1BDF3218">
      <w:pPr>
        <w:pStyle w:val="3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传真：________________</w:t>
      </w:r>
    </w:p>
    <w:p w14:paraId="5B4CCB57">
      <w:pPr>
        <w:pStyle w:val="3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电子邮箱：________________</w:t>
      </w:r>
      <w:r>
        <w:rPr>
          <w:rFonts w:hint="eastAsia" w:ascii="宋体" w:hAnsi="宋体" w:eastAsia="宋体" w:cs="宋体"/>
          <w:color w:val="auto"/>
          <w:sz w:val="24"/>
          <w:szCs w:val="24"/>
          <w:highlight w:val="none"/>
        </w:rPr>
        <w:br w:type="textWrapping"/>
      </w:r>
    </w:p>
    <w:p w14:paraId="5AD356AC">
      <w:pPr>
        <w:pStyle w:val="3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乙方：________________</w:t>
      </w:r>
    </w:p>
    <w:p w14:paraId="6F53A3F0">
      <w:pPr>
        <w:pStyle w:val="3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住所地：________________</w:t>
      </w:r>
    </w:p>
    <w:p w14:paraId="01B1BDD9">
      <w:pPr>
        <w:pStyle w:val="3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联系人：______________</w:t>
      </w:r>
    </w:p>
    <w:p w14:paraId="5B38D97C">
      <w:pPr>
        <w:pStyle w:val="3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联系电话：______________</w:t>
      </w:r>
    </w:p>
    <w:p w14:paraId="1F51CB3E">
      <w:pPr>
        <w:pStyle w:val="3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传真：________________</w:t>
      </w:r>
    </w:p>
    <w:p w14:paraId="4FCEEEC2">
      <w:pPr>
        <w:pStyle w:val="3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电子邮箱：________________</w:t>
      </w:r>
    </w:p>
    <w:p w14:paraId="56188FED">
      <w:pPr>
        <w:pStyle w:val="3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根据项目编号为___________的__________项目（以下简称：“本项目”）的采购结果，遵循平等、自愿、公平和诚实信用的原则，双方签署本合同，具体内容如下：</w:t>
      </w:r>
    </w:p>
    <w:p w14:paraId="5D5ABA24">
      <w:pPr>
        <w:pStyle w:val="33"/>
        <w:jc w:val="left"/>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一、合同组成部分</w:t>
      </w:r>
    </w:p>
    <w:p w14:paraId="289D3440">
      <w:pPr>
        <w:pStyle w:val="3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1.1本合同条款及附件；</w:t>
      </w:r>
    </w:p>
    <w:p w14:paraId="036674A3">
      <w:pPr>
        <w:pStyle w:val="3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1.2采购文件及其附件、补充文件；</w:t>
      </w:r>
    </w:p>
    <w:p w14:paraId="3E8331FB">
      <w:pPr>
        <w:pStyle w:val="3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1.3乙方的响应文件及其附件、补充文件；</w:t>
      </w:r>
    </w:p>
    <w:p w14:paraId="35C4F822">
      <w:pPr>
        <w:pStyle w:val="3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1.4其他文件或材料：</w:t>
      </w:r>
    </w:p>
    <w:p w14:paraId="2B82B691">
      <w:pPr>
        <w:pStyle w:val="33"/>
        <w:jc w:val="left"/>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二、合同标的</w:t>
      </w:r>
      <w:r>
        <w:rPr>
          <w:rFonts w:hint="eastAsia" w:ascii="宋体" w:hAnsi="宋体" w:eastAsia="宋体" w:cs="宋体"/>
          <w:color w:val="auto"/>
          <w:sz w:val="24"/>
          <w:szCs w:val="24"/>
          <w:highlight w:val="none"/>
        </w:rPr>
        <w:br w:type="textWrapping"/>
      </w:r>
    </w:p>
    <w:p w14:paraId="44F348E2">
      <w:pPr>
        <w:pStyle w:val="33"/>
        <w:jc w:val="left"/>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三、价格形式及合同价款</w:t>
      </w:r>
    </w:p>
    <w:p w14:paraId="4FA29A66">
      <w:pPr>
        <w:pStyle w:val="33"/>
        <w:jc w:val="left"/>
        <w:outlineLvl w:val="4"/>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3.1价格形式</w:t>
      </w:r>
    </w:p>
    <w:p w14:paraId="0B2F6655">
      <w:pPr>
        <w:pStyle w:val="33"/>
        <w:jc w:val="left"/>
        <w:rPr>
          <w:rFonts w:hint="eastAsia" w:ascii="宋体" w:hAnsi="宋体" w:eastAsia="宋体" w:cs="宋体"/>
          <w:color w:val="auto"/>
          <w:sz w:val="24"/>
          <w:szCs w:val="24"/>
          <w:highlight w:val="none"/>
        </w:rPr>
      </w:pPr>
    </w:p>
    <w:p w14:paraId="070B79D8">
      <w:pPr>
        <w:pStyle w:val="33"/>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固定单价合同。完成约定服务事项的含税合同单价为：人民币（大写）元（￥______元）。</w:t>
      </w:r>
    </w:p>
    <w:p w14:paraId="10FAAAB7">
      <w:pPr>
        <w:pStyle w:val="33"/>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固定总价合同。完成约定服务事项的含税服务费用为：人民币（大写）元（￥_______元）。</w:t>
      </w:r>
    </w:p>
    <w:p w14:paraId="4A5D678F">
      <w:pPr>
        <w:pStyle w:val="33"/>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其他方式。</w:t>
      </w:r>
    </w:p>
    <w:p w14:paraId="6373129B">
      <w:pPr>
        <w:pStyle w:val="33"/>
        <w:spacing w:line="300" w:lineRule="auto"/>
        <w:jc w:val="left"/>
        <w:rPr>
          <w:rFonts w:hint="eastAsia" w:ascii="宋体" w:hAnsi="宋体" w:eastAsia="宋体" w:cs="宋体"/>
          <w:color w:val="auto"/>
          <w:sz w:val="24"/>
          <w:szCs w:val="24"/>
          <w:highlight w:val="none"/>
        </w:rPr>
      </w:pPr>
    </w:p>
    <w:p w14:paraId="34F2D13C">
      <w:pPr>
        <w:pStyle w:val="33"/>
        <w:jc w:val="left"/>
        <w:outlineLvl w:val="4"/>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3.2合同价款包含范围</w:t>
      </w:r>
    </w:p>
    <w:p w14:paraId="52B5C75E">
      <w:pPr>
        <w:pStyle w:val="33"/>
        <w:jc w:val="left"/>
        <w:outlineLvl w:val="4"/>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3.3其他需说明的事项：</w:t>
      </w:r>
    </w:p>
    <w:p w14:paraId="55270091">
      <w:pPr>
        <w:pStyle w:val="33"/>
        <w:jc w:val="left"/>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四、合同标的及服务范围、地点和时间</w:t>
      </w:r>
    </w:p>
    <w:p w14:paraId="09CE79A5">
      <w:pPr>
        <w:pStyle w:val="3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4.1项目名称：_____________</w:t>
      </w:r>
    </w:p>
    <w:p w14:paraId="1F477B8F">
      <w:pPr>
        <w:pStyle w:val="3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4.2服务范围：_____________</w:t>
      </w:r>
    </w:p>
    <w:p w14:paraId="1049C421">
      <w:pPr>
        <w:pStyle w:val="3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4.3服务地点：_____________</w:t>
      </w:r>
    </w:p>
    <w:p w14:paraId="7DBF2230">
      <w:pPr>
        <w:pStyle w:val="3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4.4服务完成时间：_____________</w:t>
      </w:r>
    </w:p>
    <w:p w14:paraId="76124186">
      <w:pPr>
        <w:pStyle w:val="33"/>
        <w:jc w:val="left"/>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五、服务内容、质量标准和要求</w:t>
      </w:r>
    </w:p>
    <w:p w14:paraId="3A9B4DC6">
      <w:pPr>
        <w:pStyle w:val="3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5.1服务工作量的计量方式：_____________</w:t>
      </w:r>
    </w:p>
    <w:p w14:paraId="6A33887A">
      <w:pPr>
        <w:pStyle w:val="3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5.2服务内容：_____________</w:t>
      </w:r>
    </w:p>
    <w:p w14:paraId="1D23D5B1">
      <w:pPr>
        <w:pStyle w:val="3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5.3技术保障、服务人员组成、所涉及的货物的质量标准：</w:t>
      </w:r>
    </w:p>
    <w:p w14:paraId="70FC4EF7">
      <w:pPr>
        <w:pStyle w:val="3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（1）服务技术保障：_____________</w:t>
      </w:r>
    </w:p>
    <w:p w14:paraId="06D33966">
      <w:pPr>
        <w:pStyle w:val="3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（2）服务人员组成：_____________</w:t>
      </w:r>
    </w:p>
    <w:p w14:paraId="699F45B4">
      <w:pPr>
        <w:pStyle w:val="3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（3）服务设备及物资投入及质量标准：_____________</w:t>
      </w:r>
    </w:p>
    <w:p w14:paraId="2D107512">
      <w:pPr>
        <w:pStyle w:val="3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5.4服务质量标准及要求：</w:t>
      </w:r>
    </w:p>
    <w:p w14:paraId="252B07D8">
      <w:pPr>
        <w:pStyle w:val="3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6511602F">
      <w:pPr>
        <w:pStyle w:val="3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012269B7">
      <w:pPr>
        <w:pStyle w:val="3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5.4.3其他要求：</w:t>
      </w:r>
    </w:p>
    <w:p w14:paraId="135F81A4">
      <w:pPr>
        <w:pStyle w:val="33"/>
        <w:jc w:val="left"/>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六、服务履约验收或考核</w:t>
      </w:r>
    </w:p>
    <w:p w14:paraId="08AC426F">
      <w:pPr>
        <w:pStyle w:val="3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甲方按照采购文件、乙方的投标或响应文件和本协议约定的服务内容及质量要求按次组织对乙方所提供服务进行验收，或定期进行服务考核，并根据验收或考核结果支付服务费用。具体如下：</w:t>
      </w:r>
    </w:p>
    <w:p w14:paraId="5CACEADA">
      <w:pPr>
        <w:pStyle w:val="33"/>
        <w:jc w:val="left"/>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七、甲方的权利与义务</w:t>
      </w:r>
    </w:p>
    <w:p w14:paraId="57FBD498">
      <w:pPr>
        <w:pStyle w:val="3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7.1甲方委派___________为联系人，联系方式___________，负责与乙方联系。如甲方联系人发生变更，甲方应书面告知乙方。</w:t>
      </w:r>
    </w:p>
    <w:p w14:paraId="0E9597AA">
      <w:pPr>
        <w:pStyle w:val="3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7.2甲方应为乙方开展服务工作提供必要的工作条件，以及对内对外沟通和配合协助。</w:t>
      </w:r>
    </w:p>
    <w:p w14:paraId="510A71D4">
      <w:pPr>
        <w:pStyle w:val="3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7.3甲方应于___________之前提供服务所需的全部资料，并对所提供材料真实性、完整性、合法性负责。</w:t>
      </w:r>
    </w:p>
    <w:p w14:paraId="1A0FBE5D">
      <w:pPr>
        <w:pStyle w:val="3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3BDCC746">
      <w:pPr>
        <w:pStyle w:val="3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7.5甲方应按本合同约定及时足额支付服务费用及相关费用。</w:t>
      </w:r>
    </w:p>
    <w:p w14:paraId="228912C6">
      <w:pPr>
        <w:pStyle w:val="3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7.6其他</w:t>
      </w:r>
    </w:p>
    <w:p w14:paraId="144884B9">
      <w:pPr>
        <w:pStyle w:val="33"/>
        <w:jc w:val="left"/>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八、乙方的权利与义务</w:t>
      </w:r>
    </w:p>
    <w:p w14:paraId="65DF3EC9">
      <w:pPr>
        <w:pStyle w:val="3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8.1乙方委派___________为联系人，联系方式___________，负责与甲方联系。如乙方联系人发生变更，乙方应书面告知甲方</w:t>
      </w:r>
    </w:p>
    <w:p w14:paraId="5DC3A4FC">
      <w:pPr>
        <w:pStyle w:val="3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8.2乙方应国家法律法规和{{乙方的权利与义务-响应要求-福建}}等要求开展{{乙方的权利与义务-开展服务-福建}}服务；</w:t>
      </w:r>
    </w:p>
    <w:p w14:paraId="6502D04A">
      <w:pPr>
        <w:pStyle w:val="3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8.3乙方及其所委派服务人员应按标准或协议约定方式出具服务成果，对并其真实性和合法性负法律责任；</w:t>
      </w:r>
    </w:p>
    <w:p w14:paraId="5572F8D6">
      <w:pPr>
        <w:pStyle w:val="3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8.4乙方对执行业务过程中知悉的国家秘密或甲方的商业秘密保密。除非国家法律法规及行业规范另有规定,或经甲方同意,乙方不得将其知悉的商业秘密和甲方提供的资料对外泄露。</w:t>
      </w:r>
    </w:p>
    <w:p w14:paraId="5B752EEA">
      <w:pPr>
        <w:pStyle w:val="3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8.5乙方对服务业务应当单独建档，保存完整的工作记录，并对服务过程使用和暂存甲方的文件、材料和财物应当妥善保管。</w:t>
      </w:r>
    </w:p>
    <w:p w14:paraId="6E31B80F">
      <w:pPr>
        <w:pStyle w:val="3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8.6服务工作结束后,乙方将根据情况对甲方服务相关的管理制度及其他事项等提出改进意见。</w:t>
      </w:r>
    </w:p>
    <w:p w14:paraId="7133EFB4">
      <w:pPr>
        <w:pStyle w:val="3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8.7其他</w:t>
      </w:r>
    </w:p>
    <w:p w14:paraId="39BF5768">
      <w:pPr>
        <w:pStyle w:val="33"/>
        <w:jc w:val="left"/>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九、资金支付方式、时间和条件</w:t>
      </w:r>
      <w:r>
        <w:rPr>
          <w:rFonts w:hint="eastAsia" w:ascii="宋体" w:hAnsi="宋体" w:eastAsia="宋体" w:cs="宋体"/>
          <w:color w:val="auto"/>
          <w:sz w:val="24"/>
          <w:szCs w:val="24"/>
          <w:highlight w:val="none"/>
        </w:rPr>
        <w:br w:type="textWrapping"/>
      </w:r>
    </w:p>
    <w:p w14:paraId="5DD5AE97">
      <w:pPr>
        <w:pStyle w:val="33"/>
        <w:jc w:val="left"/>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十、履约保证金</w:t>
      </w:r>
    </w:p>
    <w:p w14:paraId="54E980D2">
      <w:pPr>
        <w:pStyle w:val="3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□有，□无。具体如下：（按照采购文件规定填写）。</w:t>
      </w:r>
    </w:p>
    <w:p w14:paraId="7BF8AECD">
      <w:pPr>
        <w:pStyle w:val="3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10.1乙方向甲方缴纳人民币 / 元作为本合同的履约保证金。</w:t>
      </w:r>
    </w:p>
    <w:p w14:paraId="6E307463">
      <w:pPr>
        <w:pStyle w:val="3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10.2履约保证金缴纳形式：支票/汇票/电汇/保函等非现金形式。</w:t>
      </w:r>
    </w:p>
    <w:p w14:paraId="4707F1B5">
      <w:pPr>
        <w:pStyle w:val="3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10.3履约保证金合同履行完毕前有效，合同履行完毕后一次性结清退还。</w:t>
      </w:r>
    </w:p>
    <w:p w14:paraId="317BB835">
      <w:pPr>
        <w:pStyle w:val="33"/>
        <w:jc w:val="left"/>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十一、合同期限</w:t>
      </w:r>
      <w:r>
        <w:rPr>
          <w:rFonts w:hint="eastAsia" w:ascii="宋体" w:hAnsi="宋体" w:eastAsia="宋体" w:cs="宋体"/>
          <w:color w:val="auto"/>
          <w:sz w:val="24"/>
          <w:szCs w:val="24"/>
          <w:highlight w:val="none"/>
        </w:rPr>
        <w:br w:type="textWrapping"/>
      </w:r>
    </w:p>
    <w:p w14:paraId="78FEA233">
      <w:pPr>
        <w:pStyle w:val="33"/>
        <w:jc w:val="left"/>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十二、保密条款</w:t>
      </w:r>
    </w:p>
    <w:p w14:paraId="68BC3756">
      <w:pPr>
        <w:pStyle w:val="3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12.1对于在采购和合同履行过程中所获悉的属于保密的内容，甲、乙双方均负有保密义务。</w:t>
      </w:r>
    </w:p>
    <w:p w14:paraId="18D9275B">
      <w:pPr>
        <w:pStyle w:val="3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12.2其他</w:t>
      </w:r>
    </w:p>
    <w:p w14:paraId="31C8CCFB">
      <w:pPr>
        <w:pStyle w:val="33"/>
        <w:jc w:val="left"/>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十三、违约责任</w:t>
      </w:r>
    </w:p>
    <w:p w14:paraId="159DC2BF">
      <w:pPr>
        <w:pStyle w:val="3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13.1甲方违约责任</w:t>
      </w:r>
    </w:p>
    <w:p w14:paraId="03212534">
      <w:pPr>
        <w:pStyle w:val="3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（1）甲方无正当理由拒绝乙方提供合格服务的，甲方应向乙方偿付所拒收合同总价___的违约金</w:t>
      </w:r>
    </w:p>
    <w:p w14:paraId="47BE652D">
      <w:pPr>
        <w:pStyle w:val="3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（2）甲方无故逾期验收和办理合同款项支付手续的,甲方应按逾期付款总额每日____向乙方支付违约金。</w:t>
      </w:r>
    </w:p>
    <w:p w14:paraId="74DF97F5">
      <w:pPr>
        <w:pStyle w:val="3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（3）其他违约情形</w:t>
      </w:r>
    </w:p>
    <w:p w14:paraId="49234BEE">
      <w:pPr>
        <w:pStyle w:val="3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13.2乙方违约责任</w:t>
      </w:r>
    </w:p>
    <w:p w14:paraId="7CCF8D25">
      <w:pPr>
        <w:pStyle w:val="3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（1）乙方逾期履行服务的，乙方应按逾期交付总额每日________向甲方支付违约金，由甲方从待付货款中扣除。乙方无正当理由逾期超过约定日期________仍不能交付的，视为“乙方不按合同约定履约”；</w:t>
      </w:r>
    </w:p>
    <w:p w14:paraId="7791D59E">
      <w:pPr>
        <w:pStyle w:val="3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（2）乙方所履行的服务不符合合同规定及《采购文件》规定标准的，甲方有权拒绝，乙方愿意整改但逾期履行的，按乙方逾期履行处理。乙方拒绝整改的，视为“乙方不按合同约定履约”</w:t>
      </w:r>
    </w:p>
    <w:p w14:paraId="708851C0">
      <w:pPr>
        <w:pStyle w:val="3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（3）乙方不按合同约定履约的，甲方可以解除采购合同，并对乙方已缴纳的履约保证金作“不予退还”处理。同时，乙方须按以下约定向甲方支付违约金：</w:t>
      </w:r>
    </w:p>
    <w:p w14:paraId="7519677B">
      <w:pPr>
        <w:pStyle w:val="3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（4）其他违约情形</w:t>
      </w:r>
    </w:p>
    <w:p w14:paraId="19D3A360">
      <w:pPr>
        <w:pStyle w:val="33"/>
        <w:jc w:val="left"/>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十四、不可抗力事件处理</w:t>
      </w:r>
    </w:p>
    <w:p w14:paraId="76CC37F7">
      <w:pPr>
        <w:pStyle w:val="3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6C02E03A">
      <w:pPr>
        <w:pStyle w:val="33"/>
        <w:jc w:val="left"/>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十五、解决争议的方法</w:t>
      </w:r>
    </w:p>
    <w:p w14:paraId="47968738">
      <w:pPr>
        <w:pStyle w:val="3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15.1甲、乙双方协商解决。</w:t>
      </w:r>
    </w:p>
    <w:p w14:paraId="5A827389">
      <w:pPr>
        <w:pStyle w:val="3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15.2若协商解决不成，则通过下列途径之一解决：</w:t>
      </w:r>
    </w:p>
    <w:p w14:paraId="5E1B7018">
      <w:pPr>
        <w:pStyle w:val="33"/>
        <w:jc w:val="left"/>
        <w:rPr>
          <w:rFonts w:hint="eastAsia" w:ascii="宋体" w:hAnsi="宋体" w:eastAsia="宋体" w:cs="宋体"/>
          <w:color w:val="auto"/>
          <w:sz w:val="24"/>
          <w:szCs w:val="24"/>
          <w:highlight w:val="none"/>
        </w:rPr>
      </w:pPr>
    </w:p>
    <w:p w14:paraId="5BF67784">
      <w:pPr>
        <w:pStyle w:val="33"/>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□提交仲裁委员会仲裁，具体如下：</w:t>
      </w:r>
    </w:p>
    <w:p w14:paraId="02775FD3">
      <w:pPr>
        <w:pStyle w:val="33"/>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□向人民法院提起诉讼，具体如下：</w:t>
      </w:r>
    </w:p>
    <w:p w14:paraId="318CF0C0">
      <w:pPr>
        <w:pStyle w:val="33"/>
        <w:jc w:val="left"/>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十六、合同其他条款</w:t>
      </w:r>
      <w:r>
        <w:rPr>
          <w:rFonts w:hint="eastAsia" w:ascii="宋体" w:hAnsi="宋体" w:eastAsia="宋体" w:cs="宋体"/>
          <w:color w:val="auto"/>
          <w:sz w:val="24"/>
          <w:szCs w:val="24"/>
          <w:highlight w:val="none"/>
        </w:rPr>
        <w:br w:type="textWrapping"/>
      </w:r>
    </w:p>
    <w:p w14:paraId="142C6934">
      <w:pPr>
        <w:pStyle w:val="33"/>
        <w:jc w:val="left"/>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十七、其他约定</w:t>
      </w:r>
    </w:p>
    <w:p w14:paraId="4D281C15">
      <w:pPr>
        <w:pStyle w:val="3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17.1合同文件与本合同具有同等法律效力。</w:t>
      </w:r>
    </w:p>
    <w:p w14:paraId="7C46FC7E">
      <w:pPr>
        <w:pStyle w:val="3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17.2合同生效：合同经双方法定代表人或委托代理人签字并加盖单位公章后生效。</w:t>
      </w:r>
    </w:p>
    <w:p w14:paraId="64709CE5">
      <w:pPr>
        <w:pStyle w:val="3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17.3本合同未尽事宜，遵照《中华人民共和国民法典》有关条文执行。</w:t>
      </w:r>
    </w:p>
    <w:p w14:paraId="5B099731">
      <w:pPr>
        <w:pStyle w:val="33"/>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17.4本合同正本一式_______份，具有同等法律效力，甲方、乙方各执_______份；副本_______份</w:t>
      </w:r>
      <w:r>
        <w:rPr>
          <w:rFonts w:hint="eastAsia" w:ascii="宋体" w:hAnsi="宋体" w:eastAsia="宋体" w:cs="宋体"/>
          <w:color w:val="auto"/>
          <w:sz w:val="24"/>
          <w:szCs w:val="24"/>
          <w:highlight w:val="none"/>
          <w:lang w:eastAsia="zh-CN"/>
        </w:rPr>
        <w:t>。</w:t>
      </w:r>
    </w:p>
    <w:p w14:paraId="4CC0B231">
      <w:pPr>
        <w:pStyle w:val="3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17.5本合同已用于政府采购合同融资，为本项目提供合同融资的金融机构为：_______，甲乙双方应当按照融资合同的约定进行资金使用及款项支付。</w:t>
      </w:r>
    </w:p>
    <w:p w14:paraId="4AB1953E">
      <w:pPr>
        <w:pStyle w:val="3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中标（成交）供应商应于采购合同签订之日起_______内，向发放政采贷的金融机构提交政府采购中标（成交）通知书和政府采购合同，贷款金额以政府采购合同金额为限。</w:t>
      </w:r>
    </w:p>
    <w:p w14:paraId="5216B895">
      <w:pPr>
        <w:pStyle w:val="3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17.6其他</w:t>
      </w:r>
    </w:p>
    <w:p w14:paraId="0FE4A46D">
      <w:pPr>
        <w:pStyle w:val="33"/>
        <w:jc w:val="left"/>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十八、合同附件</w:t>
      </w:r>
    </w:p>
    <w:p w14:paraId="2BA2CA25">
      <w:pPr>
        <w:pStyle w:val="33"/>
        <w:jc w:val="left"/>
        <w:rPr>
          <w:rFonts w:hint="eastAsia" w:ascii="宋体" w:hAnsi="宋体" w:eastAsia="宋体" w:cs="宋体"/>
          <w:color w:val="auto"/>
          <w:sz w:val="24"/>
          <w:szCs w:val="24"/>
          <w:highlight w:val="none"/>
        </w:rPr>
      </w:pPr>
    </w:p>
    <w:p w14:paraId="69E9C2F6">
      <w:pPr>
        <w:pStyle w:val="3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甲方（采购人）：</w:t>
      </w:r>
    </w:p>
    <w:p w14:paraId="2A8EC8A9">
      <w:pPr>
        <w:pStyle w:val="3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法定（授权）代表人：</w:t>
      </w:r>
    </w:p>
    <w:p w14:paraId="61CB69E3">
      <w:pPr>
        <w:pStyle w:val="3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纳税人识别号：</w:t>
      </w:r>
    </w:p>
    <w:p w14:paraId="3DD78A27">
      <w:pPr>
        <w:pStyle w:val="3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p w14:paraId="5CEDC950">
      <w:pPr>
        <w:pStyle w:val="3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p w14:paraId="4B9BE509">
      <w:pPr>
        <w:pStyle w:val="33"/>
        <w:spacing w:after="375"/>
        <w:jc w:val="left"/>
        <w:rPr>
          <w:rFonts w:hint="eastAsia" w:ascii="宋体" w:hAnsi="宋体" w:eastAsia="宋体" w:cs="宋体"/>
          <w:color w:val="auto"/>
          <w:sz w:val="24"/>
          <w:szCs w:val="24"/>
          <w:highlight w:val="none"/>
        </w:rPr>
      </w:pPr>
    </w:p>
    <w:p w14:paraId="19F0760D">
      <w:pPr>
        <w:pStyle w:val="3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乙方（中标或成交人）：</w:t>
      </w:r>
    </w:p>
    <w:p w14:paraId="1B80B293">
      <w:pPr>
        <w:pStyle w:val="3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法定（授权）代表人：</w:t>
      </w:r>
    </w:p>
    <w:p w14:paraId="04EE0855">
      <w:pPr>
        <w:pStyle w:val="3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纳税人识别号：</w:t>
      </w:r>
    </w:p>
    <w:p w14:paraId="5010CE87">
      <w:pPr>
        <w:pStyle w:val="3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p w14:paraId="38356A9C">
      <w:pPr>
        <w:pStyle w:val="3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p w14:paraId="5852F49F">
      <w:pPr>
        <w:pStyle w:val="33"/>
        <w:jc w:val="left"/>
        <w:rPr>
          <w:rFonts w:hint="eastAsia" w:ascii="宋体" w:hAnsi="宋体" w:eastAsia="宋体" w:cs="宋体"/>
          <w:color w:val="auto"/>
          <w:sz w:val="24"/>
          <w:szCs w:val="24"/>
          <w:highlight w:val="none"/>
        </w:rPr>
      </w:pPr>
    </w:p>
    <w:p w14:paraId="62798153">
      <w:pPr>
        <w:pStyle w:val="3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签订地点：_____________</w:t>
      </w:r>
    </w:p>
    <w:p w14:paraId="2A3AFB2A">
      <w:pPr>
        <w:pStyle w:val="3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签订日期：____年___月___日</w:t>
      </w:r>
    </w:p>
    <w:p w14:paraId="36E35733">
      <w:pPr>
        <w:pStyle w:val="33"/>
        <w:jc w:val="both"/>
        <w:rPr>
          <w:rFonts w:hint="eastAsia" w:ascii="宋体" w:hAnsi="宋体" w:eastAsia="宋体" w:cs="宋体"/>
          <w:color w:val="auto"/>
          <w:sz w:val="24"/>
          <w:szCs w:val="24"/>
          <w:highlight w:val="none"/>
        </w:rPr>
      </w:pPr>
    </w:p>
    <w:p w14:paraId="63589956">
      <w:pPr>
        <w:pStyle w:val="19"/>
        <w:widowControl/>
        <w:spacing w:before="75" w:beforeAutospacing="0" w:after="75" w:afterAutospacing="0"/>
        <w:jc w:val="center"/>
        <w:rPr>
          <w:rStyle w:val="26"/>
          <w:rFonts w:hint="eastAsia" w:ascii="宋体" w:hAnsi="宋体" w:cs="宋体"/>
          <w:color w:val="auto"/>
          <w:sz w:val="31"/>
          <w:szCs w:val="31"/>
          <w:highlight w:val="none"/>
        </w:rPr>
      </w:pPr>
    </w:p>
    <w:p w14:paraId="3E4539FD">
      <w:pPr>
        <w:pStyle w:val="19"/>
        <w:widowControl/>
        <w:spacing w:before="75" w:beforeAutospacing="0" w:after="75" w:afterAutospacing="0"/>
        <w:jc w:val="center"/>
        <w:rPr>
          <w:color w:val="auto"/>
          <w:highlight w:val="none"/>
        </w:rPr>
      </w:pPr>
      <w:r>
        <w:rPr>
          <w:rStyle w:val="26"/>
          <w:rFonts w:hint="eastAsia" w:ascii="宋体" w:hAnsi="宋体" w:cs="宋体"/>
          <w:color w:val="auto"/>
          <w:sz w:val="31"/>
          <w:szCs w:val="31"/>
          <w:highlight w:val="none"/>
        </w:rPr>
        <w:t>第七章   投标文件格式</w:t>
      </w:r>
    </w:p>
    <w:p w14:paraId="4B652FEC">
      <w:pPr>
        <w:pStyle w:val="19"/>
        <w:widowControl/>
        <w:jc w:val="center"/>
        <w:rPr>
          <w:color w:val="auto"/>
          <w:highlight w:val="none"/>
        </w:rPr>
      </w:pPr>
      <w:r>
        <w:rPr>
          <w:rStyle w:val="26"/>
          <w:rFonts w:hint="eastAsia" w:ascii="宋体" w:hAnsi="宋体" w:cs="宋体"/>
          <w:color w:val="auto"/>
          <w:highlight w:val="none"/>
        </w:rPr>
        <w:t>编制说明</w:t>
      </w:r>
    </w:p>
    <w:p w14:paraId="1D812F43">
      <w:pPr>
        <w:pStyle w:val="19"/>
        <w:widowControl/>
        <w:rPr>
          <w:color w:val="auto"/>
          <w:highlight w:val="none"/>
        </w:rPr>
      </w:pPr>
      <w:r>
        <w:rPr>
          <w:rFonts w:hint="eastAsia" w:ascii="宋体" w:hAnsi="宋体" w:cs="宋体"/>
          <w:color w:val="auto"/>
          <w:highlight w:val="none"/>
        </w:rPr>
        <w:t> </w:t>
      </w:r>
    </w:p>
    <w:p w14:paraId="35BB9CFF">
      <w:pPr>
        <w:pStyle w:val="19"/>
        <w:widowControl/>
        <w:ind w:firstLine="480"/>
        <w:rPr>
          <w:color w:val="auto"/>
          <w:highlight w:val="none"/>
        </w:rPr>
      </w:pPr>
      <w:r>
        <w:rPr>
          <w:rFonts w:hint="eastAsia" w:ascii="宋体" w:hAnsi="宋体" w:cs="宋体"/>
          <w:color w:val="auto"/>
          <w:highlight w:val="none"/>
        </w:rPr>
        <w:t>1、除招标文件另有规定外，本章中：</w:t>
      </w:r>
    </w:p>
    <w:p w14:paraId="02EDAE22">
      <w:pPr>
        <w:pStyle w:val="19"/>
        <w:widowControl/>
        <w:ind w:firstLine="480"/>
        <w:rPr>
          <w:color w:val="auto"/>
          <w:highlight w:val="none"/>
        </w:rPr>
      </w:pPr>
      <w:r>
        <w:rPr>
          <w:rFonts w:hint="eastAsia" w:ascii="宋体" w:hAnsi="宋体" w:cs="宋体"/>
          <w:color w:val="auto"/>
          <w:highlight w:val="none"/>
        </w:rPr>
        <w:t>1.1涉及投标人的</w:t>
      </w:r>
      <w:r>
        <w:rPr>
          <w:rStyle w:val="26"/>
          <w:rFonts w:hint="eastAsia" w:ascii="宋体" w:hAnsi="宋体" w:cs="宋体"/>
          <w:color w:val="auto"/>
          <w:highlight w:val="none"/>
        </w:rPr>
        <w:t>“全称”</w:t>
      </w:r>
      <w:r>
        <w:rPr>
          <w:rFonts w:hint="eastAsia" w:ascii="宋体" w:hAnsi="宋体" w:cs="宋体"/>
          <w:color w:val="auto"/>
          <w:highlight w:val="none"/>
        </w:rPr>
        <w:t>：</w:t>
      </w:r>
    </w:p>
    <w:p w14:paraId="1FB18642">
      <w:pPr>
        <w:pStyle w:val="19"/>
        <w:widowControl/>
        <w:ind w:firstLine="480"/>
        <w:rPr>
          <w:color w:val="auto"/>
          <w:highlight w:val="none"/>
        </w:rPr>
      </w:pPr>
      <w:r>
        <w:rPr>
          <w:rFonts w:hint="eastAsia" w:ascii="宋体" w:hAnsi="宋体" w:cs="宋体"/>
          <w:color w:val="auto"/>
          <w:highlight w:val="none"/>
        </w:rPr>
        <w:t>（1）不接受联合体投标的，指</w:t>
      </w:r>
      <w:r>
        <w:rPr>
          <w:rStyle w:val="26"/>
          <w:rFonts w:hint="eastAsia" w:ascii="宋体" w:hAnsi="宋体" w:cs="宋体"/>
          <w:color w:val="auto"/>
          <w:highlight w:val="none"/>
        </w:rPr>
        <w:t>投标人的全称</w:t>
      </w:r>
      <w:r>
        <w:rPr>
          <w:rFonts w:hint="eastAsia" w:ascii="宋体" w:hAnsi="宋体" w:cs="宋体"/>
          <w:color w:val="auto"/>
          <w:highlight w:val="none"/>
        </w:rPr>
        <w:t>。</w:t>
      </w:r>
    </w:p>
    <w:p w14:paraId="0D5DB3BB">
      <w:pPr>
        <w:pStyle w:val="19"/>
        <w:widowControl/>
        <w:ind w:firstLine="480"/>
        <w:rPr>
          <w:color w:val="auto"/>
          <w:highlight w:val="none"/>
        </w:rPr>
      </w:pPr>
      <w:r>
        <w:rPr>
          <w:rFonts w:hint="eastAsia" w:ascii="宋体" w:hAnsi="宋体" w:cs="宋体"/>
          <w:color w:val="auto"/>
          <w:highlight w:val="none"/>
        </w:rPr>
        <w:t>（2）接受联合体投标且投标人为联合体的，指</w:t>
      </w:r>
      <w:r>
        <w:rPr>
          <w:rStyle w:val="26"/>
          <w:rFonts w:hint="eastAsia" w:ascii="宋体" w:hAnsi="宋体" w:cs="宋体"/>
          <w:color w:val="auto"/>
          <w:highlight w:val="none"/>
        </w:rPr>
        <w:t>牵头方的全称</w:t>
      </w:r>
      <w:r>
        <w:rPr>
          <w:rFonts w:hint="eastAsia" w:ascii="宋体" w:hAnsi="宋体" w:cs="宋体"/>
          <w:color w:val="auto"/>
          <w:highlight w:val="none"/>
        </w:rPr>
        <w:t>并加注</w:t>
      </w:r>
      <w:r>
        <w:rPr>
          <w:rStyle w:val="26"/>
          <w:rFonts w:hint="eastAsia" w:ascii="宋体" w:hAnsi="宋体" w:cs="宋体"/>
          <w:color w:val="auto"/>
          <w:highlight w:val="none"/>
        </w:rPr>
        <w:t>（联合体牵头方）</w:t>
      </w:r>
      <w:r>
        <w:rPr>
          <w:rFonts w:hint="eastAsia" w:ascii="宋体" w:hAnsi="宋体" w:cs="宋体"/>
          <w:color w:val="auto"/>
          <w:highlight w:val="none"/>
        </w:rPr>
        <w:t>，即应表述为：</w:t>
      </w:r>
      <w:r>
        <w:rPr>
          <w:rStyle w:val="26"/>
          <w:rFonts w:hint="eastAsia" w:ascii="宋体" w:hAnsi="宋体" w:cs="宋体"/>
          <w:color w:val="auto"/>
          <w:highlight w:val="none"/>
        </w:rPr>
        <w:t>“牵头方的全称（联合体牵头方）”</w:t>
      </w:r>
      <w:r>
        <w:rPr>
          <w:rFonts w:hint="eastAsia" w:ascii="宋体" w:hAnsi="宋体" w:cs="宋体"/>
          <w:color w:val="auto"/>
          <w:highlight w:val="none"/>
        </w:rPr>
        <w:t>。</w:t>
      </w:r>
    </w:p>
    <w:p w14:paraId="3C6FA9BD">
      <w:pPr>
        <w:pStyle w:val="19"/>
        <w:widowControl/>
        <w:ind w:firstLine="480"/>
        <w:rPr>
          <w:color w:val="auto"/>
          <w:highlight w:val="none"/>
        </w:rPr>
      </w:pPr>
      <w:r>
        <w:rPr>
          <w:rFonts w:hint="eastAsia" w:ascii="宋体" w:hAnsi="宋体" w:cs="宋体"/>
          <w:color w:val="auto"/>
          <w:highlight w:val="none"/>
        </w:rPr>
        <w:t>1.2涉及投标人</w:t>
      </w:r>
      <w:r>
        <w:rPr>
          <w:rStyle w:val="26"/>
          <w:rFonts w:hint="eastAsia" w:ascii="宋体" w:hAnsi="宋体" w:cs="宋体"/>
          <w:color w:val="auto"/>
          <w:highlight w:val="none"/>
        </w:rPr>
        <w:t>“加盖单位公章”</w:t>
      </w:r>
      <w:r>
        <w:rPr>
          <w:rFonts w:hint="eastAsia" w:ascii="宋体" w:hAnsi="宋体" w:cs="宋体"/>
          <w:color w:val="auto"/>
          <w:highlight w:val="none"/>
        </w:rPr>
        <w:t>：</w:t>
      </w:r>
    </w:p>
    <w:p w14:paraId="4A5BD68A">
      <w:pPr>
        <w:pStyle w:val="19"/>
        <w:widowControl/>
        <w:ind w:firstLine="480"/>
        <w:rPr>
          <w:color w:val="auto"/>
          <w:highlight w:val="none"/>
        </w:rPr>
      </w:pPr>
      <w:r>
        <w:rPr>
          <w:rFonts w:hint="eastAsia" w:ascii="宋体" w:hAnsi="宋体" w:cs="宋体"/>
          <w:color w:val="auto"/>
          <w:highlight w:val="none"/>
        </w:rPr>
        <w:t>（1）不接受联合体投标的，指</w:t>
      </w:r>
      <w:r>
        <w:rPr>
          <w:rStyle w:val="26"/>
          <w:rFonts w:hint="eastAsia" w:ascii="宋体" w:hAnsi="宋体" w:cs="宋体"/>
          <w:color w:val="auto"/>
          <w:highlight w:val="none"/>
        </w:rPr>
        <w:t>加盖投标人的单位公章</w:t>
      </w:r>
      <w:r>
        <w:rPr>
          <w:rFonts w:hint="eastAsia" w:ascii="宋体" w:hAnsi="宋体" w:cs="宋体"/>
          <w:color w:val="auto"/>
          <w:highlight w:val="none"/>
        </w:rPr>
        <w:t>。</w:t>
      </w:r>
    </w:p>
    <w:p w14:paraId="121AD4AA">
      <w:pPr>
        <w:pStyle w:val="19"/>
        <w:widowControl/>
        <w:ind w:firstLine="480"/>
        <w:rPr>
          <w:color w:val="auto"/>
          <w:highlight w:val="none"/>
        </w:rPr>
      </w:pPr>
      <w:r>
        <w:rPr>
          <w:rFonts w:hint="eastAsia" w:ascii="宋体" w:hAnsi="宋体" w:cs="宋体"/>
          <w:color w:val="auto"/>
          <w:highlight w:val="none"/>
        </w:rPr>
        <w:t>（2）接受联合体投标且投标人为联合体的，指</w:t>
      </w:r>
      <w:r>
        <w:rPr>
          <w:rStyle w:val="26"/>
          <w:rFonts w:hint="eastAsia" w:ascii="宋体" w:hAnsi="宋体" w:cs="宋体"/>
          <w:color w:val="auto"/>
          <w:highlight w:val="none"/>
        </w:rPr>
        <w:t>加盖联合体牵头方的单位公章</w:t>
      </w:r>
      <w:r>
        <w:rPr>
          <w:rFonts w:hint="eastAsia" w:ascii="宋体" w:hAnsi="宋体" w:cs="宋体"/>
          <w:color w:val="auto"/>
          <w:highlight w:val="none"/>
        </w:rPr>
        <w:t>。</w:t>
      </w:r>
    </w:p>
    <w:p w14:paraId="4DCCE6DE">
      <w:pPr>
        <w:pStyle w:val="19"/>
        <w:widowControl/>
        <w:ind w:firstLine="480"/>
        <w:rPr>
          <w:color w:val="auto"/>
          <w:highlight w:val="none"/>
        </w:rPr>
      </w:pPr>
      <w:r>
        <w:rPr>
          <w:rFonts w:hint="eastAsia" w:ascii="宋体" w:hAnsi="宋体" w:cs="宋体"/>
          <w:color w:val="auto"/>
          <w:highlight w:val="none"/>
        </w:rPr>
        <w:t>1.3涉及</w:t>
      </w:r>
      <w:r>
        <w:rPr>
          <w:rStyle w:val="26"/>
          <w:rFonts w:hint="eastAsia" w:ascii="宋体" w:hAnsi="宋体" w:cs="宋体"/>
          <w:color w:val="auto"/>
          <w:highlight w:val="none"/>
        </w:rPr>
        <w:t>“投标人代表签字”</w:t>
      </w:r>
      <w:r>
        <w:rPr>
          <w:rFonts w:hint="eastAsia" w:ascii="宋体" w:hAnsi="宋体" w:cs="宋体"/>
          <w:color w:val="auto"/>
          <w:highlight w:val="none"/>
        </w:rPr>
        <w:t>：</w:t>
      </w:r>
    </w:p>
    <w:p w14:paraId="3741161F">
      <w:pPr>
        <w:pStyle w:val="19"/>
        <w:widowControl/>
        <w:ind w:firstLine="480"/>
        <w:rPr>
          <w:color w:val="auto"/>
          <w:highlight w:val="none"/>
        </w:rPr>
      </w:pPr>
      <w:r>
        <w:rPr>
          <w:rFonts w:hint="eastAsia" w:ascii="宋体" w:hAnsi="宋体" w:cs="宋体"/>
          <w:color w:val="auto"/>
          <w:highlight w:val="none"/>
        </w:rPr>
        <w:t>（1）不接受联合体投标的，指由</w:t>
      </w:r>
      <w:r>
        <w:rPr>
          <w:rStyle w:val="26"/>
          <w:rFonts w:hint="eastAsia" w:ascii="宋体" w:hAnsi="宋体" w:cs="宋体"/>
          <w:color w:val="auto"/>
          <w:highlight w:val="none"/>
        </w:rPr>
        <w:t>投标人的单位负责人或其授权的委托代理人签字</w:t>
      </w:r>
      <w:r>
        <w:rPr>
          <w:rFonts w:hint="eastAsia" w:ascii="宋体" w:hAnsi="宋体" w:cs="宋体"/>
          <w:color w:val="auto"/>
          <w:highlight w:val="none"/>
        </w:rPr>
        <w:t>，由委托代理人签字的，应提供“单位授权书”。</w:t>
      </w:r>
    </w:p>
    <w:p w14:paraId="1C5FD1BA">
      <w:pPr>
        <w:pStyle w:val="19"/>
        <w:widowControl/>
        <w:ind w:firstLine="480"/>
        <w:rPr>
          <w:color w:val="auto"/>
          <w:highlight w:val="none"/>
        </w:rPr>
      </w:pPr>
      <w:r>
        <w:rPr>
          <w:rFonts w:hint="eastAsia" w:ascii="宋体" w:hAnsi="宋体" w:cs="宋体"/>
          <w:color w:val="auto"/>
          <w:highlight w:val="none"/>
        </w:rPr>
        <w:t>（2）接受联合体投标且投标人为联合体的，指由</w:t>
      </w:r>
      <w:r>
        <w:rPr>
          <w:rStyle w:val="26"/>
          <w:rFonts w:hint="eastAsia" w:ascii="宋体" w:hAnsi="宋体" w:cs="宋体"/>
          <w:color w:val="auto"/>
          <w:highlight w:val="none"/>
        </w:rPr>
        <w:t>联合体牵头方的单位负责人或其授权的委托代理人签字</w:t>
      </w:r>
      <w:r>
        <w:rPr>
          <w:rFonts w:hint="eastAsia" w:ascii="宋体" w:hAnsi="宋体" w:cs="宋体"/>
          <w:color w:val="auto"/>
          <w:highlight w:val="none"/>
        </w:rPr>
        <w:t>，由委托代理人签字的，应提供“单位授权书”。</w:t>
      </w:r>
    </w:p>
    <w:p w14:paraId="768B623B">
      <w:pPr>
        <w:pStyle w:val="19"/>
        <w:widowControl/>
        <w:ind w:firstLine="480"/>
        <w:rPr>
          <w:color w:val="auto"/>
          <w:highlight w:val="none"/>
        </w:rPr>
      </w:pPr>
      <w:r>
        <w:rPr>
          <w:rFonts w:hint="eastAsia" w:ascii="宋体" w:hAnsi="宋体" w:cs="宋体"/>
          <w:color w:val="auto"/>
          <w:highlight w:val="none"/>
        </w:rPr>
        <w:t>1.4</w:t>
      </w:r>
      <w:r>
        <w:rPr>
          <w:rStyle w:val="26"/>
          <w:rFonts w:hint="eastAsia" w:ascii="宋体" w:hAnsi="宋体" w:cs="宋体"/>
          <w:color w:val="auto"/>
          <w:highlight w:val="none"/>
        </w:rPr>
        <w:t>“其他组织”</w:t>
      </w:r>
      <w:r>
        <w:rPr>
          <w:rFonts w:hint="eastAsia" w:ascii="宋体" w:hAnsi="宋体" w:cs="宋体"/>
          <w:color w:val="auto"/>
          <w:highlight w:val="none"/>
        </w:rPr>
        <w:t>指合伙企业、非企业专业服务机构、个体工商户、农村承包经营户等。</w:t>
      </w:r>
    </w:p>
    <w:p w14:paraId="66930671">
      <w:pPr>
        <w:pStyle w:val="19"/>
        <w:widowControl/>
        <w:ind w:firstLine="480"/>
        <w:rPr>
          <w:color w:val="auto"/>
          <w:highlight w:val="none"/>
        </w:rPr>
      </w:pPr>
      <w:r>
        <w:rPr>
          <w:rFonts w:hint="eastAsia" w:ascii="宋体" w:hAnsi="宋体" w:cs="宋体"/>
          <w:color w:val="auto"/>
          <w:highlight w:val="none"/>
        </w:rPr>
        <w:t>1.5</w:t>
      </w:r>
      <w:r>
        <w:rPr>
          <w:rStyle w:val="26"/>
          <w:rFonts w:hint="eastAsia" w:ascii="宋体" w:hAnsi="宋体" w:cs="宋体"/>
          <w:color w:val="auto"/>
          <w:highlight w:val="none"/>
        </w:rPr>
        <w:t>“自然人”</w:t>
      </w:r>
      <w:r>
        <w:rPr>
          <w:rFonts w:hint="eastAsia" w:ascii="宋体" w:hAnsi="宋体" w:cs="宋体"/>
          <w:color w:val="auto"/>
          <w:highlight w:val="none"/>
        </w:rPr>
        <w:t>指具有完全民事行为能力、能够承担民事责任和义务的中国公民。</w:t>
      </w:r>
    </w:p>
    <w:p w14:paraId="7DF094B5">
      <w:pPr>
        <w:pStyle w:val="19"/>
        <w:widowControl/>
        <w:ind w:firstLine="480"/>
        <w:rPr>
          <w:color w:val="auto"/>
          <w:highlight w:val="none"/>
        </w:rPr>
      </w:pPr>
      <w:r>
        <w:rPr>
          <w:rFonts w:hint="eastAsia" w:ascii="宋体" w:hAnsi="宋体" w:cs="宋体"/>
          <w:color w:val="auto"/>
          <w:highlight w:val="none"/>
        </w:rPr>
        <w:t>2、除招标文件另有规定外，本章中</w:t>
      </w:r>
      <w:r>
        <w:rPr>
          <w:rStyle w:val="26"/>
          <w:rFonts w:hint="eastAsia" w:ascii="宋体" w:hAnsi="宋体" w:cs="宋体"/>
          <w:color w:val="auto"/>
          <w:highlight w:val="none"/>
        </w:rPr>
        <w:t>“投标人的资格及资信证明文件”</w:t>
      </w:r>
      <w:r>
        <w:rPr>
          <w:rFonts w:hint="eastAsia" w:ascii="宋体" w:hAnsi="宋体" w:cs="宋体"/>
          <w:color w:val="auto"/>
          <w:highlight w:val="none"/>
        </w:rPr>
        <w:t>：</w:t>
      </w:r>
    </w:p>
    <w:p w14:paraId="61226481">
      <w:pPr>
        <w:pStyle w:val="19"/>
        <w:widowControl/>
        <w:ind w:firstLine="480"/>
        <w:rPr>
          <w:color w:val="auto"/>
          <w:highlight w:val="none"/>
        </w:rPr>
      </w:pPr>
      <w:r>
        <w:rPr>
          <w:rFonts w:hint="eastAsia" w:ascii="宋体" w:hAnsi="宋体" w:cs="宋体"/>
          <w:color w:val="auto"/>
          <w:highlight w:val="none"/>
        </w:rPr>
        <w:t>2.1投标人应按照招标文件第四章第</w:t>
      </w:r>
      <w:r>
        <w:rPr>
          <w:rFonts w:ascii="Calibri" w:hAnsi="Calibri" w:cs="Calibri"/>
          <w:color w:val="auto"/>
          <w:highlight w:val="none"/>
        </w:rPr>
        <w:t>1.3</w:t>
      </w:r>
      <w:r>
        <w:rPr>
          <w:rFonts w:hint="eastAsia" w:ascii="宋体" w:hAnsi="宋体" w:cs="宋体"/>
          <w:color w:val="auto"/>
          <w:highlight w:val="none"/>
        </w:rPr>
        <w:t>条第（</w:t>
      </w:r>
      <w:r>
        <w:rPr>
          <w:rFonts w:ascii="Calibri" w:hAnsi="Calibri" w:cs="Calibri"/>
          <w:color w:val="auto"/>
          <w:highlight w:val="none"/>
        </w:rPr>
        <w:t>2</w:t>
      </w:r>
      <w:r>
        <w:rPr>
          <w:rFonts w:hint="eastAsia" w:ascii="宋体" w:hAnsi="宋体" w:cs="宋体"/>
          <w:color w:val="auto"/>
          <w:highlight w:val="none"/>
        </w:rPr>
        <w:t>）款规定及本章规定进行编制，如有必要，可增加附页，附页作为资格及资信文件的组成部分。</w:t>
      </w:r>
    </w:p>
    <w:p w14:paraId="094F310D">
      <w:pPr>
        <w:pStyle w:val="19"/>
        <w:widowControl/>
        <w:ind w:firstLine="480"/>
        <w:rPr>
          <w:color w:val="auto"/>
          <w:highlight w:val="none"/>
        </w:rPr>
      </w:pPr>
      <w:r>
        <w:rPr>
          <w:rFonts w:hint="eastAsia" w:ascii="宋体" w:hAnsi="宋体" w:cs="宋体"/>
          <w:color w:val="auto"/>
          <w:highlight w:val="none"/>
        </w:rPr>
        <w:t>2.2接受联合体投标且投标人为联合体的，联合体中的各方均应按照本章第</w:t>
      </w:r>
      <w:r>
        <w:rPr>
          <w:rFonts w:ascii="Calibri" w:hAnsi="Calibri" w:cs="Calibri"/>
          <w:color w:val="auto"/>
          <w:highlight w:val="none"/>
        </w:rPr>
        <w:t>2.1</w:t>
      </w:r>
      <w:r>
        <w:rPr>
          <w:rFonts w:hint="eastAsia" w:ascii="宋体" w:hAnsi="宋体" w:cs="宋体"/>
          <w:color w:val="auto"/>
          <w:highlight w:val="none"/>
        </w:rPr>
        <w:t>条规定提交相应的全部资料。</w:t>
      </w:r>
    </w:p>
    <w:p w14:paraId="0283D4EB">
      <w:pPr>
        <w:pStyle w:val="19"/>
        <w:widowControl/>
        <w:ind w:firstLine="480"/>
        <w:rPr>
          <w:color w:val="auto"/>
          <w:highlight w:val="none"/>
        </w:rPr>
      </w:pPr>
      <w:r>
        <w:rPr>
          <w:rFonts w:hint="eastAsia" w:ascii="宋体" w:hAnsi="宋体" w:cs="宋体"/>
          <w:color w:val="auto"/>
          <w:highlight w:val="none"/>
        </w:rPr>
        <w:t>3、投标人对投标文件的索引应编制页码。</w:t>
      </w:r>
    </w:p>
    <w:p w14:paraId="78EAA6D6">
      <w:pPr>
        <w:pStyle w:val="19"/>
        <w:widowControl/>
        <w:ind w:firstLine="480"/>
        <w:rPr>
          <w:color w:val="auto"/>
          <w:highlight w:val="none"/>
        </w:rPr>
      </w:pPr>
      <w:r>
        <w:rPr>
          <w:rFonts w:hint="eastAsia" w:ascii="宋体" w:hAnsi="宋体" w:cs="宋体"/>
          <w:color w:val="auto"/>
          <w:highlight w:val="none"/>
        </w:rPr>
        <w:t>4、本章提供格式仅供参考，投标人应根据自身实际情况制作投标文件。</w:t>
      </w:r>
    </w:p>
    <w:p w14:paraId="31262556">
      <w:pPr>
        <w:pStyle w:val="19"/>
        <w:widowControl/>
        <w:rPr>
          <w:color w:val="auto"/>
          <w:highlight w:val="none"/>
        </w:rPr>
      </w:pPr>
      <w:r>
        <w:rPr>
          <w:rFonts w:hint="eastAsia" w:ascii="宋体" w:hAnsi="宋体" w:cs="宋体"/>
          <w:color w:val="auto"/>
          <w:sz w:val="21"/>
          <w:szCs w:val="21"/>
          <w:highlight w:val="none"/>
        </w:rPr>
        <w:t> </w:t>
      </w:r>
    </w:p>
    <w:p w14:paraId="60956BAC">
      <w:pPr>
        <w:pStyle w:val="19"/>
        <w:widowControl/>
        <w:jc w:val="center"/>
        <w:rPr>
          <w:color w:val="auto"/>
          <w:highlight w:val="none"/>
        </w:rPr>
      </w:pPr>
      <w:r>
        <w:rPr>
          <w:rStyle w:val="26"/>
          <w:rFonts w:hint="eastAsia" w:ascii="宋体" w:hAnsi="宋体" w:cs="宋体"/>
          <w:color w:val="auto"/>
          <w:sz w:val="28"/>
          <w:szCs w:val="28"/>
          <w:highlight w:val="none"/>
        </w:rPr>
        <w:t>封面格式</w:t>
      </w:r>
    </w:p>
    <w:p w14:paraId="4AD3958D">
      <w:pPr>
        <w:pStyle w:val="19"/>
        <w:widowControl/>
        <w:rPr>
          <w:color w:val="auto"/>
          <w:highlight w:val="none"/>
        </w:rPr>
      </w:pPr>
      <w:r>
        <w:rPr>
          <w:rFonts w:hint="eastAsia" w:ascii="宋体" w:hAnsi="宋体" w:cs="宋体"/>
          <w:color w:val="auto"/>
          <w:sz w:val="36"/>
          <w:szCs w:val="36"/>
          <w:highlight w:val="none"/>
        </w:rPr>
        <w:t>  </w:t>
      </w:r>
    </w:p>
    <w:p w14:paraId="06527448">
      <w:pPr>
        <w:pStyle w:val="19"/>
        <w:widowControl/>
        <w:jc w:val="center"/>
        <w:rPr>
          <w:color w:val="auto"/>
          <w:highlight w:val="none"/>
        </w:rPr>
      </w:pPr>
      <w:r>
        <w:rPr>
          <w:rStyle w:val="26"/>
          <w:rFonts w:hint="eastAsia" w:ascii="宋体" w:hAnsi="宋体" w:cs="宋体"/>
          <w:color w:val="auto"/>
          <w:sz w:val="48"/>
          <w:szCs w:val="48"/>
          <w:highlight w:val="none"/>
        </w:rPr>
        <w:t>政府采购投标文件</w:t>
      </w:r>
    </w:p>
    <w:p w14:paraId="481B2EED">
      <w:pPr>
        <w:pStyle w:val="19"/>
        <w:widowControl/>
        <w:jc w:val="center"/>
        <w:rPr>
          <w:color w:val="auto"/>
          <w:highlight w:val="none"/>
        </w:rPr>
      </w:pPr>
      <w:r>
        <w:rPr>
          <w:rStyle w:val="26"/>
          <w:rFonts w:hint="eastAsia" w:ascii="宋体" w:hAnsi="宋体" w:cs="宋体"/>
          <w:color w:val="auto"/>
          <w:sz w:val="48"/>
          <w:szCs w:val="48"/>
          <w:highlight w:val="none"/>
        </w:rPr>
        <w:t>（资格及资信证明部分）</w:t>
      </w:r>
    </w:p>
    <w:p w14:paraId="3F14FA60">
      <w:pPr>
        <w:pStyle w:val="19"/>
        <w:widowControl/>
        <w:rPr>
          <w:color w:val="auto"/>
          <w:highlight w:val="none"/>
        </w:rPr>
      </w:pPr>
      <w:r>
        <w:rPr>
          <w:rFonts w:hint="eastAsia" w:ascii="宋体" w:hAnsi="宋体" w:cs="宋体"/>
          <w:color w:val="auto"/>
          <w:sz w:val="36"/>
          <w:szCs w:val="36"/>
          <w:highlight w:val="none"/>
        </w:rPr>
        <w:t> </w:t>
      </w:r>
    </w:p>
    <w:p w14:paraId="0E563A3F">
      <w:pPr>
        <w:pStyle w:val="19"/>
        <w:widowControl/>
        <w:jc w:val="center"/>
        <w:rPr>
          <w:color w:val="auto"/>
          <w:highlight w:val="none"/>
        </w:rPr>
      </w:pPr>
      <w:r>
        <w:rPr>
          <w:rStyle w:val="26"/>
          <w:rFonts w:hint="eastAsia" w:ascii="宋体" w:hAnsi="宋体" w:cs="宋体"/>
          <w:color w:val="auto"/>
          <w:sz w:val="36"/>
          <w:szCs w:val="36"/>
          <w:highlight w:val="none"/>
          <w:u w:val="single"/>
        </w:rPr>
        <w:t>（填写正本或副本）</w:t>
      </w:r>
    </w:p>
    <w:p w14:paraId="064B0D11">
      <w:pPr>
        <w:pStyle w:val="19"/>
        <w:widowControl/>
        <w:rPr>
          <w:color w:val="auto"/>
          <w:highlight w:val="none"/>
        </w:rPr>
      </w:pPr>
      <w:r>
        <w:rPr>
          <w:rFonts w:hint="eastAsia" w:ascii="宋体" w:hAnsi="宋体" w:cs="宋体"/>
          <w:color w:val="auto"/>
          <w:sz w:val="36"/>
          <w:szCs w:val="36"/>
          <w:highlight w:val="none"/>
        </w:rPr>
        <w:t> </w:t>
      </w:r>
    </w:p>
    <w:p w14:paraId="029C3212">
      <w:pPr>
        <w:pStyle w:val="19"/>
        <w:widowControl/>
        <w:ind w:firstLine="1920"/>
        <w:rPr>
          <w:color w:val="auto"/>
          <w:highlight w:val="none"/>
        </w:rPr>
      </w:pPr>
      <w:r>
        <w:rPr>
          <w:rStyle w:val="26"/>
          <w:rFonts w:hint="eastAsia" w:ascii="宋体" w:hAnsi="宋体" w:cs="宋体"/>
          <w:color w:val="auto"/>
          <w:sz w:val="31"/>
          <w:szCs w:val="31"/>
          <w:highlight w:val="none"/>
        </w:rPr>
        <w:t>项目名称：</w:t>
      </w:r>
      <w:r>
        <w:rPr>
          <w:rStyle w:val="26"/>
          <w:rFonts w:hint="eastAsia" w:ascii="宋体" w:hAnsi="宋体" w:cs="宋体"/>
          <w:color w:val="auto"/>
          <w:sz w:val="31"/>
          <w:szCs w:val="31"/>
          <w:highlight w:val="none"/>
          <w:u w:val="single"/>
        </w:rPr>
        <w:t>（由投标人填写）</w:t>
      </w:r>
    </w:p>
    <w:p w14:paraId="70972A6E">
      <w:pPr>
        <w:pStyle w:val="19"/>
        <w:widowControl/>
        <w:ind w:firstLine="1920"/>
        <w:rPr>
          <w:color w:val="auto"/>
          <w:highlight w:val="none"/>
        </w:rPr>
      </w:pPr>
      <w:r>
        <w:rPr>
          <w:rStyle w:val="26"/>
          <w:rFonts w:hint="eastAsia" w:ascii="宋体" w:hAnsi="宋体" w:cs="宋体"/>
          <w:color w:val="auto"/>
          <w:sz w:val="31"/>
          <w:szCs w:val="31"/>
          <w:highlight w:val="none"/>
        </w:rPr>
        <w:t>项目编号：</w:t>
      </w:r>
      <w:r>
        <w:rPr>
          <w:rStyle w:val="26"/>
          <w:rFonts w:hint="eastAsia" w:ascii="宋体" w:hAnsi="宋体" w:cs="宋体"/>
          <w:color w:val="auto"/>
          <w:sz w:val="31"/>
          <w:szCs w:val="31"/>
          <w:highlight w:val="none"/>
          <w:u w:val="single"/>
        </w:rPr>
        <w:t>（由投标人填写）</w:t>
      </w:r>
    </w:p>
    <w:p w14:paraId="61198F07">
      <w:pPr>
        <w:pStyle w:val="19"/>
        <w:widowControl/>
        <w:ind w:firstLine="1920"/>
        <w:rPr>
          <w:color w:val="auto"/>
          <w:highlight w:val="none"/>
        </w:rPr>
      </w:pPr>
      <w:r>
        <w:rPr>
          <w:rStyle w:val="26"/>
          <w:rFonts w:hint="eastAsia" w:ascii="宋体" w:hAnsi="宋体" w:cs="宋体"/>
          <w:color w:val="auto"/>
          <w:sz w:val="31"/>
          <w:szCs w:val="31"/>
          <w:highlight w:val="none"/>
        </w:rPr>
        <w:t>所投采购包：</w:t>
      </w:r>
      <w:r>
        <w:rPr>
          <w:rStyle w:val="26"/>
          <w:rFonts w:hint="eastAsia" w:ascii="宋体" w:hAnsi="宋体" w:cs="宋体"/>
          <w:color w:val="auto"/>
          <w:sz w:val="31"/>
          <w:szCs w:val="31"/>
          <w:highlight w:val="none"/>
          <w:u w:val="single"/>
        </w:rPr>
        <w:t>（由投标人填写）</w:t>
      </w:r>
    </w:p>
    <w:p w14:paraId="1749CB35">
      <w:pPr>
        <w:pStyle w:val="19"/>
        <w:widowControl/>
        <w:rPr>
          <w:color w:val="auto"/>
          <w:highlight w:val="none"/>
        </w:rPr>
      </w:pPr>
      <w:r>
        <w:rPr>
          <w:rFonts w:hint="eastAsia" w:ascii="宋体" w:hAnsi="宋体" w:cs="宋体"/>
          <w:color w:val="auto"/>
          <w:sz w:val="36"/>
          <w:szCs w:val="36"/>
          <w:highlight w:val="none"/>
        </w:rPr>
        <w:t>  </w:t>
      </w:r>
    </w:p>
    <w:p w14:paraId="3D47657B">
      <w:pPr>
        <w:pStyle w:val="19"/>
        <w:widowControl/>
        <w:jc w:val="center"/>
        <w:rPr>
          <w:color w:val="auto"/>
          <w:highlight w:val="none"/>
        </w:rPr>
      </w:pPr>
      <w:r>
        <w:rPr>
          <w:rStyle w:val="26"/>
          <w:rFonts w:hint="eastAsia" w:ascii="宋体" w:hAnsi="宋体" w:cs="宋体"/>
          <w:color w:val="auto"/>
          <w:sz w:val="31"/>
          <w:szCs w:val="31"/>
          <w:highlight w:val="none"/>
        </w:rPr>
        <w:t>投标人：</w:t>
      </w:r>
      <w:r>
        <w:rPr>
          <w:rStyle w:val="26"/>
          <w:rFonts w:hint="eastAsia" w:ascii="宋体" w:hAnsi="宋体" w:cs="宋体"/>
          <w:color w:val="auto"/>
          <w:sz w:val="31"/>
          <w:szCs w:val="31"/>
          <w:highlight w:val="none"/>
          <w:u w:val="single"/>
        </w:rPr>
        <w:t>（填写“全称”）</w:t>
      </w:r>
    </w:p>
    <w:p w14:paraId="1E6460DB">
      <w:pPr>
        <w:pStyle w:val="19"/>
        <w:widowControl/>
        <w:jc w:val="center"/>
        <w:rPr>
          <w:color w:val="auto"/>
          <w:highlight w:val="none"/>
        </w:rPr>
      </w:pPr>
      <w:r>
        <w:rPr>
          <w:rStyle w:val="26"/>
          <w:rFonts w:hint="eastAsia" w:ascii="宋体" w:hAnsi="宋体" w:cs="宋体"/>
          <w:color w:val="auto"/>
          <w:sz w:val="31"/>
          <w:szCs w:val="31"/>
          <w:highlight w:val="none"/>
          <w:u w:val="single"/>
        </w:rPr>
        <w:t>（由投标人填写）</w:t>
      </w:r>
      <w:r>
        <w:rPr>
          <w:rStyle w:val="26"/>
          <w:rFonts w:hint="eastAsia" w:ascii="宋体" w:hAnsi="宋体" w:cs="宋体"/>
          <w:color w:val="auto"/>
          <w:sz w:val="31"/>
          <w:szCs w:val="31"/>
          <w:highlight w:val="none"/>
        </w:rPr>
        <w:t>年</w:t>
      </w:r>
      <w:r>
        <w:rPr>
          <w:rStyle w:val="26"/>
          <w:rFonts w:hint="eastAsia" w:ascii="宋体" w:hAnsi="宋体" w:cs="宋体"/>
          <w:color w:val="auto"/>
          <w:sz w:val="31"/>
          <w:szCs w:val="31"/>
          <w:highlight w:val="none"/>
          <w:u w:val="single"/>
        </w:rPr>
        <w:t>（由投标人填写）</w:t>
      </w:r>
      <w:r>
        <w:rPr>
          <w:rStyle w:val="26"/>
          <w:rFonts w:hint="eastAsia" w:ascii="宋体" w:hAnsi="宋体" w:cs="宋体"/>
          <w:color w:val="auto"/>
          <w:sz w:val="31"/>
          <w:szCs w:val="31"/>
          <w:highlight w:val="none"/>
        </w:rPr>
        <w:t>月</w:t>
      </w:r>
    </w:p>
    <w:p w14:paraId="420F9208">
      <w:pPr>
        <w:pStyle w:val="19"/>
        <w:widowControl/>
        <w:jc w:val="center"/>
        <w:rPr>
          <w:rStyle w:val="26"/>
          <w:rFonts w:ascii="宋体" w:hAnsi="宋体" w:cs="宋体"/>
          <w:color w:val="auto"/>
          <w:sz w:val="28"/>
          <w:szCs w:val="28"/>
          <w:highlight w:val="none"/>
        </w:rPr>
      </w:pPr>
    </w:p>
    <w:p w14:paraId="2D8D5116">
      <w:pPr>
        <w:pStyle w:val="19"/>
        <w:widowControl/>
        <w:jc w:val="center"/>
        <w:rPr>
          <w:rStyle w:val="26"/>
          <w:rFonts w:ascii="宋体" w:hAnsi="宋体" w:cs="宋体"/>
          <w:color w:val="auto"/>
          <w:sz w:val="28"/>
          <w:szCs w:val="28"/>
          <w:highlight w:val="none"/>
        </w:rPr>
      </w:pPr>
    </w:p>
    <w:p w14:paraId="5376501B">
      <w:pPr>
        <w:pStyle w:val="19"/>
        <w:widowControl/>
        <w:jc w:val="center"/>
        <w:rPr>
          <w:color w:val="auto"/>
          <w:highlight w:val="none"/>
        </w:rPr>
      </w:pPr>
      <w:r>
        <w:rPr>
          <w:rStyle w:val="26"/>
          <w:rFonts w:hint="eastAsia" w:ascii="宋体" w:hAnsi="宋体" w:cs="宋体"/>
          <w:color w:val="auto"/>
          <w:sz w:val="28"/>
          <w:szCs w:val="28"/>
          <w:highlight w:val="none"/>
        </w:rPr>
        <w:t>索引</w:t>
      </w:r>
    </w:p>
    <w:p w14:paraId="4677A592">
      <w:pPr>
        <w:pStyle w:val="19"/>
        <w:widowControl/>
        <w:rPr>
          <w:color w:val="auto"/>
          <w:highlight w:val="none"/>
        </w:rPr>
      </w:pPr>
      <w:r>
        <w:rPr>
          <w:rFonts w:hint="eastAsia" w:ascii="宋体" w:hAnsi="宋体" w:cs="宋体"/>
          <w:color w:val="auto"/>
          <w:sz w:val="28"/>
          <w:szCs w:val="28"/>
          <w:highlight w:val="none"/>
        </w:rPr>
        <w:t>一、投标函</w:t>
      </w:r>
    </w:p>
    <w:p w14:paraId="1CE47580">
      <w:pPr>
        <w:pStyle w:val="19"/>
        <w:widowControl/>
        <w:rPr>
          <w:color w:val="auto"/>
          <w:highlight w:val="none"/>
        </w:rPr>
      </w:pPr>
      <w:r>
        <w:rPr>
          <w:rFonts w:hint="eastAsia" w:ascii="宋体" w:hAnsi="宋体" w:cs="宋体"/>
          <w:color w:val="auto"/>
          <w:sz w:val="28"/>
          <w:szCs w:val="28"/>
          <w:highlight w:val="none"/>
        </w:rPr>
        <w:t>二、投标人的资格及资信证明文件</w:t>
      </w:r>
    </w:p>
    <w:p w14:paraId="7FF8A67F">
      <w:pPr>
        <w:pStyle w:val="19"/>
        <w:widowControl/>
        <w:rPr>
          <w:color w:val="auto"/>
          <w:highlight w:val="none"/>
        </w:rPr>
      </w:pPr>
      <w:r>
        <w:rPr>
          <w:rFonts w:hint="eastAsia" w:ascii="宋体" w:hAnsi="宋体" w:cs="宋体"/>
          <w:color w:val="auto"/>
          <w:sz w:val="28"/>
          <w:szCs w:val="28"/>
          <w:highlight w:val="none"/>
        </w:rPr>
        <w:t>三、投标保证金</w:t>
      </w:r>
    </w:p>
    <w:p w14:paraId="74C1CE19">
      <w:pPr>
        <w:pStyle w:val="19"/>
        <w:widowControl/>
        <w:rPr>
          <w:color w:val="auto"/>
          <w:highlight w:val="none"/>
        </w:rPr>
      </w:pPr>
      <w:r>
        <w:rPr>
          <w:rFonts w:hint="eastAsia" w:ascii="宋体" w:hAnsi="宋体" w:cs="宋体"/>
          <w:color w:val="auto"/>
          <w:sz w:val="21"/>
          <w:szCs w:val="21"/>
          <w:highlight w:val="none"/>
        </w:rPr>
        <w:t> </w:t>
      </w:r>
    </w:p>
    <w:p w14:paraId="162ACF58">
      <w:pPr>
        <w:pStyle w:val="19"/>
        <w:widowControl/>
        <w:rPr>
          <w:color w:val="auto"/>
          <w:highlight w:val="none"/>
        </w:rPr>
      </w:pPr>
      <w:r>
        <w:rPr>
          <w:rFonts w:hint="eastAsia" w:ascii="宋体" w:hAnsi="宋体" w:cs="宋体"/>
          <w:color w:val="auto"/>
          <w:sz w:val="21"/>
          <w:szCs w:val="21"/>
          <w:highlight w:val="none"/>
        </w:rPr>
        <w:t> </w:t>
      </w:r>
    </w:p>
    <w:p w14:paraId="2E5768CB">
      <w:pPr>
        <w:pStyle w:val="19"/>
        <w:widowControl/>
        <w:rPr>
          <w:color w:val="auto"/>
          <w:highlight w:val="none"/>
        </w:rPr>
      </w:pPr>
      <w:r>
        <w:rPr>
          <w:rFonts w:hint="eastAsia" w:ascii="宋体" w:hAnsi="宋体" w:cs="宋体"/>
          <w:color w:val="auto"/>
          <w:sz w:val="21"/>
          <w:szCs w:val="21"/>
          <w:highlight w:val="none"/>
        </w:rPr>
        <w:t> </w:t>
      </w:r>
    </w:p>
    <w:p w14:paraId="4CB6D884">
      <w:pPr>
        <w:pStyle w:val="19"/>
        <w:widowControl/>
        <w:jc w:val="center"/>
        <w:rPr>
          <w:color w:val="auto"/>
          <w:highlight w:val="none"/>
        </w:rPr>
      </w:pPr>
      <w:r>
        <w:rPr>
          <w:rFonts w:hint="eastAsia" w:ascii="宋体" w:hAnsi="宋体" w:cs="宋体"/>
          <w:color w:val="auto"/>
          <w:sz w:val="21"/>
          <w:szCs w:val="21"/>
          <w:highlight w:val="none"/>
        </w:rPr>
        <w:t>※注意</w:t>
      </w:r>
    </w:p>
    <w:p w14:paraId="5073DA2B">
      <w:pPr>
        <w:pStyle w:val="19"/>
        <w:widowControl/>
        <w:ind w:firstLine="420"/>
        <w:rPr>
          <w:color w:val="auto"/>
          <w:highlight w:val="none"/>
        </w:rPr>
      </w:pPr>
      <w:r>
        <w:rPr>
          <w:rFonts w:hint="eastAsia" w:ascii="宋体" w:hAnsi="宋体" w:cs="宋体"/>
          <w:color w:val="auto"/>
          <w:sz w:val="21"/>
          <w:szCs w:val="21"/>
          <w:highlight w:val="none"/>
        </w:rPr>
        <w:t>资格及资信证明部分中不得出现报价部分的全部或部分的投标报价信息（或组成资料），否则</w:t>
      </w:r>
      <w:r>
        <w:rPr>
          <w:rStyle w:val="26"/>
          <w:rFonts w:hint="eastAsia" w:ascii="宋体" w:hAnsi="宋体" w:cs="宋体"/>
          <w:color w:val="auto"/>
          <w:sz w:val="21"/>
          <w:szCs w:val="21"/>
          <w:highlight w:val="none"/>
        </w:rPr>
        <w:t>资格审查不合格</w:t>
      </w:r>
      <w:r>
        <w:rPr>
          <w:rFonts w:hint="eastAsia" w:ascii="宋体" w:hAnsi="宋体" w:cs="宋体"/>
          <w:color w:val="auto"/>
          <w:sz w:val="21"/>
          <w:szCs w:val="21"/>
          <w:highlight w:val="none"/>
        </w:rPr>
        <w:t>。（联合体协议及分包意向协议中的比例规定，不适用本条款）</w:t>
      </w:r>
    </w:p>
    <w:p w14:paraId="19CDED64">
      <w:pPr>
        <w:pStyle w:val="19"/>
        <w:widowControl/>
        <w:rPr>
          <w:color w:val="auto"/>
          <w:highlight w:val="none"/>
        </w:rPr>
      </w:pPr>
    </w:p>
    <w:p w14:paraId="0D2B792A">
      <w:pPr>
        <w:pStyle w:val="19"/>
        <w:widowControl/>
        <w:rPr>
          <w:color w:val="auto"/>
          <w:highlight w:val="none"/>
        </w:rPr>
      </w:pPr>
    </w:p>
    <w:p w14:paraId="609F305D">
      <w:pPr>
        <w:pStyle w:val="19"/>
        <w:widowControl/>
        <w:rPr>
          <w:color w:val="auto"/>
          <w:highlight w:val="none"/>
        </w:rPr>
      </w:pPr>
    </w:p>
    <w:p w14:paraId="02953B54">
      <w:pPr>
        <w:pStyle w:val="19"/>
        <w:widowControl/>
        <w:rPr>
          <w:color w:val="auto"/>
          <w:highlight w:val="none"/>
        </w:rPr>
      </w:pPr>
    </w:p>
    <w:p w14:paraId="58A31D25">
      <w:pPr>
        <w:pStyle w:val="19"/>
        <w:widowControl/>
        <w:rPr>
          <w:color w:val="auto"/>
          <w:highlight w:val="none"/>
        </w:rPr>
      </w:pPr>
    </w:p>
    <w:p w14:paraId="3658BB79">
      <w:pPr>
        <w:pStyle w:val="19"/>
        <w:widowControl/>
        <w:rPr>
          <w:color w:val="auto"/>
          <w:highlight w:val="none"/>
        </w:rPr>
      </w:pPr>
    </w:p>
    <w:p w14:paraId="2E17A490">
      <w:pPr>
        <w:pStyle w:val="19"/>
        <w:widowControl/>
        <w:rPr>
          <w:color w:val="auto"/>
          <w:highlight w:val="none"/>
        </w:rPr>
      </w:pPr>
    </w:p>
    <w:p w14:paraId="74B29412">
      <w:pPr>
        <w:pStyle w:val="19"/>
        <w:widowControl/>
        <w:rPr>
          <w:color w:val="auto"/>
          <w:highlight w:val="none"/>
        </w:rPr>
      </w:pPr>
    </w:p>
    <w:p w14:paraId="48C115A9">
      <w:pPr>
        <w:pStyle w:val="19"/>
        <w:widowControl/>
        <w:rPr>
          <w:color w:val="auto"/>
          <w:highlight w:val="none"/>
        </w:rPr>
      </w:pPr>
    </w:p>
    <w:p w14:paraId="06FABA58">
      <w:pPr>
        <w:pStyle w:val="19"/>
        <w:widowControl/>
        <w:rPr>
          <w:color w:val="auto"/>
          <w:highlight w:val="none"/>
        </w:rPr>
      </w:pPr>
    </w:p>
    <w:p w14:paraId="0C3E7C63">
      <w:pPr>
        <w:pStyle w:val="19"/>
        <w:widowControl/>
        <w:rPr>
          <w:color w:val="auto"/>
          <w:highlight w:val="none"/>
        </w:rPr>
      </w:pPr>
    </w:p>
    <w:p w14:paraId="61F1788B">
      <w:pPr>
        <w:pStyle w:val="19"/>
        <w:widowControl/>
        <w:jc w:val="center"/>
        <w:rPr>
          <w:rStyle w:val="26"/>
          <w:rFonts w:ascii="宋体" w:hAnsi="宋体" w:cs="宋体"/>
          <w:color w:val="auto"/>
          <w:sz w:val="21"/>
          <w:szCs w:val="21"/>
          <w:highlight w:val="none"/>
        </w:rPr>
      </w:pPr>
    </w:p>
    <w:p w14:paraId="6CE193C3">
      <w:pPr>
        <w:widowControl/>
        <w:spacing w:before="100" w:beforeAutospacing="1" w:after="100" w:afterAutospacing="1"/>
        <w:jc w:val="center"/>
        <w:rPr>
          <w:rFonts w:hint="eastAsia" w:ascii="宋体" w:hAnsi="宋体" w:eastAsia="宋体" w:cs="宋体"/>
          <w:color w:val="auto"/>
          <w:kern w:val="0"/>
          <w:sz w:val="30"/>
          <w:szCs w:val="30"/>
          <w:highlight w:val="none"/>
          <w:lang w:val="en-US" w:eastAsia="zh-CN" w:bidi="ar-SA"/>
        </w:rPr>
      </w:pPr>
      <w:r>
        <w:rPr>
          <w:rFonts w:hint="eastAsia" w:ascii="宋体" w:hAnsi="宋体" w:eastAsia="宋体" w:cs="宋体"/>
          <w:b/>
          <w:color w:val="auto"/>
          <w:kern w:val="2"/>
          <w:sz w:val="30"/>
          <w:szCs w:val="30"/>
          <w:highlight w:val="none"/>
          <w:lang w:val="en-US" w:eastAsia="zh-CN" w:bidi="ar-SA"/>
        </w:rPr>
        <w:t>一、投标函</w:t>
      </w:r>
    </w:p>
    <w:p w14:paraId="622A68C3">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致：</w:t>
      </w:r>
      <w:r>
        <w:rPr>
          <w:rFonts w:hint="eastAsia" w:ascii="宋体" w:hAnsi="宋体" w:eastAsia="宋体" w:cs="宋体"/>
          <w:color w:val="auto"/>
          <w:kern w:val="0"/>
          <w:sz w:val="24"/>
          <w:szCs w:val="24"/>
          <w:highlight w:val="none"/>
          <w:u w:val="single"/>
          <w:lang w:val="en-US" w:eastAsia="zh-CN" w:bidi="ar-SA"/>
        </w:rPr>
        <w:t>          （采购人或采购代理机构）</w:t>
      </w:r>
    </w:p>
    <w:p w14:paraId="01577062">
      <w:pPr>
        <w:widowControl/>
        <w:spacing w:before="100" w:beforeAutospacing="1" w:after="100" w:afterAutospacing="1"/>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兹收到贵单位关于</w:t>
      </w:r>
      <w:r>
        <w:rPr>
          <w:rFonts w:hint="eastAsia" w:ascii="宋体" w:hAnsi="宋体" w:eastAsia="宋体" w:cs="宋体"/>
          <w:color w:val="auto"/>
          <w:kern w:val="0"/>
          <w:sz w:val="24"/>
          <w:szCs w:val="24"/>
          <w:highlight w:val="none"/>
          <w:u w:val="single"/>
          <w:lang w:val="en-US" w:eastAsia="zh-CN" w:bidi="ar-SA"/>
        </w:rPr>
        <w:t>（填写“项目名称”）</w:t>
      </w:r>
      <w:r>
        <w:rPr>
          <w:rFonts w:hint="eastAsia" w:ascii="宋体" w:hAnsi="宋体" w:eastAsia="宋体" w:cs="宋体"/>
          <w:color w:val="auto"/>
          <w:kern w:val="0"/>
          <w:sz w:val="24"/>
          <w:szCs w:val="24"/>
          <w:highlight w:val="none"/>
          <w:lang w:val="en-US" w:eastAsia="zh-CN" w:bidi="ar-SA"/>
        </w:rPr>
        <w:t>项目（项目编号：</w:t>
      </w:r>
      <w:r>
        <w:rPr>
          <w:rFonts w:hint="eastAsia" w:ascii="宋体" w:hAnsi="宋体" w:eastAsia="宋体" w:cs="宋体"/>
          <w:color w:val="auto"/>
          <w:kern w:val="0"/>
          <w:sz w:val="24"/>
          <w:szCs w:val="24"/>
          <w:highlight w:val="none"/>
          <w:u w:val="single"/>
          <w:lang w:val="en-US" w:eastAsia="zh-CN" w:bidi="ar-SA"/>
        </w:rPr>
        <w:t>     </w:t>
      </w:r>
      <w:r>
        <w:rPr>
          <w:rFonts w:hint="eastAsia" w:ascii="宋体" w:hAnsi="宋体" w:eastAsia="宋体" w:cs="宋体"/>
          <w:color w:val="auto"/>
          <w:kern w:val="0"/>
          <w:sz w:val="24"/>
          <w:szCs w:val="24"/>
          <w:highlight w:val="none"/>
          <w:lang w:val="en-US" w:eastAsia="zh-CN" w:bidi="ar-SA"/>
        </w:rPr>
        <w:t>）的投标邀请，本投标人代表</w:t>
      </w:r>
      <w:r>
        <w:rPr>
          <w:rFonts w:hint="eastAsia" w:ascii="宋体" w:hAnsi="宋体" w:eastAsia="宋体" w:cs="宋体"/>
          <w:color w:val="auto"/>
          <w:kern w:val="0"/>
          <w:sz w:val="24"/>
          <w:szCs w:val="24"/>
          <w:highlight w:val="none"/>
          <w:u w:val="single"/>
          <w:lang w:val="en-US" w:eastAsia="zh-CN" w:bidi="ar-SA"/>
        </w:rPr>
        <w:t>（填写“全名”）</w:t>
      </w:r>
      <w:r>
        <w:rPr>
          <w:rFonts w:hint="eastAsia" w:ascii="宋体" w:hAnsi="宋体" w:eastAsia="宋体" w:cs="宋体"/>
          <w:color w:val="auto"/>
          <w:kern w:val="0"/>
          <w:sz w:val="24"/>
          <w:szCs w:val="24"/>
          <w:highlight w:val="none"/>
          <w:lang w:val="en-US" w:eastAsia="zh-CN" w:bidi="ar-SA"/>
        </w:rPr>
        <w:t>已获得我方正式授权并代表投标人</w:t>
      </w:r>
      <w:r>
        <w:rPr>
          <w:rFonts w:hint="eastAsia" w:ascii="宋体" w:hAnsi="宋体" w:eastAsia="宋体" w:cs="宋体"/>
          <w:color w:val="auto"/>
          <w:kern w:val="0"/>
          <w:sz w:val="24"/>
          <w:szCs w:val="24"/>
          <w:highlight w:val="none"/>
          <w:u w:val="single"/>
          <w:lang w:val="en-US" w:eastAsia="zh-CN" w:bidi="ar-SA"/>
        </w:rPr>
        <w:t>（填写“全称”）</w:t>
      </w:r>
      <w:r>
        <w:rPr>
          <w:rFonts w:hint="eastAsia" w:ascii="宋体" w:hAnsi="宋体" w:eastAsia="宋体" w:cs="宋体"/>
          <w:color w:val="auto"/>
          <w:kern w:val="0"/>
          <w:sz w:val="24"/>
          <w:szCs w:val="24"/>
          <w:highlight w:val="none"/>
          <w:lang w:val="en-US" w:eastAsia="zh-CN" w:bidi="ar-SA"/>
        </w:rPr>
        <w:t>参加投标，并提交投标文件。我方提交的全部投标文件由下述部分组成：</w:t>
      </w:r>
    </w:p>
    <w:p w14:paraId="2E9AB2C5">
      <w:pPr>
        <w:widowControl/>
        <w:spacing w:before="100" w:beforeAutospacing="1" w:after="100" w:afterAutospacing="1"/>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（1）资格及资信证明部分</w:t>
      </w:r>
    </w:p>
    <w:p w14:paraId="29E7B7C2">
      <w:pPr>
        <w:widowControl/>
        <w:spacing w:before="100" w:beforeAutospacing="1" w:after="100" w:afterAutospacing="1"/>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①投标函</w:t>
      </w:r>
    </w:p>
    <w:p w14:paraId="1AF851BD">
      <w:pPr>
        <w:widowControl/>
        <w:spacing w:before="100" w:beforeAutospacing="1" w:after="100" w:afterAutospacing="1"/>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②投标人的资格及资信证明文件</w:t>
      </w:r>
    </w:p>
    <w:p w14:paraId="549E94D1">
      <w:pPr>
        <w:widowControl/>
        <w:spacing w:before="100" w:beforeAutospacing="1" w:after="100" w:afterAutospacing="1"/>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③投标保证金</w:t>
      </w:r>
    </w:p>
    <w:p w14:paraId="41BA0E90">
      <w:pPr>
        <w:widowControl/>
        <w:spacing w:before="100" w:beforeAutospacing="1" w:after="100" w:afterAutospacing="1"/>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（2）报价部分</w:t>
      </w:r>
    </w:p>
    <w:p w14:paraId="16BF19C8">
      <w:pPr>
        <w:widowControl/>
        <w:spacing w:before="100" w:beforeAutospacing="1" w:after="100" w:afterAutospacing="1"/>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①开标一览表</w:t>
      </w:r>
    </w:p>
    <w:p w14:paraId="4898D131">
      <w:pPr>
        <w:widowControl/>
        <w:spacing w:before="100" w:beforeAutospacing="1" w:after="100" w:afterAutospacing="1"/>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②投标分项报价表</w:t>
      </w:r>
    </w:p>
    <w:p w14:paraId="1A789A6C">
      <w:pPr>
        <w:widowControl/>
        <w:spacing w:before="100" w:beforeAutospacing="1" w:after="100" w:afterAutospacing="1"/>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③招标文件规定的价格扣除证明材料（若有）</w:t>
      </w:r>
    </w:p>
    <w:p w14:paraId="20B51D9A">
      <w:pPr>
        <w:widowControl/>
        <w:spacing w:before="100" w:beforeAutospacing="1" w:after="100" w:afterAutospacing="1"/>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④招标文件规定的加分证明材料（若有）</w:t>
      </w:r>
    </w:p>
    <w:p w14:paraId="17B6B049">
      <w:pPr>
        <w:widowControl/>
        <w:spacing w:before="100" w:beforeAutospacing="1" w:after="100" w:afterAutospacing="1"/>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（3）技术商务部分</w:t>
      </w:r>
    </w:p>
    <w:p w14:paraId="32E858CC">
      <w:pPr>
        <w:widowControl/>
        <w:spacing w:before="100" w:beforeAutospacing="1" w:after="100" w:afterAutospacing="1"/>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①标的说明一览表</w:t>
      </w:r>
    </w:p>
    <w:p w14:paraId="2A9DFB20">
      <w:pPr>
        <w:widowControl/>
        <w:spacing w:before="100" w:beforeAutospacing="1" w:after="100" w:afterAutospacing="1"/>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②技术和服务要求响应表</w:t>
      </w:r>
    </w:p>
    <w:p w14:paraId="4238ADBC">
      <w:pPr>
        <w:widowControl/>
        <w:spacing w:before="100" w:beforeAutospacing="1" w:after="100" w:afterAutospacing="1"/>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③商务条件响应表</w:t>
      </w:r>
    </w:p>
    <w:p w14:paraId="02DC3939">
      <w:pPr>
        <w:widowControl/>
        <w:spacing w:before="100" w:beforeAutospacing="1" w:after="100" w:afterAutospacing="1"/>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④投标人提交的其他资料（若有）</w:t>
      </w:r>
    </w:p>
    <w:p w14:paraId="5E82D935">
      <w:pPr>
        <w:widowControl/>
        <w:spacing w:before="100" w:beforeAutospacing="1" w:after="100" w:afterAutospacing="1"/>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根据本函，本投标人代表宣布我方保证遵守招标文件的全部规定，同时：</w:t>
      </w:r>
    </w:p>
    <w:p w14:paraId="0674E75F">
      <w:pPr>
        <w:widowControl/>
        <w:spacing w:before="100" w:beforeAutospacing="1" w:after="100" w:afterAutospacing="1"/>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w:t>
      </w:r>
      <w:r>
        <w:rPr>
          <w:rFonts w:hint="eastAsia" w:ascii="宋体" w:hAnsi="宋体" w:eastAsia="宋体" w:cs="宋体"/>
          <w:b/>
          <w:color w:val="auto"/>
          <w:kern w:val="2"/>
          <w:sz w:val="21"/>
          <w:szCs w:val="24"/>
          <w:highlight w:val="none"/>
          <w:lang w:val="en-US" w:eastAsia="zh-CN" w:bidi="ar-SA"/>
        </w:rPr>
        <w:t>确认：</w:t>
      </w:r>
    </w:p>
    <w:p w14:paraId="788E5EA3">
      <w:pPr>
        <w:widowControl/>
        <w:spacing w:before="100" w:beforeAutospacing="1" w:after="100" w:afterAutospacing="1"/>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1.1所投采购包的投标报价详见“开标一览表”及“投标分项报价表”。</w:t>
      </w:r>
    </w:p>
    <w:p w14:paraId="662D39E3">
      <w:pPr>
        <w:widowControl/>
        <w:spacing w:before="100" w:beforeAutospacing="1" w:after="100" w:afterAutospacing="1"/>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1.2我方已详细审查全部招标文件[包括但不限于：有关附件（若有）、澄清或修改（若有）等]，并自行承担因对全部招标文件理解不正确或误解而产生的相应后果和责任。</w:t>
      </w:r>
    </w:p>
    <w:p w14:paraId="3EAA737D">
      <w:pPr>
        <w:widowControl/>
        <w:spacing w:before="100" w:beforeAutospacing="1" w:after="100" w:afterAutospacing="1"/>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w:t>
      </w:r>
      <w:r>
        <w:rPr>
          <w:rFonts w:hint="eastAsia" w:ascii="宋体" w:hAnsi="宋体" w:eastAsia="宋体" w:cs="宋体"/>
          <w:b/>
          <w:color w:val="auto"/>
          <w:kern w:val="2"/>
          <w:sz w:val="21"/>
          <w:szCs w:val="24"/>
          <w:highlight w:val="none"/>
          <w:lang w:val="en-US" w:eastAsia="zh-CN" w:bidi="ar-SA"/>
        </w:rPr>
        <w:t>承诺及声明：</w:t>
      </w:r>
    </w:p>
    <w:p w14:paraId="7CEB3988">
      <w:pPr>
        <w:widowControl/>
        <w:spacing w:before="100" w:beforeAutospacing="1" w:after="100" w:afterAutospacing="1"/>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2.1我方具备招标文件第一章载明的“投标人的资格要求”且符合招标文件第三章载明的“二、投标人”之规定，否则</w:t>
      </w:r>
      <w:r>
        <w:rPr>
          <w:rFonts w:hint="eastAsia" w:ascii="宋体" w:hAnsi="宋体" w:eastAsia="宋体" w:cs="宋体"/>
          <w:b/>
          <w:color w:val="auto"/>
          <w:kern w:val="2"/>
          <w:sz w:val="21"/>
          <w:szCs w:val="24"/>
          <w:highlight w:val="none"/>
          <w:lang w:val="en-US" w:eastAsia="zh-CN" w:bidi="ar-SA"/>
        </w:rPr>
        <w:t>投标无效。</w:t>
      </w:r>
    </w:p>
    <w:p w14:paraId="351A35A0">
      <w:pPr>
        <w:widowControl/>
        <w:spacing w:before="100" w:beforeAutospacing="1" w:after="100" w:afterAutospacing="1"/>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2.2我方提交的投标文件各组成部分的全部内容及资料是不可割离且真实、有效、准确、完整和不具有任何误导性的，否则产生不利后果由我方承担责任。</w:t>
      </w:r>
    </w:p>
    <w:p w14:paraId="75C17C82">
      <w:pPr>
        <w:widowControl/>
        <w:spacing w:before="100" w:beforeAutospacing="1" w:after="100" w:afterAutospacing="1"/>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2.3我方提供的标的价格不高于同期市场价格，否则产生不利后果由我方承担责任。</w:t>
      </w:r>
    </w:p>
    <w:p w14:paraId="5616A8BC">
      <w:pPr>
        <w:widowControl/>
        <w:spacing w:before="100" w:beforeAutospacing="1" w:after="100" w:afterAutospacing="1"/>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2.4投标保证金：若出现招标文件第三章规定的不予退还情形，同意贵单位不予退还。</w:t>
      </w:r>
    </w:p>
    <w:p w14:paraId="05D78369">
      <w:pPr>
        <w:widowControl/>
        <w:spacing w:before="100" w:beforeAutospacing="1" w:after="100" w:afterAutospacing="1"/>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2.5投标有效期：按照招标文件第三章规定执行，并在招标文件第二章载明的期限内保持有效。</w:t>
      </w:r>
    </w:p>
    <w:p w14:paraId="3F24CDE8">
      <w:pPr>
        <w:widowControl/>
        <w:spacing w:before="100" w:beforeAutospacing="1" w:after="100" w:afterAutospacing="1"/>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2.6若中标，将按照招标文件、我方投标文件及政府采购合同履行责任和义务。</w:t>
      </w:r>
    </w:p>
    <w:p w14:paraId="704E99E1">
      <w:pPr>
        <w:widowControl/>
        <w:spacing w:before="100" w:beforeAutospacing="1" w:after="100" w:afterAutospacing="1"/>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2.7若贵单位要求，我方同意提供与本项目投标有关的一切资料、数据或文件，并完全理解贵单位不一定要接受最低的投标报价或收到的任何投标。</w:t>
      </w:r>
    </w:p>
    <w:p w14:paraId="0F182742">
      <w:pPr>
        <w:widowControl/>
        <w:spacing w:before="100" w:beforeAutospacing="1" w:after="100" w:afterAutospacing="1"/>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2.8我方承诺投标文件所提供的全部资料真实可靠，并接受评标委员会、采购人、采购代理机构、监管部门进一步审查其中任何资料真实性的要求。</w:t>
      </w:r>
    </w:p>
    <w:p w14:paraId="741AAA66">
      <w:pPr>
        <w:widowControl/>
        <w:spacing w:before="100" w:beforeAutospacing="1" w:after="100" w:afterAutospacing="1"/>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2.9除招标文件另有规定外，对于贵单位按照下述联络方式发出的任何信息或通知，均视为我方已收悉前述信息或通知的全部内容：</w:t>
      </w:r>
    </w:p>
    <w:p w14:paraId="1648674F">
      <w:pPr>
        <w:widowControl/>
        <w:spacing w:before="100" w:beforeAutospacing="1" w:after="100" w:afterAutospacing="1"/>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w:t>
      </w:r>
    </w:p>
    <w:p w14:paraId="03A83B61">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通信地址：                                        </w:t>
      </w:r>
    </w:p>
    <w:p w14:paraId="67351977">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邮编：                                           </w:t>
      </w:r>
    </w:p>
    <w:p w14:paraId="72481309">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联系方法：（包括但不限于：联系人、联系电话、手机、传真、电子邮箱等）</w:t>
      </w:r>
    </w:p>
    <w:p w14:paraId="4FC15E78">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投标人：（全称并加盖单位公章）</w:t>
      </w:r>
    </w:p>
    <w:p w14:paraId="16DBF260">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投标人代表签字：</w:t>
      </w:r>
    </w:p>
    <w:p w14:paraId="3F4C5280">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5F2392D0">
      <w:pPr>
        <w:widowControl/>
        <w:spacing w:before="100" w:beforeAutospacing="1" w:after="100" w:afterAutospacing="1"/>
        <w:ind w:firstLine="420"/>
        <w:jc w:val="left"/>
        <w:rPr>
          <w:rFonts w:hint="eastAsia" w:ascii="宋体" w:hAnsi="宋体" w:eastAsia="宋体" w:cs="宋体"/>
          <w:color w:val="auto"/>
          <w:kern w:val="0"/>
          <w:sz w:val="21"/>
          <w:szCs w:val="21"/>
          <w:highlight w:val="none"/>
          <w:lang w:val="en-US" w:eastAsia="zh-CN" w:bidi="ar-SA"/>
        </w:rPr>
      </w:pPr>
    </w:p>
    <w:p w14:paraId="4F35CB1D">
      <w:pPr>
        <w:widowControl/>
        <w:spacing w:before="100" w:beforeAutospacing="1" w:after="100" w:afterAutospacing="1"/>
        <w:ind w:firstLine="420"/>
        <w:jc w:val="left"/>
        <w:rPr>
          <w:rFonts w:hint="eastAsia" w:ascii="宋体" w:hAnsi="宋体" w:eastAsia="宋体" w:cs="宋体"/>
          <w:color w:val="auto"/>
          <w:kern w:val="0"/>
          <w:sz w:val="21"/>
          <w:szCs w:val="21"/>
          <w:highlight w:val="none"/>
          <w:lang w:val="en-US" w:eastAsia="zh-CN" w:bidi="ar-SA"/>
        </w:rPr>
      </w:pPr>
    </w:p>
    <w:p w14:paraId="212C5A5B">
      <w:pPr>
        <w:widowControl/>
        <w:spacing w:before="100" w:beforeAutospacing="1" w:after="100" w:afterAutospacing="1"/>
        <w:ind w:firstLine="420"/>
        <w:jc w:val="left"/>
        <w:rPr>
          <w:rFonts w:hint="eastAsia" w:ascii="宋体" w:hAnsi="宋体" w:eastAsia="宋体" w:cs="宋体"/>
          <w:color w:val="auto"/>
          <w:kern w:val="0"/>
          <w:sz w:val="21"/>
          <w:szCs w:val="21"/>
          <w:highlight w:val="none"/>
          <w:lang w:val="en-US" w:eastAsia="zh-CN" w:bidi="ar-SA"/>
        </w:rPr>
      </w:pPr>
    </w:p>
    <w:p w14:paraId="16B6DF0A">
      <w:pPr>
        <w:widowControl/>
        <w:spacing w:before="100" w:beforeAutospacing="1" w:after="100" w:afterAutospacing="1"/>
        <w:ind w:firstLine="420"/>
        <w:jc w:val="left"/>
        <w:rPr>
          <w:rFonts w:hint="eastAsia" w:ascii="宋体" w:hAnsi="宋体" w:eastAsia="宋体" w:cs="宋体"/>
          <w:color w:val="auto"/>
          <w:kern w:val="0"/>
          <w:sz w:val="21"/>
          <w:szCs w:val="21"/>
          <w:highlight w:val="none"/>
          <w:lang w:val="en-US" w:eastAsia="zh-CN" w:bidi="ar-SA"/>
        </w:rPr>
      </w:pPr>
    </w:p>
    <w:p w14:paraId="6EA266A0">
      <w:pPr>
        <w:widowControl/>
        <w:spacing w:before="100" w:beforeAutospacing="1" w:after="100" w:afterAutospacing="1"/>
        <w:ind w:firstLine="420"/>
        <w:jc w:val="left"/>
        <w:rPr>
          <w:rFonts w:hint="eastAsia" w:ascii="宋体" w:hAnsi="宋体" w:eastAsia="宋体" w:cs="宋体"/>
          <w:color w:val="auto"/>
          <w:kern w:val="0"/>
          <w:sz w:val="21"/>
          <w:szCs w:val="21"/>
          <w:highlight w:val="none"/>
          <w:lang w:val="en-US" w:eastAsia="zh-CN" w:bidi="ar-SA"/>
        </w:rPr>
      </w:pPr>
    </w:p>
    <w:p w14:paraId="7097883C">
      <w:pPr>
        <w:widowControl/>
        <w:spacing w:before="100" w:beforeAutospacing="1" w:after="100" w:afterAutospacing="1"/>
        <w:ind w:firstLine="420"/>
        <w:jc w:val="left"/>
        <w:rPr>
          <w:rFonts w:hint="eastAsia" w:ascii="宋体" w:hAnsi="宋体" w:eastAsia="宋体" w:cs="宋体"/>
          <w:color w:val="auto"/>
          <w:kern w:val="0"/>
          <w:sz w:val="21"/>
          <w:szCs w:val="21"/>
          <w:highlight w:val="none"/>
          <w:lang w:val="en-US" w:eastAsia="zh-CN" w:bidi="ar-SA"/>
        </w:rPr>
      </w:pPr>
    </w:p>
    <w:p w14:paraId="0039A6A1">
      <w:pPr>
        <w:widowControl/>
        <w:spacing w:before="100" w:beforeAutospacing="1" w:after="100" w:afterAutospacing="1"/>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color w:val="auto"/>
          <w:kern w:val="2"/>
          <w:sz w:val="21"/>
          <w:szCs w:val="24"/>
          <w:highlight w:val="none"/>
          <w:lang w:val="en-US" w:eastAsia="zh-CN" w:bidi="ar-SA"/>
        </w:rPr>
        <w:t>二、投标人的资格及资信证明文件</w:t>
      </w:r>
    </w:p>
    <w:p w14:paraId="3CF7DFAF">
      <w:pPr>
        <w:widowControl/>
        <w:spacing w:before="100" w:beforeAutospacing="1" w:after="100" w:afterAutospacing="1"/>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color w:val="auto"/>
          <w:kern w:val="2"/>
          <w:sz w:val="21"/>
          <w:szCs w:val="24"/>
          <w:highlight w:val="none"/>
          <w:lang w:val="en-US" w:eastAsia="zh-CN" w:bidi="ar-SA"/>
        </w:rPr>
        <w:t>二-1单位负责人授权书（若有）</w:t>
      </w:r>
    </w:p>
    <w:p w14:paraId="2563DF89">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w:t>
      </w:r>
    </w:p>
    <w:p w14:paraId="6DFCC753">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致：</w:t>
      </w:r>
      <w:r>
        <w:rPr>
          <w:rFonts w:hint="eastAsia" w:ascii="宋体" w:hAnsi="宋体" w:eastAsia="宋体" w:cs="宋体"/>
          <w:color w:val="auto"/>
          <w:kern w:val="0"/>
          <w:sz w:val="24"/>
          <w:szCs w:val="24"/>
          <w:highlight w:val="none"/>
          <w:u w:val="single"/>
          <w:lang w:val="en-US" w:eastAsia="zh-CN" w:bidi="ar-SA"/>
        </w:rPr>
        <w:t>                     </w:t>
      </w:r>
    </w:p>
    <w:p w14:paraId="4AEC9B69">
      <w:pPr>
        <w:widowControl/>
        <w:spacing w:before="100" w:beforeAutospacing="1" w:after="100" w:afterAutospacing="1"/>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我方的单位负责人</w:t>
      </w:r>
      <w:r>
        <w:rPr>
          <w:rFonts w:hint="eastAsia" w:ascii="宋体" w:hAnsi="宋体" w:eastAsia="宋体" w:cs="宋体"/>
          <w:color w:val="auto"/>
          <w:kern w:val="0"/>
          <w:sz w:val="24"/>
          <w:szCs w:val="24"/>
          <w:highlight w:val="none"/>
          <w:u w:val="single"/>
          <w:lang w:val="en-US" w:eastAsia="zh-CN" w:bidi="ar-SA"/>
        </w:rPr>
        <w:t>（填写“单位负责人全名”）</w:t>
      </w:r>
      <w:r>
        <w:rPr>
          <w:rFonts w:hint="eastAsia" w:ascii="宋体" w:hAnsi="宋体" w:eastAsia="宋体" w:cs="宋体"/>
          <w:color w:val="auto"/>
          <w:kern w:val="0"/>
          <w:sz w:val="24"/>
          <w:szCs w:val="24"/>
          <w:highlight w:val="none"/>
          <w:lang w:val="en-US" w:eastAsia="zh-CN" w:bidi="ar-SA"/>
        </w:rPr>
        <w:t>授权</w:t>
      </w:r>
      <w:r>
        <w:rPr>
          <w:rFonts w:hint="eastAsia" w:ascii="宋体" w:hAnsi="宋体" w:eastAsia="宋体" w:cs="宋体"/>
          <w:color w:val="auto"/>
          <w:kern w:val="0"/>
          <w:sz w:val="24"/>
          <w:szCs w:val="24"/>
          <w:highlight w:val="none"/>
          <w:u w:val="single"/>
          <w:lang w:val="en-US" w:eastAsia="zh-CN" w:bidi="ar-SA"/>
        </w:rPr>
        <w:t>（填写“投标人代表全名”）</w:t>
      </w:r>
      <w:r>
        <w:rPr>
          <w:rFonts w:hint="eastAsia" w:ascii="宋体" w:hAnsi="宋体" w:eastAsia="宋体" w:cs="宋体"/>
          <w:color w:val="auto"/>
          <w:kern w:val="0"/>
          <w:sz w:val="24"/>
          <w:szCs w:val="24"/>
          <w:highlight w:val="none"/>
          <w:lang w:val="en-US" w:eastAsia="zh-CN" w:bidi="ar-SA"/>
        </w:rPr>
        <w:t>为投标人代表，代表我方参加</w:t>
      </w:r>
      <w:r>
        <w:rPr>
          <w:rFonts w:hint="eastAsia" w:ascii="宋体" w:hAnsi="宋体" w:eastAsia="宋体" w:cs="宋体"/>
          <w:color w:val="auto"/>
          <w:kern w:val="0"/>
          <w:sz w:val="24"/>
          <w:szCs w:val="24"/>
          <w:highlight w:val="none"/>
          <w:u w:val="single"/>
          <w:lang w:val="en-US" w:eastAsia="zh-CN" w:bidi="ar-SA"/>
        </w:rPr>
        <w:t>（填写“项目名称”）</w:t>
      </w:r>
      <w:r>
        <w:rPr>
          <w:rFonts w:hint="eastAsia" w:ascii="宋体" w:hAnsi="宋体" w:eastAsia="宋体" w:cs="宋体"/>
          <w:color w:val="auto"/>
          <w:kern w:val="0"/>
          <w:sz w:val="24"/>
          <w:szCs w:val="24"/>
          <w:highlight w:val="none"/>
          <w:lang w:val="en-US" w:eastAsia="zh-CN" w:bidi="ar-SA"/>
        </w:rPr>
        <w:t>项目（招标编号：</w:t>
      </w:r>
      <w:r>
        <w:rPr>
          <w:rFonts w:hint="eastAsia" w:ascii="宋体" w:hAnsi="宋体" w:eastAsia="宋体" w:cs="宋体"/>
          <w:color w:val="auto"/>
          <w:kern w:val="0"/>
          <w:sz w:val="24"/>
          <w:szCs w:val="24"/>
          <w:highlight w:val="none"/>
          <w:u w:val="single"/>
          <w:lang w:val="en-US" w:eastAsia="zh-CN" w:bidi="ar-SA"/>
        </w:rPr>
        <w:t>         </w:t>
      </w:r>
      <w:r>
        <w:rPr>
          <w:rFonts w:hint="eastAsia" w:ascii="宋体" w:hAnsi="宋体" w:eastAsia="宋体" w:cs="宋体"/>
          <w:color w:val="auto"/>
          <w:kern w:val="0"/>
          <w:sz w:val="24"/>
          <w:szCs w:val="24"/>
          <w:highlight w:val="none"/>
          <w:lang w:val="en-US" w:eastAsia="zh-CN" w:bidi="ar-SA"/>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3F3499DC">
      <w:pPr>
        <w:widowControl/>
        <w:spacing w:before="100" w:beforeAutospacing="1" w:after="100" w:afterAutospacing="1"/>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投标人代表无转委权。特此授权。</w:t>
      </w:r>
    </w:p>
    <w:p w14:paraId="32CBC14E">
      <w:pPr>
        <w:widowControl/>
        <w:spacing w:before="100" w:beforeAutospacing="1" w:after="100" w:afterAutospacing="1"/>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（以下无正文）</w:t>
      </w:r>
    </w:p>
    <w:p w14:paraId="20FDA5E0">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w:t>
      </w:r>
    </w:p>
    <w:p w14:paraId="38B21B30">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单位负责人：</w:t>
      </w:r>
      <w:r>
        <w:rPr>
          <w:rFonts w:hint="eastAsia" w:ascii="宋体" w:hAnsi="宋体" w:eastAsia="宋体" w:cs="宋体"/>
          <w:color w:val="auto"/>
          <w:kern w:val="0"/>
          <w:sz w:val="24"/>
          <w:szCs w:val="24"/>
          <w:highlight w:val="none"/>
          <w:u w:val="single"/>
          <w:lang w:val="en-US" w:eastAsia="zh-CN" w:bidi="ar-SA"/>
        </w:rPr>
        <w:t>      </w:t>
      </w:r>
      <w:r>
        <w:rPr>
          <w:rFonts w:hint="eastAsia" w:ascii="宋体" w:hAnsi="宋体" w:eastAsia="宋体" w:cs="宋体"/>
          <w:color w:val="auto"/>
          <w:kern w:val="0"/>
          <w:sz w:val="24"/>
          <w:szCs w:val="24"/>
          <w:highlight w:val="none"/>
          <w:lang w:val="en-US" w:eastAsia="zh-CN" w:bidi="ar-SA"/>
        </w:rPr>
        <w:t>身份证号：</w:t>
      </w:r>
      <w:r>
        <w:rPr>
          <w:rFonts w:hint="eastAsia" w:ascii="宋体" w:hAnsi="宋体" w:eastAsia="宋体" w:cs="宋体"/>
          <w:color w:val="auto"/>
          <w:kern w:val="0"/>
          <w:sz w:val="24"/>
          <w:szCs w:val="24"/>
          <w:highlight w:val="none"/>
          <w:u w:val="single"/>
          <w:lang w:val="en-US" w:eastAsia="zh-CN" w:bidi="ar-SA"/>
        </w:rPr>
        <w:t>          </w:t>
      </w:r>
      <w:r>
        <w:rPr>
          <w:rFonts w:hint="eastAsia" w:ascii="宋体" w:hAnsi="宋体" w:eastAsia="宋体" w:cs="宋体"/>
          <w:color w:val="auto"/>
          <w:kern w:val="0"/>
          <w:sz w:val="24"/>
          <w:szCs w:val="24"/>
          <w:highlight w:val="none"/>
          <w:lang w:val="en-US" w:eastAsia="zh-CN" w:bidi="ar-SA"/>
        </w:rPr>
        <w:t>手机：</w:t>
      </w:r>
      <w:r>
        <w:rPr>
          <w:rFonts w:hint="eastAsia" w:ascii="宋体" w:hAnsi="宋体" w:eastAsia="宋体" w:cs="宋体"/>
          <w:color w:val="auto"/>
          <w:kern w:val="0"/>
          <w:sz w:val="24"/>
          <w:szCs w:val="24"/>
          <w:highlight w:val="none"/>
          <w:u w:val="single"/>
          <w:lang w:val="en-US" w:eastAsia="zh-CN" w:bidi="ar-SA"/>
        </w:rPr>
        <w:t>        </w:t>
      </w:r>
    </w:p>
    <w:p w14:paraId="7E29301C">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投标人代表：</w:t>
      </w:r>
      <w:r>
        <w:rPr>
          <w:rFonts w:hint="eastAsia" w:ascii="宋体" w:hAnsi="宋体" w:eastAsia="宋体" w:cs="宋体"/>
          <w:color w:val="auto"/>
          <w:kern w:val="0"/>
          <w:sz w:val="24"/>
          <w:szCs w:val="24"/>
          <w:highlight w:val="none"/>
          <w:u w:val="single"/>
          <w:lang w:val="en-US" w:eastAsia="zh-CN" w:bidi="ar-SA"/>
        </w:rPr>
        <w:t>      </w:t>
      </w:r>
      <w:r>
        <w:rPr>
          <w:rFonts w:hint="eastAsia" w:ascii="宋体" w:hAnsi="宋体" w:eastAsia="宋体" w:cs="宋体"/>
          <w:color w:val="auto"/>
          <w:kern w:val="0"/>
          <w:sz w:val="24"/>
          <w:szCs w:val="24"/>
          <w:highlight w:val="none"/>
          <w:lang w:val="en-US" w:eastAsia="zh-CN" w:bidi="ar-SA"/>
        </w:rPr>
        <w:t>身份证号：</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手机：</w:t>
      </w:r>
      <w:r>
        <w:rPr>
          <w:rFonts w:hint="eastAsia" w:ascii="宋体" w:hAnsi="宋体" w:eastAsia="宋体" w:cs="宋体"/>
          <w:color w:val="auto"/>
          <w:kern w:val="0"/>
          <w:sz w:val="24"/>
          <w:szCs w:val="24"/>
          <w:highlight w:val="none"/>
          <w:u w:val="single"/>
          <w:lang w:val="en-US" w:eastAsia="zh-CN" w:bidi="ar-SA"/>
        </w:rPr>
        <w:t xml:space="preserve">        </w:t>
      </w:r>
    </w:p>
    <w:p w14:paraId="6C1AB2A8">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w:t>
      </w:r>
    </w:p>
    <w:p w14:paraId="649C4C91">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授权方</w:t>
      </w:r>
    </w:p>
    <w:p w14:paraId="194FB661">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投标人：</w:t>
      </w:r>
      <w:r>
        <w:rPr>
          <w:rFonts w:hint="eastAsia" w:ascii="宋体" w:hAnsi="宋体" w:eastAsia="宋体" w:cs="宋体"/>
          <w:color w:val="auto"/>
          <w:kern w:val="0"/>
          <w:sz w:val="24"/>
          <w:szCs w:val="24"/>
          <w:highlight w:val="none"/>
          <w:u w:val="single"/>
          <w:lang w:val="en-US" w:eastAsia="zh-CN" w:bidi="ar-SA"/>
        </w:rPr>
        <w:t>（全称并加盖单位公章）</w:t>
      </w:r>
    </w:p>
    <w:p w14:paraId="3731CF58">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单位负责人签字或盖章：</w:t>
      </w:r>
      <w:r>
        <w:rPr>
          <w:rFonts w:hint="eastAsia" w:ascii="宋体" w:hAnsi="宋体" w:eastAsia="宋体" w:cs="宋体"/>
          <w:color w:val="auto"/>
          <w:kern w:val="0"/>
          <w:sz w:val="24"/>
          <w:szCs w:val="24"/>
          <w:highlight w:val="none"/>
          <w:u w:val="single"/>
          <w:lang w:val="en-US" w:eastAsia="zh-CN" w:bidi="ar-SA"/>
        </w:rPr>
        <w:t>                   </w:t>
      </w:r>
    </w:p>
    <w:p w14:paraId="6DE6798C">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w:t>
      </w:r>
    </w:p>
    <w:p w14:paraId="37D7632C">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接受授权方</w:t>
      </w:r>
    </w:p>
    <w:p w14:paraId="17BAAA35">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投标人代表签字：</w:t>
      </w:r>
      <w:r>
        <w:rPr>
          <w:rFonts w:hint="eastAsia" w:ascii="宋体" w:hAnsi="宋体" w:eastAsia="宋体" w:cs="宋体"/>
          <w:color w:val="auto"/>
          <w:kern w:val="0"/>
          <w:sz w:val="24"/>
          <w:szCs w:val="24"/>
          <w:highlight w:val="none"/>
          <w:u w:val="single"/>
          <w:lang w:val="en-US" w:eastAsia="zh-CN" w:bidi="ar-SA"/>
        </w:rPr>
        <w:t>                   </w:t>
      </w:r>
    </w:p>
    <w:p w14:paraId="51C2C65F">
      <w:pPr>
        <w:widowControl/>
        <w:spacing w:before="100" w:beforeAutospacing="1" w:after="100" w:afterAutospacing="1"/>
        <w:jc w:val="righ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签署日期：</w:t>
      </w:r>
      <w:r>
        <w:rPr>
          <w:rFonts w:hint="eastAsia" w:ascii="宋体" w:hAnsi="宋体" w:eastAsia="宋体" w:cs="宋体"/>
          <w:color w:val="auto"/>
          <w:kern w:val="0"/>
          <w:sz w:val="24"/>
          <w:szCs w:val="24"/>
          <w:highlight w:val="none"/>
          <w:u w:val="single"/>
          <w:lang w:val="en-US" w:eastAsia="zh-CN" w:bidi="ar-SA"/>
        </w:rPr>
        <w:t>    </w:t>
      </w:r>
      <w:r>
        <w:rPr>
          <w:rFonts w:hint="eastAsia" w:ascii="宋体" w:hAnsi="宋体" w:eastAsia="宋体" w:cs="宋体"/>
          <w:color w:val="auto"/>
          <w:kern w:val="0"/>
          <w:sz w:val="24"/>
          <w:szCs w:val="24"/>
          <w:highlight w:val="none"/>
          <w:lang w:val="en-US" w:eastAsia="zh-CN" w:bidi="ar-SA"/>
        </w:rPr>
        <w:t>年</w:t>
      </w:r>
      <w:r>
        <w:rPr>
          <w:rFonts w:hint="eastAsia" w:ascii="宋体" w:hAnsi="宋体" w:eastAsia="宋体" w:cs="宋体"/>
          <w:color w:val="auto"/>
          <w:kern w:val="0"/>
          <w:sz w:val="24"/>
          <w:szCs w:val="24"/>
          <w:highlight w:val="none"/>
          <w:u w:val="single"/>
          <w:lang w:val="en-US" w:eastAsia="zh-CN" w:bidi="ar-SA"/>
        </w:rPr>
        <w:t>   </w:t>
      </w:r>
      <w:r>
        <w:rPr>
          <w:rFonts w:hint="eastAsia" w:ascii="宋体" w:hAnsi="宋体" w:eastAsia="宋体" w:cs="宋体"/>
          <w:color w:val="auto"/>
          <w:kern w:val="0"/>
          <w:sz w:val="24"/>
          <w:szCs w:val="24"/>
          <w:highlight w:val="none"/>
          <w:lang w:val="en-US" w:eastAsia="zh-CN" w:bidi="ar-SA"/>
        </w:rPr>
        <w:t>月</w:t>
      </w:r>
      <w:r>
        <w:rPr>
          <w:rFonts w:hint="eastAsia" w:ascii="宋体" w:hAnsi="宋体" w:eastAsia="宋体" w:cs="宋体"/>
          <w:color w:val="auto"/>
          <w:kern w:val="0"/>
          <w:sz w:val="24"/>
          <w:szCs w:val="24"/>
          <w:highlight w:val="none"/>
          <w:u w:val="single"/>
          <w:lang w:val="en-US" w:eastAsia="zh-CN" w:bidi="ar-SA"/>
        </w:rPr>
        <w:t>   </w:t>
      </w:r>
      <w:r>
        <w:rPr>
          <w:rFonts w:hint="eastAsia" w:ascii="宋体" w:hAnsi="宋体" w:eastAsia="宋体" w:cs="宋体"/>
          <w:color w:val="auto"/>
          <w:kern w:val="0"/>
          <w:sz w:val="24"/>
          <w:szCs w:val="24"/>
          <w:highlight w:val="none"/>
          <w:lang w:val="en-US" w:eastAsia="zh-CN" w:bidi="ar-SA"/>
        </w:rPr>
        <w:t>日</w:t>
      </w:r>
    </w:p>
    <w:p w14:paraId="5C9E76E2">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附：单位负责人、投标人代表的身份证正反面复印件</w:t>
      </w:r>
    </w:p>
    <w:tbl>
      <w:tblPr>
        <w:tblStyle w:val="23"/>
        <w:tblW w:w="0" w:type="auto"/>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520"/>
      </w:tblGrid>
      <w:tr w14:paraId="7DAFA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520" w:type="dxa"/>
            <w:tcMar>
              <w:top w:w="0" w:type="dxa"/>
              <w:left w:w="105" w:type="dxa"/>
              <w:bottom w:w="0" w:type="dxa"/>
              <w:right w:w="105" w:type="dxa"/>
            </w:tcMar>
            <w:vAlign w:val="center"/>
          </w:tcPr>
          <w:p w14:paraId="28838A5A">
            <w:pPr>
              <w:widowControl/>
              <w:spacing w:before="100" w:beforeAutospacing="1" w:after="100" w:afterAutospacing="1"/>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color w:val="auto"/>
                <w:kern w:val="2"/>
                <w:sz w:val="21"/>
                <w:szCs w:val="24"/>
                <w:highlight w:val="none"/>
                <w:lang w:val="en-US" w:eastAsia="zh-CN" w:bidi="ar-SA"/>
              </w:rPr>
              <w:t> 要求：真实有效且内容完整、清晰、整洁。 </w:t>
            </w:r>
          </w:p>
        </w:tc>
      </w:tr>
    </w:tbl>
    <w:p w14:paraId="513687DE">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★注意：</w:t>
      </w:r>
    </w:p>
    <w:p w14:paraId="333B41E5">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1、企业（银行、保险、石油石化、电力、电信等行业除外）、事业单位和社会团体法人的“单位负责人”指</w:t>
      </w:r>
      <w:r>
        <w:rPr>
          <w:rFonts w:hint="eastAsia" w:ascii="宋体" w:hAnsi="宋体" w:eastAsia="宋体" w:cs="宋体"/>
          <w:b/>
          <w:color w:val="auto"/>
          <w:kern w:val="2"/>
          <w:sz w:val="21"/>
          <w:szCs w:val="24"/>
          <w:highlight w:val="none"/>
          <w:lang w:val="en-US" w:eastAsia="zh-CN" w:bidi="ar-SA"/>
        </w:rPr>
        <w:t>法定代表人</w:t>
      </w:r>
      <w:r>
        <w:rPr>
          <w:rFonts w:hint="eastAsia" w:ascii="宋体" w:hAnsi="宋体" w:eastAsia="宋体" w:cs="宋体"/>
          <w:color w:val="auto"/>
          <w:kern w:val="0"/>
          <w:sz w:val="24"/>
          <w:szCs w:val="24"/>
          <w:highlight w:val="none"/>
          <w:lang w:val="en-US" w:eastAsia="zh-CN" w:bidi="ar-SA"/>
        </w:rPr>
        <w:t>，即与实际提交的“营业执照等证明文件”载明的一致。</w:t>
      </w:r>
    </w:p>
    <w:p w14:paraId="3E5445D3">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0F10547A">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3、投标人（自然人除外）：若投标人代表为单位负责人授权的委托代理人，应提供本授权书；若投标人代表为单位负责人，应在此项下提交其身份证正反面复印件，可不提供本授权书。</w:t>
      </w:r>
    </w:p>
    <w:p w14:paraId="2755472B">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4、投标人为自然人的，可不填写本授权书。</w:t>
      </w:r>
    </w:p>
    <w:p w14:paraId="5CC344F0">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5、纸质投标文件正本中的本授权书（若有）应为原件。 </w:t>
      </w:r>
    </w:p>
    <w:p w14:paraId="6EF4ABAF">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p>
    <w:p w14:paraId="637F3B66">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 </w:t>
      </w:r>
    </w:p>
    <w:p w14:paraId="713807AE">
      <w:pPr>
        <w:widowControl/>
        <w:spacing w:before="100" w:beforeAutospacing="1" w:after="100" w:afterAutospacing="1"/>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w:t>
      </w:r>
    </w:p>
    <w:p w14:paraId="3A6829B0">
      <w:pPr>
        <w:widowControl/>
        <w:spacing w:before="100" w:beforeAutospacing="1" w:after="100" w:afterAutospacing="1"/>
        <w:jc w:val="left"/>
        <w:rPr>
          <w:rFonts w:hint="eastAsia" w:ascii="宋体" w:hAnsi="宋体" w:eastAsia="宋体" w:cs="宋体"/>
          <w:color w:val="auto"/>
          <w:kern w:val="0"/>
          <w:sz w:val="21"/>
          <w:szCs w:val="21"/>
          <w:highlight w:val="none"/>
          <w:lang w:val="en-US" w:eastAsia="zh-CN" w:bidi="ar-SA"/>
        </w:rPr>
      </w:pPr>
    </w:p>
    <w:p w14:paraId="4647E7A7">
      <w:pPr>
        <w:widowControl/>
        <w:spacing w:before="100" w:beforeAutospacing="1" w:after="100" w:afterAutospacing="1"/>
        <w:jc w:val="left"/>
        <w:rPr>
          <w:rFonts w:hint="eastAsia" w:ascii="宋体" w:hAnsi="宋体" w:eastAsia="宋体" w:cs="宋体"/>
          <w:color w:val="auto"/>
          <w:kern w:val="0"/>
          <w:sz w:val="21"/>
          <w:szCs w:val="21"/>
          <w:highlight w:val="none"/>
          <w:lang w:val="en-US" w:eastAsia="zh-CN" w:bidi="ar-SA"/>
        </w:rPr>
      </w:pPr>
    </w:p>
    <w:p w14:paraId="2206EFC1">
      <w:pPr>
        <w:widowControl/>
        <w:spacing w:before="100" w:beforeAutospacing="1" w:after="100" w:afterAutospacing="1"/>
        <w:jc w:val="left"/>
        <w:rPr>
          <w:rFonts w:hint="eastAsia" w:ascii="宋体" w:hAnsi="宋体" w:eastAsia="宋体" w:cs="宋体"/>
          <w:color w:val="auto"/>
          <w:kern w:val="0"/>
          <w:sz w:val="21"/>
          <w:szCs w:val="21"/>
          <w:highlight w:val="none"/>
          <w:lang w:val="en-US" w:eastAsia="zh-CN" w:bidi="ar-SA"/>
        </w:rPr>
      </w:pPr>
    </w:p>
    <w:p w14:paraId="1678605B">
      <w:pPr>
        <w:widowControl/>
        <w:spacing w:before="100" w:beforeAutospacing="1" w:after="100" w:afterAutospacing="1"/>
        <w:jc w:val="left"/>
        <w:rPr>
          <w:rFonts w:hint="eastAsia" w:ascii="宋体" w:hAnsi="宋体" w:eastAsia="宋体" w:cs="宋体"/>
          <w:color w:val="auto"/>
          <w:kern w:val="0"/>
          <w:sz w:val="21"/>
          <w:szCs w:val="21"/>
          <w:highlight w:val="none"/>
          <w:lang w:val="en-US" w:eastAsia="zh-CN" w:bidi="ar-SA"/>
        </w:rPr>
      </w:pPr>
    </w:p>
    <w:p w14:paraId="2ECB4E1E">
      <w:pPr>
        <w:widowControl/>
        <w:spacing w:before="100" w:beforeAutospacing="1" w:after="100" w:afterAutospacing="1"/>
        <w:jc w:val="left"/>
        <w:rPr>
          <w:rFonts w:hint="eastAsia" w:ascii="宋体" w:hAnsi="宋体" w:eastAsia="宋体" w:cs="宋体"/>
          <w:color w:val="auto"/>
          <w:kern w:val="0"/>
          <w:sz w:val="21"/>
          <w:szCs w:val="21"/>
          <w:highlight w:val="none"/>
          <w:lang w:val="en-US" w:eastAsia="zh-CN" w:bidi="ar-SA"/>
        </w:rPr>
      </w:pPr>
    </w:p>
    <w:p w14:paraId="169AE4FD">
      <w:pPr>
        <w:widowControl/>
        <w:spacing w:before="100" w:beforeAutospacing="1" w:after="100" w:afterAutospacing="1"/>
        <w:jc w:val="left"/>
        <w:rPr>
          <w:rFonts w:hint="eastAsia" w:ascii="宋体" w:hAnsi="宋体" w:eastAsia="宋体" w:cs="宋体"/>
          <w:color w:val="auto"/>
          <w:kern w:val="0"/>
          <w:sz w:val="21"/>
          <w:szCs w:val="21"/>
          <w:highlight w:val="none"/>
          <w:lang w:val="en-US" w:eastAsia="zh-CN" w:bidi="ar-SA"/>
        </w:rPr>
      </w:pPr>
    </w:p>
    <w:p w14:paraId="36811DBC">
      <w:pPr>
        <w:widowControl/>
        <w:spacing w:before="100" w:beforeAutospacing="1" w:after="100" w:afterAutospacing="1"/>
        <w:jc w:val="left"/>
        <w:rPr>
          <w:rFonts w:hint="eastAsia" w:ascii="宋体" w:hAnsi="宋体" w:eastAsia="宋体" w:cs="宋体"/>
          <w:color w:val="auto"/>
          <w:kern w:val="0"/>
          <w:sz w:val="21"/>
          <w:szCs w:val="21"/>
          <w:highlight w:val="none"/>
          <w:lang w:val="en-US" w:eastAsia="zh-CN" w:bidi="ar-SA"/>
        </w:rPr>
      </w:pPr>
    </w:p>
    <w:p w14:paraId="348C9024">
      <w:pPr>
        <w:widowControl/>
        <w:spacing w:before="100" w:beforeAutospacing="1" w:after="100" w:afterAutospacing="1"/>
        <w:jc w:val="left"/>
        <w:rPr>
          <w:rFonts w:hint="eastAsia" w:ascii="宋体" w:hAnsi="宋体" w:eastAsia="宋体" w:cs="宋体"/>
          <w:color w:val="auto"/>
          <w:kern w:val="0"/>
          <w:sz w:val="21"/>
          <w:szCs w:val="21"/>
          <w:highlight w:val="none"/>
          <w:lang w:val="en-US" w:eastAsia="zh-CN" w:bidi="ar-SA"/>
        </w:rPr>
      </w:pPr>
    </w:p>
    <w:p w14:paraId="67DC27CC">
      <w:pPr>
        <w:widowControl/>
        <w:spacing w:before="100" w:beforeAutospacing="1" w:after="100" w:afterAutospacing="1"/>
        <w:jc w:val="left"/>
        <w:rPr>
          <w:rFonts w:hint="eastAsia" w:ascii="宋体" w:hAnsi="宋体" w:eastAsia="宋体" w:cs="宋体"/>
          <w:color w:val="auto"/>
          <w:kern w:val="0"/>
          <w:sz w:val="21"/>
          <w:szCs w:val="21"/>
          <w:highlight w:val="none"/>
          <w:lang w:val="en-US" w:eastAsia="zh-CN" w:bidi="ar-SA"/>
        </w:rPr>
      </w:pPr>
    </w:p>
    <w:p w14:paraId="1E3DDC9E">
      <w:pPr>
        <w:widowControl/>
        <w:spacing w:before="100" w:beforeAutospacing="1" w:after="100" w:afterAutospacing="1"/>
        <w:jc w:val="left"/>
        <w:rPr>
          <w:rFonts w:hint="eastAsia" w:ascii="宋体" w:hAnsi="宋体" w:eastAsia="宋体" w:cs="宋体"/>
          <w:color w:val="auto"/>
          <w:kern w:val="0"/>
          <w:sz w:val="21"/>
          <w:szCs w:val="21"/>
          <w:highlight w:val="none"/>
          <w:lang w:val="en-US" w:eastAsia="zh-CN" w:bidi="ar-SA"/>
        </w:rPr>
      </w:pPr>
    </w:p>
    <w:p w14:paraId="57F1BED1">
      <w:pPr>
        <w:widowControl/>
        <w:spacing w:before="100" w:beforeAutospacing="1" w:after="100" w:afterAutospacing="1"/>
        <w:jc w:val="left"/>
        <w:rPr>
          <w:rFonts w:hint="eastAsia" w:ascii="宋体" w:hAnsi="宋体" w:eastAsia="宋体" w:cs="宋体"/>
          <w:color w:val="auto"/>
          <w:kern w:val="0"/>
          <w:sz w:val="21"/>
          <w:szCs w:val="21"/>
          <w:highlight w:val="none"/>
          <w:lang w:val="en-US" w:eastAsia="zh-CN" w:bidi="ar-SA"/>
        </w:rPr>
      </w:pPr>
    </w:p>
    <w:p w14:paraId="04E34D74">
      <w:pPr>
        <w:widowControl/>
        <w:spacing w:before="100" w:beforeAutospacing="1" w:after="100" w:afterAutospacing="1"/>
        <w:jc w:val="left"/>
        <w:rPr>
          <w:rFonts w:hint="eastAsia" w:ascii="宋体" w:hAnsi="宋体" w:eastAsia="宋体" w:cs="宋体"/>
          <w:color w:val="auto"/>
          <w:kern w:val="0"/>
          <w:sz w:val="21"/>
          <w:szCs w:val="21"/>
          <w:highlight w:val="none"/>
          <w:lang w:val="en-US" w:eastAsia="zh-CN" w:bidi="ar-SA"/>
        </w:rPr>
      </w:pPr>
    </w:p>
    <w:p w14:paraId="6CD6C461">
      <w:pPr>
        <w:jc w:val="center"/>
        <w:outlineLvl w:val="3"/>
        <w:rPr>
          <w:rFonts w:hint="eastAsia" w:ascii="宋体" w:hAnsi="宋体" w:eastAsia="宋体" w:cs="宋体"/>
          <w:color w:val="auto"/>
          <w:sz w:val="21"/>
          <w:szCs w:val="21"/>
          <w:highlight w:val="none"/>
          <w:lang w:val="en-US" w:eastAsia="zh-Hans"/>
        </w:rPr>
      </w:pPr>
      <w:r>
        <w:rPr>
          <w:rFonts w:hint="eastAsia" w:ascii="宋体" w:hAnsi="宋体" w:eastAsia="宋体" w:cs="宋体"/>
          <w:b/>
          <w:color w:val="auto"/>
          <w:sz w:val="28"/>
          <w:szCs w:val="21"/>
          <w:highlight w:val="none"/>
          <w:lang w:val="en-US" w:eastAsia="zh-Hans"/>
        </w:rPr>
        <w:t>二-2 证明材料</w:t>
      </w:r>
    </w:p>
    <w:p w14:paraId="7598C777">
      <w:pPr>
        <w:ind w:firstLine="480"/>
        <w:jc w:val="left"/>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185E5727">
      <w:pPr>
        <w:ind w:firstLine="480"/>
        <w:jc w:val="left"/>
        <w:rPr>
          <w:rFonts w:hint="eastAsia" w:ascii="宋体" w:hAnsi="宋体" w:eastAsia="宋体" w:cs="宋体"/>
          <w:color w:val="auto"/>
          <w:sz w:val="24"/>
          <w:szCs w:val="24"/>
          <w:highlight w:val="none"/>
          <w:lang w:val="en-US" w:eastAsia="zh-Hans"/>
        </w:rPr>
      </w:pPr>
    </w:p>
    <w:p w14:paraId="1DEAC5FD">
      <w:pPr>
        <w:jc w:val="center"/>
        <w:outlineLvl w:val="3"/>
        <w:rPr>
          <w:rFonts w:hint="eastAsia" w:ascii="宋体" w:hAnsi="宋体" w:eastAsia="宋体" w:cs="宋体"/>
          <w:color w:val="auto"/>
          <w:sz w:val="24"/>
          <w:szCs w:val="24"/>
          <w:highlight w:val="none"/>
          <w:lang w:val="en-US" w:eastAsia="zh-Hans"/>
        </w:rPr>
      </w:pPr>
      <w:r>
        <w:rPr>
          <w:rFonts w:hint="eastAsia" w:ascii="宋体" w:hAnsi="宋体" w:eastAsia="宋体" w:cs="宋体"/>
          <w:b/>
          <w:color w:val="auto"/>
          <w:sz w:val="24"/>
          <w:szCs w:val="24"/>
          <w:highlight w:val="none"/>
          <w:lang w:val="en-US" w:eastAsia="zh-Hans"/>
        </w:rPr>
        <w:t>二-2-1 福建省政府采购供应商资格承诺函</w:t>
      </w:r>
    </w:p>
    <w:p w14:paraId="0EE1D204">
      <w:pPr>
        <w:ind w:firstLine="480"/>
        <w:jc w:val="left"/>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致：</w:t>
      </w:r>
      <w:r>
        <w:rPr>
          <w:rFonts w:hint="eastAsia" w:ascii="宋体" w:hAnsi="宋体" w:eastAsia="宋体" w:cs="宋体"/>
          <w:color w:val="auto"/>
          <w:sz w:val="24"/>
          <w:szCs w:val="24"/>
          <w:highlight w:val="none"/>
          <w:u w:val="single"/>
          <w:lang w:val="en-US" w:eastAsia="zh-Hans"/>
        </w:rPr>
        <w:t>（采购人或采购代理机构）</w:t>
      </w:r>
    </w:p>
    <w:p w14:paraId="30B97E19">
      <w:pPr>
        <w:ind w:firstLine="960"/>
        <w:jc w:val="left"/>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单位名称(自然人姓名):</w:t>
      </w:r>
    </w:p>
    <w:p w14:paraId="53A91AD9">
      <w:pPr>
        <w:ind w:firstLine="960"/>
        <w:jc w:val="left"/>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统一社会信用代码(自然人身份证号码):</w:t>
      </w:r>
    </w:p>
    <w:p w14:paraId="327357EB">
      <w:pPr>
        <w:ind w:firstLine="960"/>
        <w:jc w:val="left"/>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法定代表人(负责人):</w:t>
      </w:r>
    </w:p>
    <w:p w14:paraId="37E35A99">
      <w:pPr>
        <w:ind w:firstLine="960"/>
        <w:jc w:val="left"/>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联系地址和电话:</w:t>
      </w:r>
    </w:p>
    <w:p w14:paraId="64DC6B99">
      <w:pPr>
        <w:ind w:firstLine="480"/>
        <w:jc w:val="left"/>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我单位(本人)自愿参加本次政府采购活动，严格遵守《中华人民共和国政府采购法》及相关法律法规，坚守公开、公平公正和诚实信用等原则，依法诚信经营，并郑重承诺:</w:t>
      </w:r>
    </w:p>
    <w:p w14:paraId="3BA89968">
      <w:pPr>
        <w:ind w:firstLine="480"/>
        <w:jc w:val="left"/>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一、我单位(本人)具备采购文件要求以及《中华人民共和国政府采购法》第二十二条规定的条件:</w:t>
      </w:r>
    </w:p>
    <w:p w14:paraId="1F971EDE">
      <w:pPr>
        <w:ind w:firstLine="960"/>
        <w:jc w:val="left"/>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1.具有独立承担民事责任的能力;</w:t>
      </w:r>
    </w:p>
    <w:p w14:paraId="48551876">
      <w:pPr>
        <w:ind w:firstLine="960"/>
        <w:jc w:val="left"/>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2.具有良好的商业信誉和健全的财务会计制度;</w:t>
      </w:r>
    </w:p>
    <w:p w14:paraId="0D1A2D5B">
      <w:pPr>
        <w:ind w:firstLine="960"/>
        <w:jc w:val="left"/>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3.具有履行合同所必需的设备和专业技术能力;</w:t>
      </w:r>
    </w:p>
    <w:p w14:paraId="257F0F3C">
      <w:pPr>
        <w:ind w:firstLine="960"/>
        <w:jc w:val="left"/>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4.有依法缴纳税收和社会保障资金的良好记录;</w:t>
      </w:r>
    </w:p>
    <w:p w14:paraId="2C3A6523">
      <w:pPr>
        <w:ind w:firstLine="960"/>
        <w:jc w:val="left"/>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5.参加政府采购活动前三年内，在经营活动中没有重大违法记录；</w:t>
      </w:r>
    </w:p>
    <w:p w14:paraId="6911B1A0">
      <w:pPr>
        <w:ind w:firstLine="960"/>
        <w:jc w:val="left"/>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6.法律、行政法规规定的其他条件。</w:t>
      </w:r>
    </w:p>
    <w:p w14:paraId="3F7F3FF7">
      <w:pPr>
        <w:ind w:firstLine="480"/>
        <w:jc w:val="left"/>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194B0860">
      <w:pPr>
        <w:ind w:firstLine="480"/>
        <w:jc w:val="left"/>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5C6F1711">
      <w:pPr>
        <w:ind w:firstLine="480"/>
        <w:jc w:val="right"/>
        <w:rPr>
          <w:rFonts w:hint="eastAsia" w:ascii="宋体" w:hAnsi="宋体" w:eastAsia="宋体" w:cs="宋体"/>
          <w:color w:val="auto"/>
          <w:sz w:val="24"/>
          <w:szCs w:val="24"/>
          <w:highlight w:val="none"/>
          <w:u w:val="single"/>
          <w:lang w:val="en-US" w:eastAsia="zh-Hans"/>
        </w:rPr>
      </w:pPr>
      <w:r>
        <w:rPr>
          <w:rFonts w:hint="eastAsia" w:ascii="宋体" w:hAnsi="宋体" w:eastAsia="宋体" w:cs="宋体"/>
          <w:color w:val="auto"/>
          <w:sz w:val="24"/>
          <w:szCs w:val="24"/>
          <w:highlight w:val="none"/>
          <w:lang w:val="en-US" w:eastAsia="zh-Hans"/>
        </w:rPr>
        <w:t>供应商：</w:t>
      </w:r>
      <w:r>
        <w:rPr>
          <w:rFonts w:hint="eastAsia" w:ascii="宋体" w:hAnsi="宋体" w:eastAsia="宋体" w:cs="宋体"/>
          <w:color w:val="auto"/>
          <w:sz w:val="24"/>
          <w:szCs w:val="24"/>
          <w:highlight w:val="none"/>
          <w:u w:val="single"/>
          <w:lang w:val="en-US" w:eastAsia="zh-Hans"/>
        </w:rPr>
        <w:t>名称(单位公章):</w:t>
      </w:r>
    </w:p>
    <w:p w14:paraId="1E74D0E8">
      <w:pPr>
        <w:widowControl w:val="0"/>
        <w:snapToGrid w:val="0"/>
        <w:jc w:val="right"/>
        <w:rPr>
          <w:rFonts w:hint="eastAsia" w:ascii="Times New Roman" w:hAnsi="Times New Roman" w:eastAsia="宋体" w:cs="Times New Roman"/>
          <w:color w:val="auto"/>
          <w:kern w:val="2"/>
          <w:sz w:val="18"/>
          <w:szCs w:val="24"/>
          <w:highlight w:val="none"/>
          <w:lang w:val="en-US" w:eastAsia="zh-Hans" w:bidi="ar-SA"/>
        </w:rPr>
      </w:pPr>
      <w:r>
        <w:rPr>
          <w:rFonts w:hint="eastAsia" w:ascii="宋体" w:hAnsi="宋体" w:eastAsia="宋体" w:cs="宋体"/>
          <w:color w:val="auto"/>
          <w:kern w:val="2"/>
          <w:sz w:val="24"/>
          <w:szCs w:val="24"/>
          <w:highlight w:val="none"/>
          <w:lang w:val="en-US" w:eastAsia="zh-CN" w:bidi="ar-SA"/>
        </w:rPr>
        <w:t>（联合体/若有）：</w:t>
      </w:r>
      <w:r>
        <w:rPr>
          <w:rFonts w:hint="eastAsia" w:ascii="宋体" w:hAnsi="宋体" w:eastAsia="宋体" w:cs="宋体"/>
          <w:color w:val="auto"/>
          <w:kern w:val="2"/>
          <w:sz w:val="24"/>
          <w:szCs w:val="24"/>
          <w:highlight w:val="none"/>
          <w:u w:val="single"/>
          <w:lang w:val="en-US" w:eastAsia="zh-Hans" w:bidi="ar-SA"/>
        </w:rPr>
        <w:t>名称(单位公章):</w:t>
      </w:r>
    </w:p>
    <w:p w14:paraId="4D437300">
      <w:pPr>
        <w:ind w:firstLine="480"/>
        <w:jc w:val="right"/>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日期：</w:t>
      </w:r>
      <w:r>
        <w:rPr>
          <w:rFonts w:hint="eastAsia" w:ascii="宋体" w:hAnsi="宋体" w:eastAsia="宋体" w:cs="宋体"/>
          <w:color w:val="auto"/>
          <w:sz w:val="24"/>
          <w:szCs w:val="24"/>
          <w:highlight w:val="none"/>
          <w:u w:val="single"/>
          <w:lang w:val="en-US" w:eastAsia="zh-Hans"/>
        </w:rPr>
        <w:t>　　年　　月　　日</w:t>
      </w:r>
    </w:p>
    <w:p w14:paraId="518979EB">
      <w:pPr>
        <w:ind w:firstLine="480"/>
        <w:jc w:val="left"/>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注：</w:t>
      </w:r>
    </w:p>
    <w:p w14:paraId="53EA4A1E">
      <w:pPr>
        <w:ind w:firstLine="960"/>
        <w:jc w:val="left"/>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1.我单位(本人)专指参加政府采购活动的供应商(含自然人)；</w:t>
      </w:r>
    </w:p>
    <w:p w14:paraId="3D01D802">
      <w:pPr>
        <w:ind w:firstLine="960"/>
        <w:jc w:val="left"/>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2.资格承诺的供应商应在投标(响应)文件中按此模板提供承诺函，否则，视为未按照招标文件规定提交投标人的资格及资信文件，按资格审查不通过处理。</w:t>
      </w:r>
    </w:p>
    <w:p w14:paraId="135E10C0">
      <w:pPr>
        <w:widowControl/>
        <w:spacing w:before="100" w:beforeAutospacing="1" w:after="100" w:afterAutospacing="1"/>
        <w:jc w:val="left"/>
        <w:rPr>
          <w:rFonts w:hint="eastAsia" w:ascii="宋体" w:hAnsi="宋体" w:eastAsia="宋体" w:cs="宋体"/>
          <w:color w:val="auto"/>
          <w:kern w:val="0"/>
          <w:sz w:val="21"/>
          <w:szCs w:val="21"/>
          <w:highlight w:val="none"/>
          <w:lang w:val="en-US" w:eastAsia="zh-CN" w:bidi="ar-SA"/>
        </w:rPr>
      </w:pPr>
    </w:p>
    <w:p w14:paraId="52681569">
      <w:pPr>
        <w:jc w:val="center"/>
        <w:outlineLvl w:val="3"/>
        <w:rPr>
          <w:rFonts w:hint="eastAsia" w:ascii="宋体" w:hAnsi="宋体" w:eastAsia="宋体" w:cs="宋体"/>
          <w:color w:val="auto"/>
          <w:sz w:val="21"/>
          <w:szCs w:val="21"/>
          <w:highlight w:val="none"/>
        </w:rPr>
      </w:pPr>
      <w:r>
        <w:rPr>
          <w:rFonts w:hint="eastAsia" w:ascii="宋体" w:hAnsi="宋体" w:eastAsia="宋体" w:cs="宋体"/>
          <w:b/>
          <w:color w:val="auto"/>
          <w:sz w:val="28"/>
          <w:szCs w:val="21"/>
          <w:highlight w:val="none"/>
          <w:lang w:val="en-US" w:eastAsia="zh-Hans"/>
        </w:rPr>
        <w:t>二-2-2 资格证明材料</w:t>
      </w:r>
    </w:p>
    <w:p w14:paraId="36F1AC2A">
      <w:pPr>
        <w:widowControl/>
        <w:spacing w:before="100" w:beforeAutospacing="1" w:after="100" w:afterAutospacing="1"/>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color w:val="auto"/>
          <w:kern w:val="2"/>
          <w:sz w:val="21"/>
          <w:szCs w:val="21"/>
          <w:highlight w:val="none"/>
          <w:lang w:val="en-US" w:eastAsia="zh-CN" w:bidi="ar-SA"/>
        </w:rPr>
        <w:t>营业执照等证明文件</w:t>
      </w:r>
    </w:p>
    <w:p w14:paraId="5E3D7881">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 </w:t>
      </w:r>
    </w:p>
    <w:p w14:paraId="13EACDEB">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致：</w:t>
      </w:r>
      <w:r>
        <w:rPr>
          <w:rFonts w:hint="eastAsia" w:ascii="宋体" w:hAnsi="宋体" w:eastAsia="宋体" w:cs="宋体"/>
          <w:color w:val="auto"/>
          <w:kern w:val="0"/>
          <w:sz w:val="24"/>
          <w:szCs w:val="24"/>
          <w:highlight w:val="none"/>
          <w:u w:val="single"/>
          <w:lang w:val="en-US" w:eastAsia="zh-CN" w:bidi="ar-SA"/>
        </w:rPr>
        <w:t>            （采购人或采购代理机构） </w:t>
      </w:r>
    </w:p>
    <w:p w14:paraId="530CEDDA">
      <w:pPr>
        <w:widowControl/>
        <w:spacing w:before="100" w:beforeAutospacing="1" w:after="100" w:afterAutospacing="1"/>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）投标人为法人（包括企业、事业单位和社会团体）的</w:t>
      </w:r>
    </w:p>
    <w:p w14:paraId="0E23C806">
      <w:pPr>
        <w:widowControl/>
        <w:spacing w:before="100" w:beforeAutospacing="1" w:after="100" w:afterAutospacing="1"/>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现附上由</w:t>
      </w:r>
      <w:r>
        <w:rPr>
          <w:rFonts w:hint="eastAsia" w:ascii="宋体" w:hAnsi="宋体" w:eastAsia="宋体" w:cs="宋体"/>
          <w:color w:val="auto"/>
          <w:kern w:val="0"/>
          <w:sz w:val="24"/>
          <w:szCs w:val="24"/>
          <w:highlight w:val="none"/>
          <w:u w:val="single"/>
          <w:lang w:val="en-US" w:eastAsia="zh-CN" w:bidi="ar-SA"/>
        </w:rPr>
        <w:t>（填写“签发机关全称”）</w:t>
      </w:r>
      <w:r>
        <w:rPr>
          <w:rFonts w:hint="eastAsia" w:ascii="宋体" w:hAnsi="宋体" w:eastAsia="宋体" w:cs="宋体"/>
          <w:color w:val="auto"/>
          <w:kern w:val="0"/>
          <w:sz w:val="24"/>
          <w:szCs w:val="24"/>
          <w:highlight w:val="none"/>
          <w:lang w:val="en-US" w:eastAsia="zh-CN" w:bidi="ar-SA"/>
        </w:rPr>
        <w:t>签发的我方统一社会信用代码</w:t>
      </w:r>
      <w:r>
        <w:rPr>
          <w:rFonts w:hint="eastAsia" w:ascii="宋体" w:hAnsi="宋体" w:eastAsia="宋体" w:cs="宋体"/>
          <w:color w:val="auto"/>
          <w:kern w:val="0"/>
          <w:sz w:val="24"/>
          <w:szCs w:val="24"/>
          <w:highlight w:val="none"/>
          <w:u w:val="single"/>
          <w:lang w:val="en-US" w:eastAsia="zh-CN" w:bidi="ar-SA"/>
        </w:rPr>
        <w:t>（请填写法人的具体证照名称）</w:t>
      </w:r>
      <w:r>
        <w:rPr>
          <w:rFonts w:hint="eastAsia" w:ascii="宋体" w:hAnsi="宋体" w:eastAsia="宋体" w:cs="宋体"/>
          <w:color w:val="auto"/>
          <w:kern w:val="0"/>
          <w:sz w:val="24"/>
          <w:szCs w:val="24"/>
          <w:highlight w:val="none"/>
          <w:lang w:val="en-US" w:eastAsia="zh-CN" w:bidi="ar-SA"/>
        </w:rPr>
        <w:t>复印件，该证明材料真实有效，否则我方负全部责任。</w:t>
      </w:r>
    </w:p>
    <w:p w14:paraId="32181137">
      <w:pPr>
        <w:widowControl/>
        <w:spacing w:before="100" w:beforeAutospacing="1" w:after="100" w:afterAutospacing="1"/>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）投标人为非法人（包括其他组织、自然人）的</w:t>
      </w:r>
    </w:p>
    <w:p w14:paraId="2E31FE3F">
      <w:pPr>
        <w:widowControl/>
        <w:spacing w:before="100" w:beforeAutospacing="1" w:after="100" w:afterAutospacing="1"/>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□现附上由</w:t>
      </w:r>
      <w:r>
        <w:rPr>
          <w:rFonts w:hint="eastAsia" w:ascii="宋体" w:hAnsi="宋体" w:eastAsia="宋体" w:cs="宋体"/>
          <w:color w:val="auto"/>
          <w:kern w:val="0"/>
          <w:sz w:val="24"/>
          <w:szCs w:val="24"/>
          <w:highlight w:val="none"/>
          <w:u w:val="single"/>
          <w:lang w:val="en-US" w:eastAsia="zh-CN" w:bidi="ar-SA"/>
        </w:rPr>
        <w:t>（填写“签发机关全称”）</w:t>
      </w:r>
      <w:r>
        <w:rPr>
          <w:rFonts w:hint="eastAsia" w:ascii="宋体" w:hAnsi="宋体" w:eastAsia="宋体" w:cs="宋体"/>
          <w:color w:val="auto"/>
          <w:kern w:val="0"/>
          <w:sz w:val="24"/>
          <w:szCs w:val="24"/>
          <w:highlight w:val="none"/>
          <w:lang w:val="en-US" w:eastAsia="zh-CN" w:bidi="ar-SA"/>
        </w:rPr>
        <w:t>签发的我方</w:t>
      </w:r>
      <w:r>
        <w:rPr>
          <w:rFonts w:hint="eastAsia" w:ascii="宋体" w:hAnsi="宋体" w:eastAsia="宋体" w:cs="宋体"/>
          <w:color w:val="auto"/>
          <w:kern w:val="0"/>
          <w:sz w:val="24"/>
          <w:szCs w:val="24"/>
          <w:highlight w:val="none"/>
          <w:u w:val="single"/>
          <w:lang w:val="en-US" w:eastAsia="zh-CN" w:bidi="ar-SA"/>
        </w:rPr>
        <w:t>（请填写非自然人的非法人的具体证照名称）</w:t>
      </w:r>
      <w:r>
        <w:rPr>
          <w:rFonts w:hint="eastAsia" w:ascii="宋体" w:hAnsi="宋体" w:eastAsia="宋体" w:cs="宋体"/>
          <w:color w:val="auto"/>
          <w:kern w:val="0"/>
          <w:sz w:val="24"/>
          <w:szCs w:val="24"/>
          <w:highlight w:val="none"/>
          <w:lang w:val="en-US" w:eastAsia="zh-CN" w:bidi="ar-SA"/>
        </w:rPr>
        <w:t>复印件，该证明材料真实有效，否则我方负全部责任。</w:t>
      </w:r>
    </w:p>
    <w:p w14:paraId="467CE260">
      <w:pPr>
        <w:widowControl/>
        <w:spacing w:before="100" w:beforeAutospacing="1" w:after="100" w:afterAutospacing="1"/>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□现附上由</w:t>
      </w:r>
      <w:r>
        <w:rPr>
          <w:rFonts w:hint="eastAsia" w:ascii="宋体" w:hAnsi="宋体" w:eastAsia="宋体" w:cs="宋体"/>
          <w:color w:val="auto"/>
          <w:kern w:val="0"/>
          <w:sz w:val="24"/>
          <w:szCs w:val="24"/>
          <w:highlight w:val="none"/>
          <w:u w:val="single"/>
          <w:lang w:val="en-US" w:eastAsia="zh-CN" w:bidi="ar-SA"/>
        </w:rPr>
        <w:t>（填写“签发机关全称”）</w:t>
      </w:r>
      <w:r>
        <w:rPr>
          <w:rFonts w:hint="eastAsia" w:ascii="宋体" w:hAnsi="宋体" w:eastAsia="宋体" w:cs="宋体"/>
          <w:color w:val="auto"/>
          <w:kern w:val="0"/>
          <w:sz w:val="24"/>
          <w:szCs w:val="24"/>
          <w:highlight w:val="none"/>
          <w:lang w:val="en-US" w:eastAsia="zh-CN" w:bidi="ar-SA"/>
        </w:rPr>
        <w:t>签发的我方</w:t>
      </w:r>
      <w:r>
        <w:rPr>
          <w:rFonts w:hint="eastAsia" w:ascii="宋体" w:hAnsi="宋体" w:eastAsia="宋体" w:cs="宋体"/>
          <w:color w:val="auto"/>
          <w:kern w:val="0"/>
          <w:sz w:val="24"/>
          <w:szCs w:val="24"/>
          <w:highlight w:val="none"/>
          <w:u w:val="single"/>
          <w:lang w:val="en-US" w:eastAsia="zh-CN" w:bidi="ar-SA"/>
        </w:rPr>
        <w:t>（请填写自然人的身份证件名称）</w:t>
      </w:r>
      <w:r>
        <w:rPr>
          <w:rFonts w:hint="eastAsia" w:ascii="宋体" w:hAnsi="宋体" w:eastAsia="宋体" w:cs="宋体"/>
          <w:color w:val="auto"/>
          <w:kern w:val="0"/>
          <w:sz w:val="24"/>
          <w:szCs w:val="24"/>
          <w:highlight w:val="none"/>
          <w:lang w:val="en-US" w:eastAsia="zh-CN" w:bidi="ar-SA"/>
        </w:rPr>
        <w:t>复印件，该证明材料真实有效，否则我方负全部责任。</w:t>
      </w:r>
    </w:p>
    <w:p w14:paraId="7499BF1F">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※注意：</w:t>
      </w:r>
    </w:p>
    <w:p w14:paraId="648E2F24">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1、请投标人按照实际情况编制填写，在相应的（）中打“√”并选择相应的“□”（若有）后，再按照本格式的要求提供相应证明材料的复印件。</w:t>
      </w:r>
    </w:p>
    <w:p w14:paraId="4D7C4715">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6330DC40">
      <w:pPr>
        <w:widowControl/>
        <w:spacing w:before="100" w:beforeAutospacing="1" w:after="100" w:afterAutospacing="1" w:line="480" w:lineRule="exact"/>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3、投标人提供的相应证明材料复印件均应符合：内容完整、清晰、整洁，并由投标人加盖其单位公章。</w:t>
      </w:r>
    </w:p>
    <w:p w14:paraId="29DF7F1C">
      <w:pPr>
        <w:widowControl/>
        <w:spacing w:before="100" w:beforeAutospacing="1" w:after="100" w:afterAutospacing="1" w:line="480" w:lineRule="exact"/>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投标人：</w:t>
      </w:r>
      <w:r>
        <w:rPr>
          <w:rFonts w:hint="eastAsia" w:ascii="宋体" w:hAnsi="宋体" w:eastAsia="宋体" w:cs="宋体"/>
          <w:color w:val="auto"/>
          <w:kern w:val="0"/>
          <w:sz w:val="24"/>
          <w:szCs w:val="24"/>
          <w:highlight w:val="none"/>
          <w:u w:val="single"/>
          <w:lang w:val="en-US" w:eastAsia="zh-CN" w:bidi="ar-SA"/>
        </w:rPr>
        <w:t>（全称并加盖单位公章）</w:t>
      </w:r>
    </w:p>
    <w:p w14:paraId="2A2E8C69">
      <w:pPr>
        <w:widowControl/>
        <w:spacing w:before="100" w:beforeAutospacing="1" w:after="100" w:afterAutospacing="1" w:line="480" w:lineRule="exact"/>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投标人代表签字：</w:t>
      </w:r>
      <w:r>
        <w:rPr>
          <w:rFonts w:hint="eastAsia" w:ascii="宋体" w:hAnsi="宋体" w:eastAsia="宋体" w:cs="宋体"/>
          <w:color w:val="auto"/>
          <w:kern w:val="0"/>
          <w:sz w:val="24"/>
          <w:szCs w:val="24"/>
          <w:highlight w:val="none"/>
          <w:u w:val="single"/>
          <w:lang w:val="en-US" w:eastAsia="zh-CN" w:bidi="ar-SA"/>
        </w:rPr>
        <w:t>                   </w:t>
      </w:r>
    </w:p>
    <w:p w14:paraId="43996B18">
      <w:pPr>
        <w:widowControl/>
        <w:spacing w:before="100" w:beforeAutospacing="1" w:after="100" w:afterAutospacing="1" w:line="480" w:lineRule="exact"/>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日期：</w:t>
      </w:r>
      <w:r>
        <w:rPr>
          <w:rFonts w:hint="eastAsia" w:ascii="宋体" w:hAnsi="宋体" w:eastAsia="宋体" w:cs="宋体"/>
          <w:color w:val="auto"/>
          <w:kern w:val="0"/>
          <w:sz w:val="24"/>
          <w:szCs w:val="24"/>
          <w:highlight w:val="none"/>
          <w:u w:val="single"/>
          <w:lang w:val="en-US" w:eastAsia="zh-CN" w:bidi="ar-SA"/>
        </w:rPr>
        <w:t>    </w:t>
      </w:r>
      <w:r>
        <w:rPr>
          <w:rFonts w:hint="eastAsia" w:ascii="宋体" w:hAnsi="宋体" w:eastAsia="宋体" w:cs="宋体"/>
          <w:color w:val="auto"/>
          <w:kern w:val="0"/>
          <w:sz w:val="24"/>
          <w:szCs w:val="24"/>
          <w:highlight w:val="none"/>
          <w:lang w:val="en-US" w:eastAsia="zh-CN" w:bidi="ar-SA"/>
        </w:rPr>
        <w:t>年</w:t>
      </w:r>
      <w:r>
        <w:rPr>
          <w:rFonts w:hint="eastAsia" w:ascii="宋体" w:hAnsi="宋体" w:eastAsia="宋体" w:cs="宋体"/>
          <w:color w:val="auto"/>
          <w:kern w:val="0"/>
          <w:sz w:val="24"/>
          <w:szCs w:val="24"/>
          <w:highlight w:val="none"/>
          <w:u w:val="single"/>
          <w:lang w:val="en-US" w:eastAsia="zh-CN" w:bidi="ar-SA"/>
        </w:rPr>
        <w:t>   </w:t>
      </w:r>
      <w:r>
        <w:rPr>
          <w:rFonts w:hint="eastAsia" w:ascii="宋体" w:hAnsi="宋体" w:eastAsia="宋体" w:cs="宋体"/>
          <w:color w:val="auto"/>
          <w:kern w:val="0"/>
          <w:sz w:val="24"/>
          <w:szCs w:val="24"/>
          <w:highlight w:val="none"/>
          <w:lang w:val="en-US" w:eastAsia="zh-CN" w:bidi="ar-SA"/>
        </w:rPr>
        <w:t>月</w:t>
      </w:r>
      <w:r>
        <w:rPr>
          <w:rFonts w:hint="eastAsia" w:ascii="宋体" w:hAnsi="宋体" w:eastAsia="宋体" w:cs="宋体"/>
          <w:color w:val="auto"/>
          <w:kern w:val="0"/>
          <w:sz w:val="24"/>
          <w:szCs w:val="24"/>
          <w:highlight w:val="none"/>
          <w:u w:val="single"/>
          <w:lang w:val="en-US" w:eastAsia="zh-CN" w:bidi="ar-SA"/>
        </w:rPr>
        <w:t>   </w:t>
      </w:r>
      <w:r>
        <w:rPr>
          <w:rFonts w:hint="eastAsia" w:ascii="宋体" w:hAnsi="宋体" w:eastAsia="宋体" w:cs="宋体"/>
          <w:color w:val="auto"/>
          <w:kern w:val="0"/>
          <w:sz w:val="24"/>
          <w:szCs w:val="24"/>
          <w:highlight w:val="none"/>
          <w:lang w:val="en-US" w:eastAsia="zh-CN" w:bidi="ar-SA"/>
        </w:rPr>
        <w:t>日</w:t>
      </w:r>
    </w:p>
    <w:p w14:paraId="2FC5A9A3">
      <w:pPr>
        <w:widowControl/>
        <w:spacing w:before="100" w:beforeAutospacing="1" w:after="100" w:afterAutospacing="1"/>
        <w:jc w:val="center"/>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财务状况报告（财务报告、或资信证明）</w:t>
      </w:r>
    </w:p>
    <w:p w14:paraId="6A328DEB">
      <w:pPr>
        <w:widowControl/>
        <w:spacing w:before="100" w:beforeAutospacing="1" w:after="100" w:afterAutospacing="1" w:line="440" w:lineRule="exact"/>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致：</w:t>
      </w:r>
      <w:r>
        <w:rPr>
          <w:rFonts w:hint="eastAsia" w:ascii="宋体" w:hAnsi="宋体" w:eastAsia="宋体" w:cs="宋体"/>
          <w:color w:val="auto"/>
          <w:kern w:val="0"/>
          <w:sz w:val="24"/>
          <w:szCs w:val="24"/>
          <w:highlight w:val="none"/>
          <w:u w:val="single"/>
          <w:lang w:val="en-US" w:eastAsia="zh-CN" w:bidi="ar-SA"/>
        </w:rPr>
        <w:t>           （采购人或采购代理机构） </w:t>
      </w:r>
    </w:p>
    <w:p w14:paraId="75CDF351">
      <w:pPr>
        <w:widowControl/>
        <w:spacing w:before="100" w:beforeAutospacing="1" w:after="100" w:afterAutospacing="1" w:line="440" w:lineRule="exact"/>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）投标人提供财务报告的</w:t>
      </w:r>
    </w:p>
    <w:p w14:paraId="0C6EBCA8">
      <w:pPr>
        <w:widowControl/>
        <w:spacing w:before="100" w:beforeAutospacing="1" w:after="100" w:afterAutospacing="1" w:line="440" w:lineRule="exact"/>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□企业适用：现附上我方</w:t>
      </w:r>
      <w:r>
        <w:rPr>
          <w:rFonts w:hint="eastAsia" w:ascii="宋体" w:hAnsi="宋体" w:eastAsia="宋体" w:cs="宋体"/>
          <w:color w:val="auto"/>
          <w:kern w:val="0"/>
          <w:sz w:val="24"/>
          <w:szCs w:val="24"/>
          <w:highlight w:val="none"/>
          <w:u w:val="single"/>
          <w:lang w:val="en-US" w:eastAsia="zh-CN" w:bidi="ar-SA"/>
        </w:rPr>
        <w:t>（填写“具体的年度、或半年度、或季度”）</w:t>
      </w:r>
      <w:r>
        <w:rPr>
          <w:rFonts w:hint="eastAsia" w:ascii="宋体" w:hAnsi="宋体" w:eastAsia="宋体" w:cs="宋体"/>
          <w:color w:val="auto"/>
          <w:kern w:val="0"/>
          <w:sz w:val="24"/>
          <w:szCs w:val="24"/>
          <w:highlight w:val="none"/>
          <w:lang w:val="en-US" w:eastAsia="zh-CN" w:bidi="ar-SA"/>
        </w:rPr>
        <w:t>财务报告复印件，包括资产负债表、利润表、现金流量表、所有者权益变动表（若有）及其附注（若有）、会计师事务所营业执照和注册会计师资格证书，上述证明材料真实有效，否则我方负全部责任。</w:t>
      </w:r>
    </w:p>
    <w:p w14:paraId="2C0A6D64">
      <w:pPr>
        <w:widowControl/>
        <w:spacing w:before="100" w:beforeAutospacing="1" w:after="100" w:afterAutospacing="1" w:line="440" w:lineRule="exact"/>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□事业单位适用：现附上我方</w:t>
      </w:r>
      <w:r>
        <w:rPr>
          <w:rFonts w:hint="eastAsia" w:ascii="宋体" w:hAnsi="宋体" w:eastAsia="宋体" w:cs="宋体"/>
          <w:color w:val="auto"/>
          <w:kern w:val="0"/>
          <w:sz w:val="24"/>
          <w:szCs w:val="24"/>
          <w:highlight w:val="none"/>
          <w:u w:val="single"/>
          <w:lang w:val="en-US" w:eastAsia="zh-CN" w:bidi="ar-SA"/>
        </w:rPr>
        <w:t>（填写“具体的年度、或半年度、或季度”）</w:t>
      </w:r>
      <w:r>
        <w:rPr>
          <w:rFonts w:hint="eastAsia" w:ascii="宋体" w:hAnsi="宋体" w:eastAsia="宋体" w:cs="宋体"/>
          <w:color w:val="auto"/>
          <w:kern w:val="0"/>
          <w:sz w:val="24"/>
          <w:szCs w:val="24"/>
          <w:highlight w:val="none"/>
          <w:lang w:val="en-US" w:eastAsia="zh-CN" w:bidi="ar-SA"/>
        </w:rPr>
        <w:t>财务报告复印件，包括资产负债表、收入支出表（或收入费用表）、财政补助收入支出表（若有）、会计师事务所营业执照和注册会计师资格证书，上述证明材料真实有效，否则我方负全部责任。</w:t>
      </w:r>
    </w:p>
    <w:p w14:paraId="08B43C49">
      <w:pPr>
        <w:widowControl/>
        <w:spacing w:before="100" w:beforeAutospacing="1" w:after="100" w:afterAutospacing="1" w:line="440" w:lineRule="exact"/>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□社会团体、民办非企适用：现附上我方</w:t>
      </w:r>
      <w:r>
        <w:rPr>
          <w:rFonts w:hint="eastAsia" w:ascii="宋体" w:hAnsi="宋体" w:eastAsia="宋体" w:cs="宋体"/>
          <w:color w:val="auto"/>
          <w:kern w:val="0"/>
          <w:sz w:val="24"/>
          <w:szCs w:val="24"/>
          <w:highlight w:val="none"/>
          <w:u w:val="single"/>
          <w:lang w:val="en-US" w:eastAsia="zh-CN" w:bidi="ar-SA"/>
        </w:rPr>
        <w:t>（填写“具体的年度、或半年度、或季度”）</w:t>
      </w:r>
      <w:r>
        <w:rPr>
          <w:rFonts w:hint="eastAsia" w:ascii="宋体" w:hAnsi="宋体" w:eastAsia="宋体" w:cs="宋体"/>
          <w:color w:val="auto"/>
          <w:kern w:val="0"/>
          <w:sz w:val="24"/>
          <w:szCs w:val="24"/>
          <w:highlight w:val="none"/>
          <w:lang w:val="en-US" w:eastAsia="zh-CN" w:bidi="ar-SA"/>
        </w:rPr>
        <w:t>财务报告复印件，包括资产负债表、业务活动表、现金流量表、会计师事务所营业执照和注册会计师资格证书，上述证明材料真实有效，否则我方负全部责任。</w:t>
      </w:r>
    </w:p>
    <w:p w14:paraId="1B1EDF8E">
      <w:pPr>
        <w:widowControl/>
        <w:spacing w:before="100" w:beforeAutospacing="1" w:after="100" w:afterAutospacing="1" w:line="440" w:lineRule="exact"/>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）投标人提供资信证明的</w:t>
      </w:r>
    </w:p>
    <w:p w14:paraId="2657FE6E">
      <w:pPr>
        <w:widowControl/>
        <w:spacing w:before="100" w:beforeAutospacing="1" w:after="100" w:afterAutospacing="1" w:line="440" w:lineRule="exact"/>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□非自然人适用（包括企业、事业单位、社会团体和其他组织）：现附上我方银行：（填写“开户银行全称”）出具的资信证明复印件，上述证明材料真实有效，否则我方负全部责任。</w:t>
      </w:r>
    </w:p>
    <w:p w14:paraId="27032D3B">
      <w:pPr>
        <w:widowControl/>
        <w:spacing w:before="100" w:beforeAutospacing="1" w:after="100" w:afterAutospacing="1" w:line="440" w:lineRule="exact"/>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□自然人适用：现附上我方银行：</w:t>
      </w:r>
      <w:r>
        <w:rPr>
          <w:rFonts w:hint="eastAsia" w:ascii="宋体" w:hAnsi="宋体" w:eastAsia="宋体" w:cs="宋体"/>
          <w:color w:val="auto"/>
          <w:kern w:val="0"/>
          <w:sz w:val="24"/>
          <w:szCs w:val="24"/>
          <w:highlight w:val="none"/>
          <w:u w:val="single"/>
          <w:lang w:val="en-US" w:eastAsia="zh-CN" w:bidi="ar-SA"/>
        </w:rPr>
        <w:t>（填写自然人的“个人账户的开户银行全称”）</w:t>
      </w:r>
      <w:r>
        <w:rPr>
          <w:rFonts w:hint="eastAsia" w:ascii="宋体" w:hAnsi="宋体" w:eastAsia="宋体" w:cs="宋体"/>
          <w:color w:val="auto"/>
          <w:kern w:val="0"/>
          <w:sz w:val="24"/>
          <w:szCs w:val="24"/>
          <w:highlight w:val="none"/>
          <w:lang w:val="en-US" w:eastAsia="zh-CN" w:bidi="ar-SA"/>
        </w:rPr>
        <w:t>出具的资信证明复印件，上述证明材料真实有效，否则我方负全部责任。 </w:t>
      </w:r>
    </w:p>
    <w:p w14:paraId="3D04600A">
      <w:pPr>
        <w:widowControl/>
        <w:spacing w:before="100" w:beforeAutospacing="1" w:after="100" w:afterAutospacing="1" w:line="440" w:lineRule="exact"/>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※注意：</w:t>
      </w:r>
    </w:p>
    <w:p w14:paraId="2CCF0A6F">
      <w:pPr>
        <w:widowControl/>
        <w:spacing w:before="100" w:beforeAutospacing="1" w:after="100" w:afterAutospacing="1" w:line="440" w:lineRule="exact"/>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1、请投标人按照实际情况编制填写，在相应的（）中打“√”并选择相应的“□”（若有）后，再按照本格式的要求提供相应证明材料的复印件。</w:t>
      </w:r>
    </w:p>
    <w:p w14:paraId="68B587D2">
      <w:pPr>
        <w:widowControl/>
        <w:spacing w:before="100" w:beforeAutospacing="1" w:after="100" w:afterAutospacing="1" w:line="440" w:lineRule="exact"/>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2、投标人提供的财务报告复印件（成立年限按照投标截止时间推算）应符合下列规定：</w:t>
      </w:r>
    </w:p>
    <w:p w14:paraId="343CA76E">
      <w:pPr>
        <w:widowControl/>
        <w:spacing w:before="100" w:beforeAutospacing="1" w:after="100" w:afterAutospacing="1" w:line="440" w:lineRule="exact"/>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2.1成立年限满1年及以上的投标人，提供经审计的招标文件规定的年度财务报告。</w:t>
      </w:r>
    </w:p>
    <w:p w14:paraId="06FEBDD2">
      <w:pPr>
        <w:widowControl/>
        <w:spacing w:before="100" w:beforeAutospacing="1" w:after="100" w:afterAutospacing="1" w:line="440" w:lineRule="exact"/>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2.2成立年限满半年但不足1年的投标人，提供该半年度中任一季度的季度财务报告或该半年度的半年度财务报告。</w:t>
      </w:r>
    </w:p>
    <w:p w14:paraId="59587915">
      <w:pPr>
        <w:widowControl/>
        <w:spacing w:before="100" w:beforeAutospacing="1" w:after="100" w:afterAutospacing="1" w:line="440" w:lineRule="exact"/>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color w:val="auto"/>
          <w:kern w:val="2"/>
          <w:sz w:val="21"/>
          <w:szCs w:val="24"/>
          <w:highlight w:val="none"/>
          <w:lang w:val="en-US" w:eastAsia="zh-CN" w:bidi="ar-SA"/>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r>
        <w:rPr>
          <w:rFonts w:hint="eastAsia" w:ascii="宋体" w:hAnsi="宋体" w:eastAsia="宋体" w:cs="宋体"/>
          <w:color w:val="auto"/>
          <w:kern w:val="0"/>
          <w:sz w:val="24"/>
          <w:szCs w:val="24"/>
          <w:highlight w:val="none"/>
          <w:lang w:val="en-US" w:eastAsia="zh-CN" w:bidi="ar-SA"/>
        </w:rPr>
        <w:t xml:space="preserve">（若提供的资信证明有注明复印无效，则应提供原件）。 </w:t>
      </w:r>
    </w:p>
    <w:p w14:paraId="23BB6DC1">
      <w:pPr>
        <w:widowControl/>
        <w:spacing w:before="100" w:beforeAutospacing="1" w:after="100" w:afterAutospacing="1" w:line="440" w:lineRule="exact"/>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3、投标人提供的相应证明材料复印件均应符合：内容完整、清晰、整洁，并由投标人加盖其单位公章。 </w:t>
      </w:r>
      <w:r>
        <w:rPr>
          <w:rFonts w:hint="eastAsia" w:ascii="宋体" w:hAnsi="宋体" w:eastAsia="宋体" w:cs="宋体"/>
          <w:b/>
          <w:bCs/>
          <w:color w:val="auto"/>
          <w:kern w:val="0"/>
          <w:sz w:val="24"/>
          <w:szCs w:val="24"/>
          <w:highlight w:val="none"/>
          <w:lang w:val="en-US" w:eastAsia="zh-CN" w:bidi="ar-SA"/>
        </w:rPr>
        <w:t>投标人只提供存款余额状况或开户证明的，不视为资信证明材料，认定其资信证明不完整，为无效投标。</w:t>
      </w:r>
    </w:p>
    <w:p w14:paraId="0A3A9B99">
      <w:pPr>
        <w:spacing w:line="440" w:lineRule="exact"/>
        <w:ind w:firstLine="480" w:firstLineChars="200"/>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投标人：</w:t>
      </w:r>
      <w:r>
        <w:rPr>
          <w:rFonts w:hint="eastAsia" w:ascii="宋体" w:hAnsi="宋体" w:eastAsia="宋体" w:cs="宋体"/>
          <w:bCs/>
          <w:color w:val="auto"/>
          <w:sz w:val="24"/>
          <w:highlight w:val="none"/>
          <w:u w:val="single"/>
        </w:rPr>
        <w:t>（全称并加盖单位公章）</w:t>
      </w:r>
    </w:p>
    <w:p w14:paraId="27CC3024">
      <w:pPr>
        <w:spacing w:line="440" w:lineRule="exact"/>
        <w:ind w:firstLine="480" w:firstLineChars="200"/>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投标人代表签字：</w:t>
      </w:r>
      <w:r>
        <w:rPr>
          <w:rFonts w:hint="eastAsia" w:ascii="宋体" w:hAnsi="宋体" w:eastAsia="宋体" w:cs="宋体"/>
          <w:bCs/>
          <w:color w:val="auto"/>
          <w:sz w:val="24"/>
          <w:highlight w:val="none"/>
          <w:u w:val="single"/>
        </w:rPr>
        <w:t xml:space="preserve">          </w:t>
      </w:r>
    </w:p>
    <w:p w14:paraId="10177025">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日期：    年   月   日</w:t>
      </w:r>
    </w:p>
    <w:p w14:paraId="467AE0E2">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p>
    <w:p w14:paraId="1FFF5482">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p>
    <w:p w14:paraId="6A995DAE">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p>
    <w:p w14:paraId="4BA855B1">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p>
    <w:p w14:paraId="54B364C3">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p>
    <w:p w14:paraId="67B31B71">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p>
    <w:p w14:paraId="18C406B5">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p>
    <w:p w14:paraId="3845F8DB">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p>
    <w:p w14:paraId="1F6127AC">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p>
    <w:p w14:paraId="27D83543">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p>
    <w:p w14:paraId="7731258D">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p>
    <w:p w14:paraId="1D325518">
      <w:pPr>
        <w:widowControl/>
        <w:spacing w:before="100" w:beforeAutospacing="1" w:after="100" w:afterAutospacing="1"/>
        <w:jc w:val="center"/>
        <w:rPr>
          <w:rFonts w:hint="eastAsia" w:ascii="宋体" w:hAnsi="宋体" w:eastAsia="宋体" w:cs="宋体"/>
          <w:color w:val="auto"/>
          <w:kern w:val="0"/>
          <w:sz w:val="21"/>
          <w:szCs w:val="21"/>
          <w:highlight w:val="none"/>
          <w:lang w:val="en-US" w:eastAsia="zh-CN" w:bidi="ar-SA"/>
        </w:rPr>
      </w:pPr>
    </w:p>
    <w:p w14:paraId="76F2C713">
      <w:pPr>
        <w:widowControl/>
        <w:spacing w:before="100" w:beforeAutospacing="1" w:after="100" w:afterAutospacing="1"/>
        <w:jc w:val="center"/>
        <w:rPr>
          <w:rFonts w:hint="eastAsia" w:ascii="宋体" w:hAnsi="宋体" w:eastAsia="宋体" w:cs="宋体"/>
          <w:color w:val="auto"/>
          <w:kern w:val="0"/>
          <w:sz w:val="36"/>
          <w:szCs w:val="36"/>
          <w:highlight w:val="none"/>
          <w:lang w:val="en-US" w:eastAsia="zh-CN" w:bidi="ar-SA"/>
        </w:rPr>
      </w:pPr>
      <w:r>
        <w:rPr>
          <w:rFonts w:hint="eastAsia" w:ascii="宋体" w:hAnsi="宋体" w:eastAsia="宋体" w:cs="宋体"/>
          <w:b/>
          <w:color w:val="auto"/>
          <w:kern w:val="2"/>
          <w:sz w:val="28"/>
          <w:szCs w:val="28"/>
          <w:highlight w:val="none"/>
          <w:lang w:val="en-US" w:eastAsia="zh-CN" w:bidi="ar-SA"/>
        </w:rPr>
        <w:t>依法缴纳税收证明材料</w:t>
      </w:r>
    </w:p>
    <w:p w14:paraId="0FBF08F4">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 </w:t>
      </w:r>
    </w:p>
    <w:p w14:paraId="4B86D2C4">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致：</w:t>
      </w:r>
      <w:r>
        <w:rPr>
          <w:rFonts w:hint="eastAsia" w:ascii="宋体" w:hAnsi="宋体" w:eastAsia="宋体" w:cs="宋体"/>
          <w:color w:val="auto"/>
          <w:kern w:val="0"/>
          <w:sz w:val="21"/>
          <w:szCs w:val="21"/>
          <w:highlight w:val="none"/>
          <w:u w:val="single"/>
          <w:lang w:val="en-US" w:eastAsia="zh-CN" w:bidi="ar-SA"/>
        </w:rPr>
        <w:t>            （采购人或采购代理机构） </w:t>
      </w:r>
    </w:p>
    <w:p w14:paraId="68BDB502">
      <w:pPr>
        <w:widowControl/>
        <w:spacing w:before="100" w:beforeAutospacing="1" w:after="100" w:afterAutospacing="1"/>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1、依法缴纳税收的投标人</w:t>
      </w:r>
    </w:p>
    <w:p w14:paraId="42AEA9EB">
      <w:pPr>
        <w:widowControl/>
        <w:spacing w:before="100" w:beforeAutospacing="1" w:after="100" w:afterAutospacing="1"/>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 ）法人（包括企业、事业单位和社会团体）的</w:t>
      </w:r>
    </w:p>
    <w:p w14:paraId="5C62E5C9">
      <w:pPr>
        <w:widowControl/>
        <w:spacing w:before="100" w:beforeAutospacing="1" w:after="100" w:afterAutospacing="1"/>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现附上自</w:t>
      </w:r>
      <w:r>
        <w:rPr>
          <w:rFonts w:hint="eastAsia" w:ascii="宋体" w:hAnsi="宋体" w:eastAsia="宋体" w:cs="宋体"/>
          <w:color w:val="auto"/>
          <w:kern w:val="0"/>
          <w:sz w:val="21"/>
          <w:szCs w:val="21"/>
          <w:highlight w:val="none"/>
          <w:u w:val="single"/>
          <w:lang w:val="en-US" w:eastAsia="zh-CN" w:bidi="ar-SA"/>
        </w:rPr>
        <w:t>    </w:t>
      </w:r>
      <w:r>
        <w:rPr>
          <w:rFonts w:hint="eastAsia" w:ascii="宋体" w:hAnsi="宋体" w:eastAsia="宋体" w:cs="宋体"/>
          <w:color w:val="auto"/>
          <w:kern w:val="0"/>
          <w:sz w:val="21"/>
          <w:szCs w:val="21"/>
          <w:highlight w:val="none"/>
          <w:lang w:val="en-US" w:eastAsia="zh-CN" w:bidi="ar-SA"/>
        </w:rPr>
        <w:t>年</w:t>
      </w:r>
      <w:r>
        <w:rPr>
          <w:rFonts w:hint="eastAsia" w:ascii="宋体" w:hAnsi="宋体" w:eastAsia="宋体" w:cs="宋体"/>
          <w:color w:val="auto"/>
          <w:kern w:val="0"/>
          <w:sz w:val="21"/>
          <w:szCs w:val="21"/>
          <w:highlight w:val="none"/>
          <w:u w:val="single"/>
          <w:lang w:val="en-US" w:eastAsia="zh-CN" w:bidi="ar-SA"/>
        </w:rPr>
        <w:t>   </w:t>
      </w:r>
      <w:r>
        <w:rPr>
          <w:rFonts w:hint="eastAsia" w:ascii="宋体" w:hAnsi="宋体" w:eastAsia="宋体" w:cs="宋体"/>
          <w:color w:val="auto"/>
          <w:kern w:val="0"/>
          <w:sz w:val="21"/>
          <w:szCs w:val="21"/>
          <w:highlight w:val="none"/>
          <w:lang w:val="en-US" w:eastAsia="zh-CN" w:bidi="ar-SA"/>
        </w:rPr>
        <w:t>月</w:t>
      </w:r>
      <w:r>
        <w:rPr>
          <w:rFonts w:hint="eastAsia" w:ascii="宋体" w:hAnsi="宋体" w:eastAsia="宋体" w:cs="宋体"/>
          <w:color w:val="auto"/>
          <w:kern w:val="0"/>
          <w:sz w:val="21"/>
          <w:szCs w:val="21"/>
          <w:highlight w:val="none"/>
          <w:u w:val="single"/>
          <w:lang w:val="en-US" w:eastAsia="zh-CN" w:bidi="ar-SA"/>
        </w:rPr>
        <w:t>   </w:t>
      </w:r>
      <w:r>
        <w:rPr>
          <w:rFonts w:hint="eastAsia" w:ascii="宋体" w:hAnsi="宋体" w:eastAsia="宋体" w:cs="宋体"/>
          <w:color w:val="auto"/>
          <w:kern w:val="0"/>
          <w:sz w:val="21"/>
          <w:szCs w:val="21"/>
          <w:highlight w:val="none"/>
          <w:lang w:val="en-US" w:eastAsia="zh-CN" w:bidi="ar-SA"/>
        </w:rPr>
        <w:t>日至</w:t>
      </w:r>
      <w:r>
        <w:rPr>
          <w:rFonts w:hint="eastAsia" w:ascii="宋体" w:hAnsi="宋体" w:eastAsia="宋体" w:cs="宋体"/>
          <w:color w:val="auto"/>
          <w:kern w:val="0"/>
          <w:sz w:val="21"/>
          <w:szCs w:val="21"/>
          <w:highlight w:val="none"/>
          <w:u w:val="single"/>
          <w:lang w:val="en-US" w:eastAsia="zh-CN" w:bidi="ar-SA"/>
        </w:rPr>
        <w:t>    </w:t>
      </w:r>
      <w:r>
        <w:rPr>
          <w:rFonts w:hint="eastAsia" w:ascii="宋体" w:hAnsi="宋体" w:eastAsia="宋体" w:cs="宋体"/>
          <w:color w:val="auto"/>
          <w:kern w:val="0"/>
          <w:sz w:val="21"/>
          <w:szCs w:val="21"/>
          <w:highlight w:val="none"/>
          <w:lang w:val="en-US" w:eastAsia="zh-CN" w:bidi="ar-SA"/>
        </w:rPr>
        <w:t>年</w:t>
      </w:r>
      <w:r>
        <w:rPr>
          <w:rFonts w:hint="eastAsia" w:ascii="宋体" w:hAnsi="宋体" w:eastAsia="宋体" w:cs="宋体"/>
          <w:color w:val="auto"/>
          <w:kern w:val="0"/>
          <w:sz w:val="21"/>
          <w:szCs w:val="21"/>
          <w:highlight w:val="none"/>
          <w:u w:val="single"/>
          <w:lang w:val="en-US" w:eastAsia="zh-CN" w:bidi="ar-SA"/>
        </w:rPr>
        <w:t>   </w:t>
      </w:r>
      <w:r>
        <w:rPr>
          <w:rFonts w:hint="eastAsia" w:ascii="宋体" w:hAnsi="宋体" w:eastAsia="宋体" w:cs="宋体"/>
          <w:color w:val="auto"/>
          <w:kern w:val="0"/>
          <w:sz w:val="21"/>
          <w:szCs w:val="21"/>
          <w:highlight w:val="none"/>
          <w:lang w:val="en-US" w:eastAsia="zh-CN" w:bidi="ar-SA"/>
        </w:rPr>
        <w:t>月</w:t>
      </w:r>
      <w:r>
        <w:rPr>
          <w:rFonts w:hint="eastAsia" w:ascii="宋体" w:hAnsi="宋体" w:eastAsia="宋体" w:cs="宋体"/>
          <w:color w:val="auto"/>
          <w:kern w:val="0"/>
          <w:sz w:val="21"/>
          <w:szCs w:val="21"/>
          <w:highlight w:val="none"/>
          <w:u w:val="single"/>
          <w:lang w:val="en-US" w:eastAsia="zh-CN" w:bidi="ar-SA"/>
        </w:rPr>
        <w:t>   </w:t>
      </w:r>
      <w:r>
        <w:rPr>
          <w:rFonts w:hint="eastAsia" w:ascii="宋体" w:hAnsi="宋体" w:eastAsia="宋体" w:cs="宋体"/>
          <w:color w:val="auto"/>
          <w:kern w:val="0"/>
          <w:sz w:val="21"/>
          <w:szCs w:val="21"/>
          <w:highlight w:val="none"/>
          <w:lang w:val="en-US" w:eastAsia="zh-CN" w:bidi="ar-SA"/>
        </w:rPr>
        <w:t>日期间我方缴纳</w:t>
      </w:r>
      <w:r>
        <w:rPr>
          <w:rFonts w:hint="eastAsia" w:ascii="宋体" w:hAnsi="宋体" w:eastAsia="宋体" w:cs="宋体"/>
          <w:color w:val="auto"/>
          <w:kern w:val="0"/>
          <w:sz w:val="21"/>
          <w:szCs w:val="21"/>
          <w:highlight w:val="none"/>
          <w:u w:val="single"/>
          <w:lang w:val="en-US" w:eastAsia="zh-CN" w:bidi="ar-SA"/>
        </w:rPr>
        <w:t>（包括但不限于税务机关出具的专用收据、税收缴纳证明或税收代缴银行的缴款收讫凭证）等</w:t>
      </w:r>
      <w:r>
        <w:rPr>
          <w:rFonts w:hint="eastAsia" w:ascii="宋体" w:hAnsi="宋体" w:eastAsia="宋体" w:cs="宋体"/>
          <w:color w:val="auto"/>
          <w:kern w:val="0"/>
          <w:sz w:val="21"/>
          <w:szCs w:val="21"/>
          <w:highlight w:val="none"/>
          <w:lang w:val="en-US" w:eastAsia="zh-CN" w:bidi="ar-SA"/>
        </w:rPr>
        <w:t>税收凭据复印件，上述证明材料真实有效，否则我方负全部责任。</w:t>
      </w:r>
    </w:p>
    <w:p w14:paraId="0261ABCC">
      <w:pPr>
        <w:widowControl/>
        <w:spacing w:before="100" w:beforeAutospacing="1" w:after="100" w:afterAutospacing="1"/>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 ）非法人（包括其他组织、自然人）的</w:t>
      </w:r>
    </w:p>
    <w:p w14:paraId="3BE6EEDF">
      <w:pPr>
        <w:widowControl/>
        <w:spacing w:before="100" w:beforeAutospacing="1" w:after="100" w:afterAutospacing="1"/>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现附上自</w:t>
      </w:r>
      <w:r>
        <w:rPr>
          <w:rFonts w:hint="eastAsia" w:ascii="宋体" w:hAnsi="宋体" w:eastAsia="宋体" w:cs="宋体"/>
          <w:color w:val="auto"/>
          <w:kern w:val="0"/>
          <w:sz w:val="21"/>
          <w:szCs w:val="21"/>
          <w:highlight w:val="none"/>
          <w:u w:val="single"/>
          <w:lang w:val="en-US" w:eastAsia="zh-CN" w:bidi="ar-SA"/>
        </w:rPr>
        <w:t>    </w:t>
      </w:r>
      <w:r>
        <w:rPr>
          <w:rFonts w:hint="eastAsia" w:ascii="宋体" w:hAnsi="宋体" w:eastAsia="宋体" w:cs="宋体"/>
          <w:color w:val="auto"/>
          <w:kern w:val="0"/>
          <w:sz w:val="21"/>
          <w:szCs w:val="21"/>
          <w:highlight w:val="none"/>
          <w:lang w:val="en-US" w:eastAsia="zh-CN" w:bidi="ar-SA"/>
        </w:rPr>
        <w:t>年</w:t>
      </w:r>
      <w:r>
        <w:rPr>
          <w:rFonts w:hint="eastAsia" w:ascii="宋体" w:hAnsi="宋体" w:eastAsia="宋体" w:cs="宋体"/>
          <w:color w:val="auto"/>
          <w:kern w:val="0"/>
          <w:sz w:val="21"/>
          <w:szCs w:val="21"/>
          <w:highlight w:val="none"/>
          <w:u w:val="single"/>
          <w:lang w:val="en-US" w:eastAsia="zh-CN" w:bidi="ar-SA"/>
        </w:rPr>
        <w:t>   </w:t>
      </w:r>
      <w:r>
        <w:rPr>
          <w:rFonts w:hint="eastAsia" w:ascii="宋体" w:hAnsi="宋体" w:eastAsia="宋体" w:cs="宋体"/>
          <w:color w:val="auto"/>
          <w:kern w:val="0"/>
          <w:sz w:val="21"/>
          <w:szCs w:val="21"/>
          <w:highlight w:val="none"/>
          <w:lang w:val="en-US" w:eastAsia="zh-CN" w:bidi="ar-SA"/>
        </w:rPr>
        <w:t>月</w:t>
      </w:r>
      <w:r>
        <w:rPr>
          <w:rFonts w:hint="eastAsia" w:ascii="宋体" w:hAnsi="宋体" w:eastAsia="宋体" w:cs="宋体"/>
          <w:color w:val="auto"/>
          <w:kern w:val="0"/>
          <w:sz w:val="21"/>
          <w:szCs w:val="21"/>
          <w:highlight w:val="none"/>
          <w:u w:val="single"/>
          <w:lang w:val="en-US" w:eastAsia="zh-CN" w:bidi="ar-SA"/>
        </w:rPr>
        <w:t>   </w:t>
      </w:r>
      <w:r>
        <w:rPr>
          <w:rFonts w:hint="eastAsia" w:ascii="宋体" w:hAnsi="宋体" w:eastAsia="宋体" w:cs="宋体"/>
          <w:color w:val="auto"/>
          <w:kern w:val="0"/>
          <w:sz w:val="21"/>
          <w:szCs w:val="21"/>
          <w:highlight w:val="none"/>
          <w:lang w:val="en-US" w:eastAsia="zh-CN" w:bidi="ar-SA"/>
        </w:rPr>
        <w:t>日至</w:t>
      </w:r>
      <w:r>
        <w:rPr>
          <w:rFonts w:hint="eastAsia" w:ascii="宋体" w:hAnsi="宋体" w:eastAsia="宋体" w:cs="宋体"/>
          <w:color w:val="auto"/>
          <w:kern w:val="0"/>
          <w:sz w:val="21"/>
          <w:szCs w:val="21"/>
          <w:highlight w:val="none"/>
          <w:u w:val="single"/>
          <w:lang w:val="en-US" w:eastAsia="zh-CN" w:bidi="ar-SA"/>
        </w:rPr>
        <w:t>    </w:t>
      </w:r>
      <w:r>
        <w:rPr>
          <w:rFonts w:hint="eastAsia" w:ascii="宋体" w:hAnsi="宋体" w:eastAsia="宋体" w:cs="宋体"/>
          <w:color w:val="auto"/>
          <w:kern w:val="0"/>
          <w:sz w:val="21"/>
          <w:szCs w:val="21"/>
          <w:highlight w:val="none"/>
          <w:lang w:val="en-US" w:eastAsia="zh-CN" w:bidi="ar-SA"/>
        </w:rPr>
        <w:t>年</w:t>
      </w:r>
      <w:r>
        <w:rPr>
          <w:rFonts w:hint="eastAsia" w:ascii="宋体" w:hAnsi="宋体" w:eastAsia="宋体" w:cs="宋体"/>
          <w:color w:val="auto"/>
          <w:kern w:val="0"/>
          <w:sz w:val="21"/>
          <w:szCs w:val="21"/>
          <w:highlight w:val="none"/>
          <w:u w:val="single"/>
          <w:lang w:val="en-US" w:eastAsia="zh-CN" w:bidi="ar-SA"/>
        </w:rPr>
        <w:t>   </w:t>
      </w:r>
      <w:r>
        <w:rPr>
          <w:rFonts w:hint="eastAsia" w:ascii="宋体" w:hAnsi="宋体" w:eastAsia="宋体" w:cs="宋体"/>
          <w:color w:val="auto"/>
          <w:kern w:val="0"/>
          <w:sz w:val="21"/>
          <w:szCs w:val="21"/>
          <w:highlight w:val="none"/>
          <w:lang w:val="en-US" w:eastAsia="zh-CN" w:bidi="ar-SA"/>
        </w:rPr>
        <w:t>月</w:t>
      </w:r>
      <w:r>
        <w:rPr>
          <w:rFonts w:hint="eastAsia" w:ascii="宋体" w:hAnsi="宋体" w:eastAsia="宋体" w:cs="宋体"/>
          <w:color w:val="auto"/>
          <w:kern w:val="0"/>
          <w:sz w:val="21"/>
          <w:szCs w:val="21"/>
          <w:highlight w:val="none"/>
          <w:u w:val="single"/>
          <w:lang w:val="en-US" w:eastAsia="zh-CN" w:bidi="ar-SA"/>
        </w:rPr>
        <w:t>   </w:t>
      </w:r>
      <w:r>
        <w:rPr>
          <w:rFonts w:hint="eastAsia" w:ascii="宋体" w:hAnsi="宋体" w:eastAsia="宋体" w:cs="宋体"/>
          <w:color w:val="auto"/>
          <w:kern w:val="0"/>
          <w:sz w:val="21"/>
          <w:szCs w:val="21"/>
          <w:highlight w:val="none"/>
          <w:lang w:val="en-US" w:eastAsia="zh-CN" w:bidi="ar-SA"/>
        </w:rPr>
        <w:t>日期间我方缴纳</w:t>
      </w:r>
      <w:r>
        <w:rPr>
          <w:rFonts w:hint="eastAsia" w:ascii="宋体" w:hAnsi="宋体" w:eastAsia="宋体" w:cs="宋体"/>
          <w:color w:val="auto"/>
          <w:kern w:val="0"/>
          <w:sz w:val="21"/>
          <w:szCs w:val="21"/>
          <w:highlight w:val="none"/>
          <w:u w:val="single"/>
          <w:lang w:val="en-US" w:eastAsia="zh-CN" w:bidi="ar-SA"/>
        </w:rPr>
        <w:t>（包括但不限于税务机关出具的专用收据、税收缴纳证明或税收代缴银行的缴款收讫凭证）等</w:t>
      </w:r>
      <w:r>
        <w:rPr>
          <w:rFonts w:hint="eastAsia" w:ascii="宋体" w:hAnsi="宋体" w:eastAsia="宋体" w:cs="宋体"/>
          <w:color w:val="auto"/>
          <w:kern w:val="0"/>
          <w:sz w:val="21"/>
          <w:szCs w:val="21"/>
          <w:highlight w:val="none"/>
          <w:lang w:val="en-US" w:eastAsia="zh-CN" w:bidi="ar-SA"/>
        </w:rPr>
        <w:t>税收凭据复印件，上述证明材料真实有效，否则我方负全部责任。</w:t>
      </w:r>
    </w:p>
    <w:p w14:paraId="68457122">
      <w:pPr>
        <w:widowControl/>
        <w:spacing w:before="100" w:beforeAutospacing="1" w:after="100" w:afterAutospacing="1"/>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2、依法减免税收的投标人</w:t>
      </w:r>
    </w:p>
    <w:p w14:paraId="18C6FC2C">
      <w:pPr>
        <w:widowControl/>
        <w:spacing w:before="100" w:beforeAutospacing="1" w:after="100" w:afterAutospacing="1"/>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 ）现附上我方依法减免税收的证明材料复印件，上述证明材料真实有效，否则我方负全部责任。</w:t>
      </w:r>
    </w:p>
    <w:p w14:paraId="45FAAA94">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※注意：</w:t>
      </w:r>
    </w:p>
    <w:p w14:paraId="3354E794">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1、请投标人按照实际情况编制填写，在相应的（）中打“√”，并按照本格式的要求提供相应证明材料的复印件。</w:t>
      </w:r>
    </w:p>
    <w:p w14:paraId="6AFAEF35">
      <w:pPr>
        <w:widowControl/>
        <w:spacing w:before="100" w:beforeAutospacing="1" w:after="100" w:afterAutospacing="1"/>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2、投标人提供的税收缴纳凭据复印件应符合下列规定：</w:t>
      </w:r>
    </w:p>
    <w:p w14:paraId="00F011DF">
      <w:pPr>
        <w:widowControl/>
        <w:spacing w:before="100" w:beforeAutospacing="1" w:after="100" w:afterAutospacing="1"/>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2.1投标截止时间前（不含投标截止时间的当月）已依法缴纳税收的投标人，提供投标截止时间前六个月（不含投标截止时间的当月）中任一月份的税收缴纳凭据复印件。</w:t>
      </w:r>
    </w:p>
    <w:p w14:paraId="5293E2EE">
      <w:pPr>
        <w:widowControl/>
        <w:spacing w:before="100" w:beforeAutospacing="1" w:after="100" w:afterAutospacing="1"/>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2.2投标截止时间的当月成立的投标人，视同满足本项资格条件要求。</w:t>
      </w:r>
    </w:p>
    <w:p w14:paraId="0CA9F65E">
      <w:pPr>
        <w:widowControl/>
        <w:spacing w:before="100" w:beforeAutospacing="1" w:after="100" w:afterAutospacing="1"/>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3、若为依法免税范围的投标人，提供依法免税证明材料的，视同满足本项资格条件要求。</w:t>
      </w:r>
    </w:p>
    <w:p w14:paraId="565D2A9E">
      <w:pPr>
        <w:spacing w:line="440" w:lineRule="exact"/>
        <w:ind w:firstLine="480" w:firstLineChars="200"/>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投标人：</w:t>
      </w:r>
      <w:r>
        <w:rPr>
          <w:rFonts w:hint="eastAsia" w:ascii="宋体" w:hAnsi="宋体" w:eastAsia="宋体" w:cs="宋体"/>
          <w:bCs/>
          <w:color w:val="auto"/>
          <w:sz w:val="24"/>
          <w:highlight w:val="none"/>
          <w:u w:val="single"/>
        </w:rPr>
        <w:t>（全称并加盖单位公章）</w:t>
      </w:r>
    </w:p>
    <w:p w14:paraId="47084BEC">
      <w:pPr>
        <w:spacing w:line="440" w:lineRule="exact"/>
        <w:ind w:firstLine="480" w:firstLineChars="200"/>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投标人代表签字：</w:t>
      </w:r>
      <w:r>
        <w:rPr>
          <w:rFonts w:hint="eastAsia" w:ascii="宋体" w:hAnsi="宋体" w:eastAsia="宋体" w:cs="宋体"/>
          <w:bCs/>
          <w:color w:val="auto"/>
          <w:sz w:val="24"/>
          <w:highlight w:val="none"/>
          <w:u w:val="single"/>
        </w:rPr>
        <w:t xml:space="preserve">          </w:t>
      </w:r>
    </w:p>
    <w:p w14:paraId="38B796E9">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日期：    年   月   日</w:t>
      </w:r>
    </w:p>
    <w:p w14:paraId="479A659E">
      <w:pPr>
        <w:widowControl/>
        <w:spacing w:before="100" w:beforeAutospacing="1" w:after="100" w:afterAutospacing="1"/>
        <w:jc w:val="center"/>
        <w:rPr>
          <w:rFonts w:hint="eastAsia" w:ascii="宋体" w:hAnsi="宋体" w:eastAsia="宋体" w:cs="宋体"/>
          <w:color w:val="auto"/>
          <w:kern w:val="0"/>
          <w:sz w:val="21"/>
          <w:szCs w:val="21"/>
          <w:highlight w:val="none"/>
          <w:lang w:val="en-US" w:eastAsia="zh-CN" w:bidi="ar-SA"/>
        </w:rPr>
      </w:pPr>
    </w:p>
    <w:p w14:paraId="27120A18">
      <w:pPr>
        <w:widowControl/>
        <w:spacing w:before="100" w:beforeAutospacing="1" w:after="100" w:afterAutospacing="1"/>
        <w:jc w:val="center"/>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b/>
          <w:color w:val="auto"/>
          <w:kern w:val="2"/>
          <w:sz w:val="24"/>
          <w:szCs w:val="24"/>
          <w:highlight w:val="none"/>
          <w:lang w:val="en-US" w:eastAsia="zh-CN" w:bidi="ar-SA"/>
        </w:rPr>
        <w:t>依法缴纳社会保障资金证明材料</w:t>
      </w:r>
    </w:p>
    <w:p w14:paraId="4BEEF745">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 </w:t>
      </w:r>
    </w:p>
    <w:p w14:paraId="22E1B95C">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致：</w:t>
      </w:r>
      <w:r>
        <w:rPr>
          <w:rFonts w:hint="eastAsia" w:ascii="宋体" w:hAnsi="宋体" w:eastAsia="宋体" w:cs="宋体"/>
          <w:color w:val="auto"/>
          <w:kern w:val="0"/>
          <w:sz w:val="21"/>
          <w:szCs w:val="21"/>
          <w:highlight w:val="none"/>
          <w:u w:val="single"/>
          <w:lang w:val="en-US" w:eastAsia="zh-CN" w:bidi="ar-SA"/>
        </w:rPr>
        <w:t>           （采购人或采购代理机构） </w:t>
      </w:r>
    </w:p>
    <w:p w14:paraId="50CBDB8A">
      <w:pPr>
        <w:widowControl/>
        <w:spacing w:before="100" w:beforeAutospacing="1" w:after="100" w:afterAutospacing="1"/>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1、依法缴纳社会保障资金的投标人</w:t>
      </w:r>
    </w:p>
    <w:p w14:paraId="11657651">
      <w:pPr>
        <w:widowControl/>
        <w:spacing w:before="100" w:beforeAutospacing="1" w:after="100" w:afterAutospacing="1"/>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 ）法人（包括企业、事业单位和社会团体）的</w:t>
      </w:r>
    </w:p>
    <w:p w14:paraId="728E43A7">
      <w:pPr>
        <w:widowControl/>
        <w:spacing w:before="100" w:beforeAutospacing="1" w:after="100" w:afterAutospacing="1"/>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现附上自</w:t>
      </w:r>
      <w:r>
        <w:rPr>
          <w:rFonts w:hint="eastAsia" w:ascii="宋体" w:hAnsi="宋体" w:eastAsia="宋体" w:cs="宋体"/>
          <w:color w:val="auto"/>
          <w:kern w:val="0"/>
          <w:sz w:val="21"/>
          <w:szCs w:val="21"/>
          <w:highlight w:val="none"/>
          <w:u w:val="single"/>
          <w:lang w:val="en-US" w:eastAsia="zh-CN" w:bidi="ar-SA"/>
        </w:rPr>
        <w:t>    </w:t>
      </w:r>
      <w:r>
        <w:rPr>
          <w:rFonts w:hint="eastAsia" w:ascii="宋体" w:hAnsi="宋体" w:eastAsia="宋体" w:cs="宋体"/>
          <w:color w:val="auto"/>
          <w:kern w:val="0"/>
          <w:sz w:val="21"/>
          <w:szCs w:val="21"/>
          <w:highlight w:val="none"/>
          <w:lang w:val="en-US" w:eastAsia="zh-CN" w:bidi="ar-SA"/>
        </w:rPr>
        <w:t>年</w:t>
      </w:r>
      <w:r>
        <w:rPr>
          <w:rFonts w:hint="eastAsia" w:ascii="宋体" w:hAnsi="宋体" w:eastAsia="宋体" w:cs="宋体"/>
          <w:color w:val="auto"/>
          <w:kern w:val="0"/>
          <w:sz w:val="21"/>
          <w:szCs w:val="21"/>
          <w:highlight w:val="none"/>
          <w:u w:val="single"/>
          <w:lang w:val="en-US" w:eastAsia="zh-CN" w:bidi="ar-SA"/>
        </w:rPr>
        <w:t>   </w:t>
      </w:r>
      <w:r>
        <w:rPr>
          <w:rFonts w:hint="eastAsia" w:ascii="宋体" w:hAnsi="宋体" w:eastAsia="宋体" w:cs="宋体"/>
          <w:color w:val="auto"/>
          <w:kern w:val="0"/>
          <w:sz w:val="21"/>
          <w:szCs w:val="21"/>
          <w:highlight w:val="none"/>
          <w:lang w:val="en-US" w:eastAsia="zh-CN" w:bidi="ar-SA"/>
        </w:rPr>
        <w:t>月</w:t>
      </w:r>
      <w:r>
        <w:rPr>
          <w:rFonts w:hint="eastAsia" w:ascii="宋体" w:hAnsi="宋体" w:eastAsia="宋体" w:cs="宋体"/>
          <w:color w:val="auto"/>
          <w:kern w:val="0"/>
          <w:sz w:val="21"/>
          <w:szCs w:val="21"/>
          <w:highlight w:val="none"/>
          <w:u w:val="single"/>
          <w:lang w:val="en-US" w:eastAsia="zh-CN" w:bidi="ar-SA"/>
        </w:rPr>
        <w:t>   </w:t>
      </w:r>
      <w:r>
        <w:rPr>
          <w:rFonts w:hint="eastAsia" w:ascii="宋体" w:hAnsi="宋体" w:eastAsia="宋体" w:cs="宋体"/>
          <w:color w:val="auto"/>
          <w:kern w:val="0"/>
          <w:sz w:val="21"/>
          <w:szCs w:val="21"/>
          <w:highlight w:val="none"/>
          <w:lang w:val="en-US" w:eastAsia="zh-CN" w:bidi="ar-SA"/>
        </w:rPr>
        <w:t>日至</w:t>
      </w:r>
      <w:r>
        <w:rPr>
          <w:rFonts w:hint="eastAsia" w:ascii="宋体" w:hAnsi="宋体" w:eastAsia="宋体" w:cs="宋体"/>
          <w:color w:val="auto"/>
          <w:kern w:val="0"/>
          <w:sz w:val="21"/>
          <w:szCs w:val="21"/>
          <w:highlight w:val="none"/>
          <w:u w:val="single"/>
          <w:lang w:val="en-US" w:eastAsia="zh-CN" w:bidi="ar-SA"/>
        </w:rPr>
        <w:t>    </w:t>
      </w:r>
      <w:r>
        <w:rPr>
          <w:rFonts w:hint="eastAsia" w:ascii="宋体" w:hAnsi="宋体" w:eastAsia="宋体" w:cs="宋体"/>
          <w:color w:val="auto"/>
          <w:kern w:val="0"/>
          <w:sz w:val="21"/>
          <w:szCs w:val="21"/>
          <w:highlight w:val="none"/>
          <w:lang w:val="en-US" w:eastAsia="zh-CN" w:bidi="ar-SA"/>
        </w:rPr>
        <w:t>年</w:t>
      </w:r>
      <w:r>
        <w:rPr>
          <w:rFonts w:hint="eastAsia" w:ascii="宋体" w:hAnsi="宋体" w:eastAsia="宋体" w:cs="宋体"/>
          <w:color w:val="auto"/>
          <w:kern w:val="0"/>
          <w:sz w:val="21"/>
          <w:szCs w:val="21"/>
          <w:highlight w:val="none"/>
          <w:u w:val="single"/>
          <w:lang w:val="en-US" w:eastAsia="zh-CN" w:bidi="ar-SA"/>
        </w:rPr>
        <w:t>   </w:t>
      </w:r>
      <w:r>
        <w:rPr>
          <w:rFonts w:hint="eastAsia" w:ascii="宋体" w:hAnsi="宋体" w:eastAsia="宋体" w:cs="宋体"/>
          <w:color w:val="auto"/>
          <w:kern w:val="0"/>
          <w:sz w:val="21"/>
          <w:szCs w:val="21"/>
          <w:highlight w:val="none"/>
          <w:lang w:val="en-US" w:eastAsia="zh-CN" w:bidi="ar-SA"/>
        </w:rPr>
        <w:t>月</w:t>
      </w:r>
      <w:r>
        <w:rPr>
          <w:rFonts w:hint="eastAsia" w:ascii="宋体" w:hAnsi="宋体" w:eastAsia="宋体" w:cs="宋体"/>
          <w:color w:val="auto"/>
          <w:kern w:val="0"/>
          <w:sz w:val="21"/>
          <w:szCs w:val="21"/>
          <w:highlight w:val="none"/>
          <w:u w:val="single"/>
          <w:lang w:val="en-US" w:eastAsia="zh-CN" w:bidi="ar-SA"/>
        </w:rPr>
        <w:t>   </w:t>
      </w:r>
      <w:r>
        <w:rPr>
          <w:rFonts w:hint="eastAsia" w:ascii="宋体" w:hAnsi="宋体" w:eastAsia="宋体" w:cs="宋体"/>
          <w:color w:val="auto"/>
          <w:kern w:val="0"/>
          <w:sz w:val="21"/>
          <w:szCs w:val="21"/>
          <w:highlight w:val="none"/>
          <w:lang w:val="en-US" w:eastAsia="zh-CN" w:bidi="ar-SA"/>
        </w:rPr>
        <w:t>日我方缴纳的社会保险凭据（限：税务机关/社会保障资金管理机关的专用收据或社会保险缴纳清单，或社会保险的银行缴款收讫凭证）复印件，上述证明材料真实有效，否则我方负全部责任。</w:t>
      </w:r>
    </w:p>
    <w:p w14:paraId="47146994">
      <w:pPr>
        <w:widowControl/>
        <w:spacing w:before="100" w:beforeAutospacing="1" w:after="100" w:afterAutospacing="1"/>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 ）非法人（包括其他组织、自然人）的</w:t>
      </w:r>
    </w:p>
    <w:p w14:paraId="7546DF13">
      <w:pPr>
        <w:widowControl/>
        <w:spacing w:before="100" w:beforeAutospacing="1" w:after="100" w:afterAutospacing="1"/>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自</w:t>
      </w:r>
      <w:r>
        <w:rPr>
          <w:rFonts w:hint="eastAsia" w:ascii="宋体" w:hAnsi="宋体" w:eastAsia="宋体" w:cs="宋体"/>
          <w:color w:val="auto"/>
          <w:kern w:val="0"/>
          <w:sz w:val="21"/>
          <w:szCs w:val="21"/>
          <w:highlight w:val="none"/>
          <w:u w:val="single"/>
          <w:lang w:val="en-US" w:eastAsia="zh-CN" w:bidi="ar-SA"/>
        </w:rPr>
        <w:t>    </w:t>
      </w:r>
      <w:r>
        <w:rPr>
          <w:rFonts w:hint="eastAsia" w:ascii="宋体" w:hAnsi="宋体" w:eastAsia="宋体" w:cs="宋体"/>
          <w:color w:val="auto"/>
          <w:kern w:val="0"/>
          <w:sz w:val="21"/>
          <w:szCs w:val="21"/>
          <w:highlight w:val="none"/>
          <w:lang w:val="en-US" w:eastAsia="zh-CN" w:bidi="ar-SA"/>
        </w:rPr>
        <w:t>年</w:t>
      </w:r>
      <w:r>
        <w:rPr>
          <w:rFonts w:hint="eastAsia" w:ascii="宋体" w:hAnsi="宋体" w:eastAsia="宋体" w:cs="宋体"/>
          <w:color w:val="auto"/>
          <w:kern w:val="0"/>
          <w:sz w:val="21"/>
          <w:szCs w:val="21"/>
          <w:highlight w:val="none"/>
          <w:u w:val="single"/>
          <w:lang w:val="en-US" w:eastAsia="zh-CN" w:bidi="ar-SA"/>
        </w:rPr>
        <w:t>   </w:t>
      </w:r>
      <w:r>
        <w:rPr>
          <w:rFonts w:hint="eastAsia" w:ascii="宋体" w:hAnsi="宋体" w:eastAsia="宋体" w:cs="宋体"/>
          <w:color w:val="auto"/>
          <w:kern w:val="0"/>
          <w:sz w:val="21"/>
          <w:szCs w:val="21"/>
          <w:highlight w:val="none"/>
          <w:lang w:val="en-US" w:eastAsia="zh-CN" w:bidi="ar-SA"/>
        </w:rPr>
        <w:t>月</w:t>
      </w:r>
      <w:r>
        <w:rPr>
          <w:rFonts w:hint="eastAsia" w:ascii="宋体" w:hAnsi="宋体" w:eastAsia="宋体" w:cs="宋体"/>
          <w:color w:val="auto"/>
          <w:kern w:val="0"/>
          <w:sz w:val="21"/>
          <w:szCs w:val="21"/>
          <w:highlight w:val="none"/>
          <w:u w:val="single"/>
          <w:lang w:val="en-US" w:eastAsia="zh-CN" w:bidi="ar-SA"/>
        </w:rPr>
        <w:t>   </w:t>
      </w:r>
      <w:r>
        <w:rPr>
          <w:rFonts w:hint="eastAsia" w:ascii="宋体" w:hAnsi="宋体" w:eastAsia="宋体" w:cs="宋体"/>
          <w:color w:val="auto"/>
          <w:kern w:val="0"/>
          <w:sz w:val="21"/>
          <w:szCs w:val="21"/>
          <w:highlight w:val="none"/>
          <w:lang w:val="en-US" w:eastAsia="zh-CN" w:bidi="ar-SA"/>
        </w:rPr>
        <w:t>日至</w:t>
      </w:r>
      <w:r>
        <w:rPr>
          <w:rFonts w:hint="eastAsia" w:ascii="宋体" w:hAnsi="宋体" w:eastAsia="宋体" w:cs="宋体"/>
          <w:color w:val="auto"/>
          <w:kern w:val="0"/>
          <w:sz w:val="21"/>
          <w:szCs w:val="21"/>
          <w:highlight w:val="none"/>
          <w:u w:val="single"/>
          <w:lang w:val="en-US" w:eastAsia="zh-CN" w:bidi="ar-SA"/>
        </w:rPr>
        <w:t>    </w:t>
      </w:r>
      <w:r>
        <w:rPr>
          <w:rFonts w:hint="eastAsia" w:ascii="宋体" w:hAnsi="宋体" w:eastAsia="宋体" w:cs="宋体"/>
          <w:color w:val="auto"/>
          <w:kern w:val="0"/>
          <w:sz w:val="21"/>
          <w:szCs w:val="21"/>
          <w:highlight w:val="none"/>
          <w:lang w:val="en-US" w:eastAsia="zh-CN" w:bidi="ar-SA"/>
        </w:rPr>
        <w:t>年</w:t>
      </w:r>
      <w:r>
        <w:rPr>
          <w:rFonts w:hint="eastAsia" w:ascii="宋体" w:hAnsi="宋体" w:eastAsia="宋体" w:cs="宋体"/>
          <w:color w:val="auto"/>
          <w:kern w:val="0"/>
          <w:sz w:val="21"/>
          <w:szCs w:val="21"/>
          <w:highlight w:val="none"/>
          <w:u w:val="single"/>
          <w:lang w:val="en-US" w:eastAsia="zh-CN" w:bidi="ar-SA"/>
        </w:rPr>
        <w:t>   </w:t>
      </w:r>
      <w:r>
        <w:rPr>
          <w:rFonts w:hint="eastAsia" w:ascii="宋体" w:hAnsi="宋体" w:eastAsia="宋体" w:cs="宋体"/>
          <w:color w:val="auto"/>
          <w:kern w:val="0"/>
          <w:sz w:val="21"/>
          <w:szCs w:val="21"/>
          <w:highlight w:val="none"/>
          <w:lang w:val="en-US" w:eastAsia="zh-CN" w:bidi="ar-SA"/>
        </w:rPr>
        <w:t>月</w:t>
      </w:r>
      <w:r>
        <w:rPr>
          <w:rFonts w:hint="eastAsia" w:ascii="宋体" w:hAnsi="宋体" w:eastAsia="宋体" w:cs="宋体"/>
          <w:color w:val="auto"/>
          <w:kern w:val="0"/>
          <w:sz w:val="21"/>
          <w:szCs w:val="21"/>
          <w:highlight w:val="none"/>
          <w:u w:val="single"/>
          <w:lang w:val="en-US" w:eastAsia="zh-CN" w:bidi="ar-SA"/>
        </w:rPr>
        <w:t>   </w:t>
      </w:r>
      <w:r>
        <w:rPr>
          <w:rFonts w:hint="eastAsia" w:ascii="宋体" w:hAnsi="宋体" w:eastAsia="宋体" w:cs="宋体"/>
          <w:color w:val="auto"/>
          <w:kern w:val="0"/>
          <w:sz w:val="21"/>
          <w:szCs w:val="21"/>
          <w:highlight w:val="none"/>
          <w:lang w:val="en-US" w:eastAsia="zh-CN" w:bidi="ar-SA"/>
        </w:rPr>
        <w:t>日我方缴纳的社会保险凭据（限：税务机关/社会保障资金管理机关的专用收据或社会保险缴纳清单，或社会保险的银行缴款收讫凭证）复印件，上述证明材料真实有效，否则我方负全部责任。</w:t>
      </w:r>
    </w:p>
    <w:p w14:paraId="4FEACFDF">
      <w:pPr>
        <w:widowControl/>
        <w:spacing w:before="100" w:beforeAutospacing="1" w:after="100" w:afterAutospacing="1"/>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2、依法不需要缴纳或暂缓缴纳社会保障资金的投标人</w:t>
      </w:r>
    </w:p>
    <w:p w14:paraId="74D7626A">
      <w:pPr>
        <w:widowControl/>
        <w:spacing w:before="100" w:beforeAutospacing="1" w:after="100" w:afterAutospacing="1"/>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 ）现附上我方依法不需要缴纳或暂缓缴纳社会保障资金证明材料复印件，上述证明材料真实有效，否则我方负全部责任。</w:t>
      </w:r>
    </w:p>
    <w:p w14:paraId="142C4586">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 ※注意：</w:t>
      </w:r>
    </w:p>
    <w:p w14:paraId="4F9AED26">
      <w:pPr>
        <w:widowControl/>
        <w:spacing w:before="100" w:beforeAutospacing="1" w:after="100" w:afterAutospacing="1"/>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1、请投标人按照实际情况编制填写，在相应的（）中打“√”，并按照本格式的要求提供相应证明材料的复印件。</w:t>
      </w:r>
    </w:p>
    <w:p w14:paraId="6F301D02">
      <w:pPr>
        <w:widowControl/>
        <w:spacing w:before="100" w:beforeAutospacing="1" w:after="100" w:afterAutospacing="1"/>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2、投标人提供的社会保障资金缴纳凭据复印件应符合下列规定：</w:t>
      </w:r>
    </w:p>
    <w:p w14:paraId="7F82DEB0">
      <w:pPr>
        <w:widowControl/>
        <w:spacing w:before="100" w:beforeAutospacing="1" w:after="100" w:afterAutospacing="1"/>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2.1投标截止时间前（不含投标截止时间的当月）已依法缴纳社会保障资金的投标人，提供投标截止时间前六个月（不含投标截止时间的当月）中任一月份的社会保障资金缴纳凭据复印件。</w:t>
      </w:r>
    </w:p>
    <w:p w14:paraId="52D80155">
      <w:pPr>
        <w:widowControl/>
        <w:spacing w:before="100" w:beforeAutospacing="1" w:after="100" w:afterAutospacing="1"/>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2.2投标截止时间的当月成立的投标人，视同满足本项资格条件要求。</w:t>
      </w:r>
    </w:p>
    <w:p w14:paraId="58EA0566">
      <w:pPr>
        <w:widowControl/>
        <w:spacing w:before="100" w:beforeAutospacing="1" w:after="100" w:afterAutospacing="1"/>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3、若为依法不需要缴纳或暂缓缴纳社会保障资金的投标人，提供依法不需要缴纳或暂缓缴纳社会保障资金证明材料的，视同满足本项资格条件要求。</w:t>
      </w:r>
    </w:p>
    <w:p w14:paraId="5A307621">
      <w:pPr>
        <w:spacing w:line="440" w:lineRule="exact"/>
        <w:ind w:firstLine="480" w:firstLineChars="200"/>
        <w:rPr>
          <w:rFonts w:hint="eastAsia" w:ascii="宋体" w:hAnsi="宋体" w:eastAsia="宋体" w:cs="宋体"/>
          <w:bCs/>
          <w:color w:val="auto"/>
          <w:sz w:val="24"/>
          <w:highlight w:val="none"/>
          <w:u w:val="single"/>
          <w:lang w:val="en-US" w:eastAsia="zh-CN"/>
        </w:rPr>
      </w:pPr>
      <w:r>
        <w:rPr>
          <w:rFonts w:hint="eastAsia" w:ascii="宋体" w:hAnsi="宋体" w:eastAsia="宋体" w:cs="宋体"/>
          <w:bCs/>
          <w:color w:val="auto"/>
          <w:sz w:val="24"/>
          <w:highlight w:val="none"/>
        </w:rPr>
        <w:t>投标人：</w:t>
      </w:r>
      <w:r>
        <w:rPr>
          <w:rFonts w:hint="eastAsia" w:ascii="宋体" w:hAnsi="宋体" w:eastAsia="宋体" w:cs="宋体"/>
          <w:bCs/>
          <w:color w:val="auto"/>
          <w:sz w:val="24"/>
          <w:highlight w:val="none"/>
          <w:u w:val="single"/>
        </w:rPr>
        <w:t>（全称并加盖单位公章）</w:t>
      </w:r>
      <w:r>
        <w:rPr>
          <w:rFonts w:hint="eastAsia" w:ascii="宋体" w:hAnsi="宋体" w:eastAsia="宋体" w:cs="宋体"/>
          <w:bCs/>
          <w:color w:val="auto"/>
          <w:sz w:val="24"/>
          <w:highlight w:val="none"/>
          <w:u w:val="single"/>
          <w:lang w:val="en-US" w:eastAsia="zh-CN"/>
        </w:rPr>
        <w:t xml:space="preserve"> </w:t>
      </w:r>
    </w:p>
    <w:p w14:paraId="7E07D345">
      <w:pPr>
        <w:spacing w:line="440" w:lineRule="exact"/>
        <w:ind w:firstLine="480" w:firstLineChars="200"/>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投标人代表签字：</w:t>
      </w:r>
      <w:r>
        <w:rPr>
          <w:rFonts w:hint="eastAsia" w:ascii="宋体" w:hAnsi="宋体" w:eastAsia="宋体" w:cs="宋体"/>
          <w:bCs/>
          <w:color w:val="auto"/>
          <w:sz w:val="24"/>
          <w:highlight w:val="none"/>
          <w:u w:val="single"/>
        </w:rPr>
        <w:t xml:space="preserve">          </w:t>
      </w:r>
    </w:p>
    <w:p w14:paraId="11FDB4B7">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日期：    年   月   日</w:t>
      </w:r>
    </w:p>
    <w:p w14:paraId="400F7FAD">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p>
    <w:p w14:paraId="07AC0A76">
      <w:pPr>
        <w:widowControl/>
        <w:spacing w:before="100" w:beforeAutospacing="1" w:after="100" w:afterAutospacing="1"/>
        <w:jc w:val="center"/>
        <w:rPr>
          <w:rFonts w:hint="eastAsia" w:ascii="宋体" w:hAnsi="宋体" w:eastAsia="宋体" w:cs="宋体"/>
          <w:color w:val="auto"/>
          <w:kern w:val="0"/>
          <w:sz w:val="21"/>
          <w:szCs w:val="21"/>
          <w:highlight w:val="none"/>
          <w:lang w:val="en-US" w:eastAsia="zh-CN" w:bidi="ar-SA"/>
        </w:rPr>
      </w:pPr>
    </w:p>
    <w:p w14:paraId="604F31F6">
      <w:pPr>
        <w:widowControl/>
        <w:spacing w:before="100" w:beforeAutospacing="1" w:after="100" w:afterAutospacing="1"/>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color w:val="auto"/>
          <w:kern w:val="2"/>
          <w:sz w:val="21"/>
          <w:szCs w:val="24"/>
          <w:highlight w:val="none"/>
          <w:lang w:val="en-US" w:eastAsia="zh-CN" w:bidi="ar-SA"/>
        </w:rPr>
        <w:t>具备履行合同所必需设备和专业技术能力的声明函（若有）</w:t>
      </w:r>
    </w:p>
    <w:p w14:paraId="7D08EBFB">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w:t>
      </w:r>
    </w:p>
    <w:p w14:paraId="059C8AB9">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致：</w:t>
      </w:r>
      <w:r>
        <w:rPr>
          <w:rFonts w:hint="eastAsia" w:ascii="宋体" w:hAnsi="宋体" w:eastAsia="宋体" w:cs="宋体"/>
          <w:color w:val="auto"/>
          <w:kern w:val="0"/>
          <w:sz w:val="24"/>
          <w:szCs w:val="24"/>
          <w:highlight w:val="none"/>
          <w:u w:val="single"/>
          <w:lang w:val="en-US" w:eastAsia="zh-CN" w:bidi="ar-SA"/>
        </w:rPr>
        <w:t>           （采购人或采购代理机构） </w:t>
      </w:r>
    </w:p>
    <w:p w14:paraId="525881FE">
      <w:pPr>
        <w:widowControl/>
        <w:spacing w:before="100" w:beforeAutospacing="1" w:after="100" w:afterAutospacing="1"/>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我方具备履行合同所必需的设备和专业技术能力，否则产生不利后果由我方承担责任。</w:t>
      </w:r>
    </w:p>
    <w:p w14:paraId="7CBFF223">
      <w:pPr>
        <w:widowControl/>
        <w:spacing w:before="100" w:beforeAutospacing="1" w:after="100" w:afterAutospacing="1"/>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特此声明。</w:t>
      </w:r>
    </w:p>
    <w:p w14:paraId="2DA8F3BA">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w:t>
      </w:r>
    </w:p>
    <w:p w14:paraId="7BD80C6E">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※注意：</w:t>
      </w:r>
    </w:p>
    <w:p w14:paraId="2DE4E402">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1、招标文件未要求投标人提供“具备履行合同所必需的设备和专业技术能力专项证明材料”的，投标人应提供本声明函。</w:t>
      </w:r>
    </w:p>
    <w:p w14:paraId="732B921A">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2、招标文件要求投标人提供“具备履行合同所必需的设备和专业技术能力专项证明材料”的，投标人可不提供本声明函。</w:t>
      </w:r>
    </w:p>
    <w:p w14:paraId="090187FA">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3、请投标人根据实际情况如实声明，否则</w:t>
      </w:r>
      <w:r>
        <w:rPr>
          <w:rFonts w:hint="eastAsia" w:ascii="宋体" w:hAnsi="宋体" w:eastAsia="宋体" w:cs="宋体"/>
          <w:b/>
          <w:color w:val="auto"/>
          <w:kern w:val="2"/>
          <w:sz w:val="21"/>
          <w:szCs w:val="24"/>
          <w:highlight w:val="none"/>
          <w:lang w:val="en-US" w:eastAsia="zh-CN" w:bidi="ar-SA"/>
        </w:rPr>
        <w:t>视为提供虚假材料。</w:t>
      </w:r>
    </w:p>
    <w:p w14:paraId="7F84D945">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w:t>
      </w:r>
    </w:p>
    <w:p w14:paraId="3DC029F3">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w:t>
      </w:r>
    </w:p>
    <w:p w14:paraId="6B792DA0">
      <w:pPr>
        <w:spacing w:line="440" w:lineRule="exact"/>
        <w:ind w:firstLine="480" w:firstLineChars="200"/>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投标人：</w:t>
      </w:r>
      <w:r>
        <w:rPr>
          <w:rFonts w:hint="eastAsia" w:ascii="宋体" w:hAnsi="宋体" w:eastAsia="宋体" w:cs="宋体"/>
          <w:bCs/>
          <w:color w:val="auto"/>
          <w:sz w:val="24"/>
          <w:highlight w:val="none"/>
          <w:u w:val="single"/>
        </w:rPr>
        <w:t>（全称并加盖单位公章）</w:t>
      </w:r>
    </w:p>
    <w:p w14:paraId="2B7B80D1">
      <w:pPr>
        <w:spacing w:line="440" w:lineRule="exact"/>
        <w:ind w:firstLine="480" w:firstLineChars="200"/>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投标人代表签字：</w:t>
      </w:r>
      <w:r>
        <w:rPr>
          <w:rFonts w:hint="eastAsia" w:ascii="宋体" w:hAnsi="宋体" w:eastAsia="宋体" w:cs="宋体"/>
          <w:bCs/>
          <w:color w:val="auto"/>
          <w:sz w:val="24"/>
          <w:highlight w:val="none"/>
          <w:u w:val="single"/>
        </w:rPr>
        <w:t xml:space="preserve">          </w:t>
      </w:r>
    </w:p>
    <w:p w14:paraId="68DF7076">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日期：    年   月   日</w:t>
      </w:r>
    </w:p>
    <w:p w14:paraId="2BF68B47">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w:t>
      </w:r>
    </w:p>
    <w:p w14:paraId="5C30D352">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w:t>
      </w:r>
    </w:p>
    <w:p w14:paraId="37A1B7C4">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p>
    <w:p w14:paraId="2F2D68D9">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p>
    <w:p w14:paraId="6462E4B4">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p>
    <w:p w14:paraId="7F395DBA">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p>
    <w:p w14:paraId="5D6E1F78">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p>
    <w:p w14:paraId="5D8D091C">
      <w:pPr>
        <w:widowControl/>
        <w:spacing w:before="100" w:beforeAutospacing="1" w:after="100" w:afterAutospacing="1"/>
        <w:jc w:val="center"/>
        <w:rPr>
          <w:rFonts w:hint="eastAsia" w:ascii="宋体" w:hAnsi="宋体" w:eastAsia="宋体" w:cs="宋体"/>
          <w:color w:val="auto"/>
          <w:kern w:val="0"/>
          <w:sz w:val="24"/>
          <w:szCs w:val="24"/>
          <w:highlight w:val="none"/>
          <w:lang w:val="en-US" w:eastAsia="zh-CN" w:bidi="ar-SA"/>
        </w:rPr>
      </w:pPr>
    </w:p>
    <w:p w14:paraId="6D5958F6">
      <w:pPr>
        <w:widowControl/>
        <w:spacing w:before="100" w:beforeAutospacing="1" w:after="100" w:afterAutospacing="1"/>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color w:val="auto"/>
          <w:kern w:val="2"/>
          <w:sz w:val="21"/>
          <w:szCs w:val="24"/>
          <w:highlight w:val="none"/>
          <w:lang w:val="en-US" w:eastAsia="zh-CN" w:bidi="ar-SA"/>
        </w:rPr>
        <w:t>参加采购活动前三年内在经营活动中没有重大违法记录书面声明</w:t>
      </w:r>
    </w:p>
    <w:p w14:paraId="621E6A5C">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w:t>
      </w:r>
    </w:p>
    <w:p w14:paraId="0A908264">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致：</w:t>
      </w:r>
      <w:r>
        <w:rPr>
          <w:rFonts w:hint="eastAsia" w:ascii="宋体" w:hAnsi="宋体" w:eastAsia="宋体" w:cs="宋体"/>
          <w:color w:val="auto"/>
          <w:kern w:val="0"/>
          <w:sz w:val="24"/>
          <w:szCs w:val="24"/>
          <w:highlight w:val="none"/>
          <w:u w:val="single"/>
          <w:lang w:val="en-US" w:eastAsia="zh-CN" w:bidi="ar-SA"/>
        </w:rPr>
        <w:t>           （采购人或采购代理机构） </w:t>
      </w:r>
    </w:p>
    <w:p w14:paraId="2D63F119">
      <w:pPr>
        <w:widowControl/>
        <w:spacing w:before="100" w:beforeAutospacing="1" w:after="100" w:afterAutospacing="1"/>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参加采购活动前三年内，我方在经营活动中没有重大违法记录，即没有因违法经营受到刑事处罚或责令停产停业、吊销许可证或执照、较大数额罚款等行政处罚。否则产生不利后果由我方承担责任。</w:t>
      </w:r>
    </w:p>
    <w:p w14:paraId="091AB5CD">
      <w:pPr>
        <w:widowControl/>
        <w:spacing w:before="100" w:beforeAutospacing="1" w:after="100" w:afterAutospacing="1"/>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特此声明。</w:t>
      </w:r>
    </w:p>
    <w:p w14:paraId="474B84AB">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w:t>
      </w:r>
    </w:p>
    <w:p w14:paraId="528E01AA">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※注意：</w:t>
      </w:r>
    </w:p>
    <w:p w14:paraId="45887150">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4D517D38">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请投标人根据实际情况如实声明，否则</w:t>
      </w:r>
      <w:r>
        <w:rPr>
          <w:rFonts w:hint="eastAsia" w:ascii="宋体" w:hAnsi="宋体" w:eastAsia="宋体" w:cs="宋体"/>
          <w:b/>
          <w:color w:val="auto"/>
          <w:kern w:val="2"/>
          <w:sz w:val="21"/>
          <w:szCs w:val="24"/>
          <w:highlight w:val="none"/>
          <w:lang w:val="en-US" w:eastAsia="zh-CN" w:bidi="ar-SA"/>
        </w:rPr>
        <w:t>视为提供虚假材料。</w:t>
      </w:r>
    </w:p>
    <w:p w14:paraId="2ACC1979">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w:t>
      </w:r>
    </w:p>
    <w:p w14:paraId="6ACF5F52">
      <w:pPr>
        <w:spacing w:line="440" w:lineRule="exact"/>
        <w:ind w:firstLine="480" w:firstLineChars="200"/>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投标人：</w:t>
      </w:r>
      <w:r>
        <w:rPr>
          <w:rFonts w:hint="eastAsia" w:ascii="宋体" w:hAnsi="宋体" w:eastAsia="宋体" w:cs="宋体"/>
          <w:bCs/>
          <w:color w:val="auto"/>
          <w:sz w:val="24"/>
          <w:highlight w:val="none"/>
          <w:u w:val="single"/>
        </w:rPr>
        <w:t>（全称并加盖单位公章）</w:t>
      </w:r>
    </w:p>
    <w:p w14:paraId="26B5AB8B">
      <w:pPr>
        <w:spacing w:line="440" w:lineRule="exact"/>
        <w:ind w:firstLine="480" w:firstLineChars="200"/>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投标人代表签字：</w:t>
      </w:r>
      <w:r>
        <w:rPr>
          <w:rFonts w:hint="eastAsia" w:ascii="宋体" w:hAnsi="宋体" w:eastAsia="宋体" w:cs="宋体"/>
          <w:bCs/>
          <w:color w:val="auto"/>
          <w:sz w:val="24"/>
          <w:highlight w:val="none"/>
          <w:u w:val="single"/>
        </w:rPr>
        <w:t xml:space="preserve">          </w:t>
      </w:r>
    </w:p>
    <w:p w14:paraId="501D3403">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日期：    年   月   日</w:t>
      </w:r>
    </w:p>
    <w:p w14:paraId="4E26C29B">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w:t>
      </w:r>
    </w:p>
    <w:p w14:paraId="25B51901">
      <w:pPr>
        <w:widowControl/>
        <w:spacing w:before="100" w:beforeAutospacing="1" w:after="100" w:afterAutospacing="1"/>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w:t>
      </w:r>
    </w:p>
    <w:p w14:paraId="6E59A4E5">
      <w:pPr>
        <w:widowControl/>
        <w:spacing w:before="100" w:beforeAutospacing="1" w:after="100" w:afterAutospacing="1"/>
        <w:jc w:val="left"/>
        <w:rPr>
          <w:rFonts w:hint="eastAsia" w:ascii="宋体" w:hAnsi="宋体" w:eastAsia="宋体" w:cs="宋体"/>
          <w:color w:val="auto"/>
          <w:kern w:val="0"/>
          <w:sz w:val="21"/>
          <w:szCs w:val="21"/>
          <w:highlight w:val="none"/>
          <w:lang w:val="en-US" w:eastAsia="zh-CN" w:bidi="ar-SA"/>
        </w:rPr>
      </w:pPr>
    </w:p>
    <w:p w14:paraId="0F9839C0">
      <w:pPr>
        <w:widowControl/>
        <w:spacing w:before="100" w:beforeAutospacing="1" w:after="100" w:afterAutospacing="1"/>
        <w:jc w:val="left"/>
        <w:rPr>
          <w:rFonts w:hint="eastAsia" w:ascii="宋体" w:hAnsi="宋体" w:eastAsia="宋体" w:cs="宋体"/>
          <w:color w:val="auto"/>
          <w:kern w:val="0"/>
          <w:sz w:val="21"/>
          <w:szCs w:val="21"/>
          <w:highlight w:val="none"/>
          <w:lang w:val="en-US" w:eastAsia="zh-CN" w:bidi="ar-SA"/>
        </w:rPr>
      </w:pPr>
    </w:p>
    <w:p w14:paraId="5AA7AC10">
      <w:pPr>
        <w:widowControl/>
        <w:spacing w:before="100" w:beforeAutospacing="1" w:after="100" w:afterAutospacing="1"/>
        <w:jc w:val="left"/>
        <w:rPr>
          <w:rFonts w:hint="eastAsia" w:ascii="宋体" w:hAnsi="宋体" w:eastAsia="宋体" w:cs="宋体"/>
          <w:color w:val="auto"/>
          <w:kern w:val="0"/>
          <w:sz w:val="21"/>
          <w:szCs w:val="21"/>
          <w:highlight w:val="none"/>
          <w:lang w:val="en-US" w:eastAsia="zh-CN" w:bidi="ar-SA"/>
        </w:rPr>
      </w:pPr>
    </w:p>
    <w:p w14:paraId="666B17C4">
      <w:pPr>
        <w:widowControl/>
        <w:spacing w:before="100" w:beforeAutospacing="1" w:after="100" w:afterAutospacing="1"/>
        <w:jc w:val="left"/>
        <w:rPr>
          <w:rFonts w:hint="eastAsia" w:ascii="宋体" w:hAnsi="宋体" w:eastAsia="宋体" w:cs="宋体"/>
          <w:color w:val="auto"/>
          <w:kern w:val="0"/>
          <w:sz w:val="21"/>
          <w:szCs w:val="21"/>
          <w:highlight w:val="none"/>
          <w:lang w:val="en-US" w:eastAsia="zh-CN" w:bidi="ar-SA"/>
        </w:rPr>
      </w:pPr>
    </w:p>
    <w:p w14:paraId="417535BA">
      <w:pPr>
        <w:widowControl/>
        <w:spacing w:before="100" w:beforeAutospacing="1" w:after="100" w:afterAutospacing="1"/>
        <w:jc w:val="left"/>
        <w:rPr>
          <w:rFonts w:hint="eastAsia" w:ascii="宋体" w:hAnsi="宋体" w:eastAsia="宋体" w:cs="宋体"/>
          <w:color w:val="auto"/>
          <w:kern w:val="0"/>
          <w:sz w:val="21"/>
          <w:szCs w:val="21"/>
          <w:highlight w:val="none"/>
          <w:lang w:val="en-US" w:eastAsia="zh-CN" w:bidi="ar-SA"/>
        </w:rPr>
      </w:pPr>
    </w:p>
    <w:p w14:paraId="2A9668D7">
      <w:pPr>
        <w:widowControl/>
        <w:spacing w:before="100" w:beforeAutospacing="1" w:after="100" w:afterAutospacing="1"/>
        <w:jc w:val="center"/>
        <w:rPr>
          <w:rFonts w:hint="eastAsia" w:ascii="宋体" w:hAnsi="宋体" w:eastAsia="宋体" w:cs="宋体"/>
          <w:color w:val="auto"/>
          <w:kern w:val="0"/>
          <w:sz w:val="21"/>
          <w:szCs w:val="21"/>
          <w:highlight w:val="none"/>
          <w:lang w:val="en-US" w:eastAsia="zh-CN" w:bidi="ar-SA"/>
        </w:rPr>
      </w:pPr>
    </w:p>
    <w:p w14:paraId="11EE42DC">
      <w:pPr>
        <w:widowControl/>
        <w:spacing w:before="100" w:beforeAutospacing="1" w:after="100" w:afterAutospacing="1"/>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二</w:t>
      </w:r>
      <w:r>
        <w:rPr>
          <w:rFonts w:hint="eastAsia" w:ascii="宋体" w:hAnsi="宋体" w:eastAsia="宋体" w:cs="宋体"/>
          <w:b/>
          <w:color w:val="auto"/>
          <w:kern w:val="2"/>
          <w:sz w:val="21"/>
          <w:szCs w:val="21"/>
          <w:highlight w:val="none"/>
          <w:lang w:val="en-US" w:eastAsia="zh-CN" w:bidi="ar-SA"/>
        </w:rPr>
        <w:t>-3信用记录查询提示</w:t>
      </w:r>
    </w:p>
    <w:p w14:paraId="3B658771">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 </w:t>
      </w:r>
    </w:p>
    <w:p w14:paraId="53514AE9">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w:t>
      </w:r>
      <w:r>
        <w:rPr>
          <w:rFonts w:hint="eastAsia" w:ascii="宋体" w:hAnsi="宋体" w:eastAsia="宋体" w:cs="宋体"/>
          <w:color w:val="auto"/>
          <w:kern w:val="0"/>
          <w:sz w:val="21"/>
          <w:szCs w:val="21"/>
          <w:highlight w:val="none"/>
          <w:lang w:val="en-US" w:eastAsia="zh-CN" w:bidi="ar-SA"/>
        </w:rPr>
        <w:t xml:space="preserve"> 1、由资格审查小组通过网站查询并打印投标人的信用记录。</w:t>
      </w:r>
    </w:p>
    <w:p w14:paraId="23C629E0">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  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454C3B7C">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  3、投标人应了解投标人自身的信用记录情况。当投标人受到200万以上罚款的行政处罚且该罚款不属较大数额罚款时，投标人应在投标文件中提供此项罚款不属于较大数额罚款的依据（如提供：相关法律制度的规定、行政执法机构对该罚款不属于较大数额罚款的认定或者其他有效依据）。</w:t>
      </w:r>
    </w:p>
    <w:p w14:paraId="2C7E9D33">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p>
    <w:p w14:paraId="5661C007">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 </w:t>
      </w:r>
    </w:p>
    <w:p w14:paraId="53E80050">
      <w:pPr>
        <w:widowControl/>
        <w:spacing w:before="100" w:beforeAutospacing="1" w:after="100" w:afterAutospacing="1"/>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w:t>
      </w:r>
    </w:p>
    <w:p w14:paraId="0C0223B4">
      <w:pPr>
        <w:widowControl/>
        <w:spacing w:before="100" w:beforeAutospacing="1" w:after="100" w:afterAutospacing="1"/>
        <w:jc w:val="left"/>
        <w:rPr>
          <w:rFonts w:hint="eastAsia" w:ascii="宋体" w:hAnsi="宋体" w:eastAsia="宋体" w:cs="宋体"/>
          <w:color w:val="auto"/>
          <w:kern w:val="0"/>
          <w:sz w:val="21"/>
          <w:szCs w:val="21"/>
          <w:highlight w:val="none"/>
          <w:lang w:val="en-US" w:eastAsia="zh-CN" w:bidi="ar-SA"/>
        </w:rPr>
      </w:pPr>
    </w:p>
    <w:p w14:paraId="7649CF3D">
      <w:pPr>
        <w:widowControl/>
        <w:spacing w:before="100" w:beforeAutospacing="1" w:after="100" w:afterAutospacing="1"/>
        <w:jc w:val="left"/>
        <w:rPr>
          <w:rFonts w:hint="eastAsia" w:ascii="宋体" w:hAnsi="宋体" w:eastAsia="宋体" w:cs="宋体"/>
          <w:color w:val="auto"/>
          <w:kern w:val="0"/>
          <w:sz w:val="21"/>
          <w:szCs w:val="21"/>
          <w:highlight w:val="none"/>
          <w:lang w:val="en-US" w:eastAsia="zh-CN" w:bidi="ar-SA"/>
        </w:rPr>
      </w:pPr>
    </w:p>
    <w:p w14:paraId="7543D6EA">
      <w:pPr>
        <w:widowControl/>
        <w:spacing w:before="100" w:beforeAutospacing="1" w:after="100" w:afterAutospacing="1"/>
        <w:jc w:val="left"/>
        <w:rPr>
          <w:rFonts w:hint="eastAsia" w:ascii="宋体" w:hAnsi="宋体" w:eastAsia="宋体" w:cs="宋体"/>
          <w:color w:val="auto"/>
          <w:kern w:val="0"/>
          <w:sz w:val="21"/>
          <w:szCs w:val="21"/>
          <w:highlight w:val="none"/>
          <w:lang w:val="en-US" w:eastAsia="zh-CN" w:bidi="ar-SA"/>
        </w:rPr>
      </w:pPr>
    </w:p>
    <w:p w14:paraId="024D604A">
      <w:pPr>
        <w:widowControl/>
        <w:spacing w:before="100" w:beforeAutospacing="1" w:after="100" w:afterAutospacing="1"/>
        <w:jc w:val="left"/>
        <w:rPr>
          <w:rFonts w:hint="eastAsia" w:ascii="宋体" w:hAnsi="宋体" w:eastAsia="宋体" w:cs="宋体"/>
          <w:color w:val="auto"/>
          <w:kern w:val="0"/>
          <w:sz w:val="21"/>
          <w:szCs w:val="21"/>
          <w:highlight w:val="none"/>
          <w:lang w:val="en-US" w:eastAsia="zh-CN" w:bidi="ar-SA"/>
        </w:rPr>
      </w:pPr>
    </w:p>
    <w:p w14:paraId="1A8CECB3">
      <w:pPr>
        <w:widowControl/>
        <w:spacing w:before="100" w:beforeAutospacing="1" w:after="100" w:afterAutospacing="1"/>
        <w:jc w:val="left"/>
        <w:rPr>
          <w:rFonts w:hint="eastAsia" w:ascii="宋体" w:hAnsi="宋体" w:eastAsia="宋体" w:cs="宋体"/>
          <w:color w:val="auto"/>
          <w:kern w:val="0"/>
          <w:sz w:val="21"/>
          <w:szCs w:val="21"/>
          <w:highlight w:val="none"/>
          <w:lang w:val="en-US" w:eastAsia="zh-CN" w:bidi="ar-SA"/>
        </w:rPr>
      </w:pPr>
    </w:p>
    <w:p w14:paraId="7F86B034">
      <w:pPr>
        <w:widowControl/>
        <w:spacing w:before="100" w:beforeAutospacing="1" w:after="100" w:afterAutospacing="1"/>
        <w:jc w:val="left"/>
        <w:rPr>
          <w:rFonts w:hint="eastAsia" w:ascii="宋体" w:hAnsi="宋体" w:eastAsia="宋体" w:cs="宋体"/>
          <w:color w:val="auto"/>
          <w:kern w:val="0"/>
          <w:sz w:val="21"/>
          <w:szCs w:val="21"/>
          <w:highlight w:val="none"/>
          <w:lang w:val="en-US" w:eastAsia="zh-CN" w:bidi="ar-SA"/>
        </w:rPr>
      </w:pPr>
    </w:p>
    <w:p w14:paraId="44BA28B6">
      <w:pPr>
        <w:widowControl/>
        <w:spacing w:before="100" w:beforeAutospacing="1" w:after="100" w:afterAutospacing="1"/>
        <w:jc w:val="left"/>
        <w:rPr>
          <w:rFonts w:hint="eastAsia" w:ascii="宋体" w:hAnsi="宋体" w:eastAsia="宋体" w:cs="宋体"/>
          <w:color w:val="auto"/>
          <w:kern w:val="0"/>
          <w:sz w:val="21"/>
          <w:szCs w:val="21"/>
          <w:highlight w:val="none"/>
          <w:lang w:val="en-US" w:eastAsia="zh-CN" w:bidi="ar-SA"/>
        </w:rPr>
      </w:pPr>
    </w:p>
    <w:p w14:paraId="6BF41B26">
      <w:pPr>
        <w:widowControl/>
        <w:spacing w:before="100" w:beforeAutospacing="1" w:after="100" w:afterAutospacing="1"/>
        <w:jc w:val="left"/>
        <w:rPr>
          <w:rFonts w:hint="eastAsia" w:ascii="宋体" w:hAnsi="宋体" w:eastAsia="宋体" w:cs="宋体"/>
          <w:color w:val="auto"/>
          <w:kern w:val="0"/>
          <w:sz w:val="21"/>
          <w:szCs w:val="21"/>
          <w:highlight w:val="none"/>
          <w:lang w:val="en-US" w:eastAsia="zh-CN" w:bidi="ar-SA"/>
        </w:rPr>
      </w:pPr>
    </w:p>
    <w:p w14:paraId="2AB7C502">
      <w:pPr>
        <w:widowControl/>
        <w:spacing w:before="100" w:beforeAutospacing="1" w:after="100" w:afterAutospacing="1"/>
        <w:jc w:val="left"/>
        <w:rPr>
          <w:rFonts w:hint="eastAsia" w:ascii="宋体" w:hAnsi="宋体" w:eastAsia="宋体" w:cs="宋体"/>
          <w:color w:val="auto"/>
          <w:kern w:val="0"/>
          <w:sz w:val="21"/>
          <w:szCs w:val="21"/>
          <w:highlight w:val="none"/>
          <w:lang w:val="en-US" w:eastAsia="zh-CN" w:bidi="ar-SA"/>
        </w:rPr>
      </w:pPr>
    </w:p>
    <w:p w14:paraId="17FDBE0E">
      <w:pPr>
        <w:widowControl/>
        <w:spacing w:before="100" w:beforeAutospacing="1" w:after="100" w:afterAutospacing="1"/>
        <w:jc w:val="left"/>
        <w:rPr>
          <w:rFonts w:hint="eastAsia" w:ascii="宋体" w:hAnsi="宋体" w:eastAsia="宋体" w:cs="宋体"/>
          <w:color w:val="auto"/>
          <w:kern w:val="0"/>
          <w:sz w:val="21"/>
          <w:szCs w:val="21"/>
          <w:highlight w:val="none"/>
          <w:lang w:val="en-US" w:eastAsia="zh-CN" w:bidi="ar-SA"/>
        </w:rPr>
      </w:pPr>
    </w:p>
    <w:p w14:paraId="610BF552">
      <w:pPr>
        <w:widowControl/>
        <w:spacing w:before="100" w:beforeAutospacing="1" w:after="100" w:afterAutospacing="1"/>
        <w:jc w:val="left"/>
        <w:rPr>
          <w:rFonts w:hint="eastAsia" w:ascii="宋体" w:hAnsi="宋体" w:eastAsia="宋体" w:cs="宋体"/>
          <w:color w:val="auto"/>
          <w:kern w:val="0"/>
          <w:sz w:val="21"/>
          <w:szCs w:val="21"/>
          <w:highlight w:val="none"/>
          <w:lang w:val="en-US" w:eastAsia="zh-CN" w:bidi="ar-SA"/>
        </w:rPr>
      </w:pPr>
    </w:p>
    <w:p w14:paraId="372CB98F">
      <w:pPr>
        <w:widowControl/>
        <w:spacing w:before="100" w:beforeAutospacing="1" w:after="100" w:afterAutospacing="1"/>
        <w:jc w:val="left"/>
        <w:rPr>
          <w:rFonts w:hint="eastAsia" w:ascii="宋体" w:hAnsi="宋体" w:eastAsia="宋体" w:cs="宋体"/>
          <w:color w:val="auto"/>
          <w:kern w:val="0"/>
          <w:sz w:val="21"/>
          <w:szCs w:val="21"/>
          <w:highlight w:val="none"/>
          <w:lang w:val="en-US" w:eastAsia="zh-CN" w:bidi="ar-SA"/>
        </w:rPr>
      </w:pPr>
    </w:p>
    <w:p w14:paraId="13DABD45">
      <w:pPr>
        <w:widowControl/>
        <w:spacing w:before="100" w:beforeAutospacing="1" w:after="100" w:afterAutospacing="1"/>
        <w:jc w:val="left"/>
        <w:rPr>
          <w:rFonts w:hint="eastAsia" w:ascii="宋体" w:hAnsi="宋体" w:eastAsia="宋体" w:cs="宋体"/>
          <w:color w:val="auto"/>
          <w:kern w:val="0"/>
          <w:sz w:val="21"/>
          <w:szCs w:val="21"/>
          <w:highlight w:val="none"/>
          <w:lang w:val="en-US" w:eastAsia="zh-CN" w:bidi="ar-SA"/>
        </w:rPr>
      </w:pPr>
    </w:p>
    <w:p w14:paraId="6551EAD7">
      <w:pPr>
        <w:widowControl/>
        <w:spacing w:before="150" w:beforeAutospacing="0" w:after="150" w:afterAutospacing="0"/>
        <w:jc w:val="center"/>
        <w:outlineLvl w:val="3"/>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二-</w:t>
      </w:r>
      <w:r>
        <w:rPr>
          <w:rFonts w:hint="eastAsia" w:ascii="Times New Roman" w:hAnsi="Times New Roman" w:eastAsia="宋体" w:cs="宋体"/>
          <w:b/>
          <w:bCs/>
          <w:color w:val="auto"/>
          <w:kern w:val="2"/>
          <w:sz w:val="21"/>
          <w:szCs w:val="24"/>
          <w:highlight w:val="none"/>
          <w:lang w:val="en-US" w:eastAsia="zh-CN" w:bidi="ar-SA"/>
        </w:rPr>
        <w:t>4</w:t>
      </w:r>
      <w:r>
        <w:rPr>
          <w:rFonts w:hint="eastAsia" w:ascii="宋体" w:hAnsi="宋体" w:eastAsia="宋体" w:cs="宋体"/>
          <w:b/>
          <w:bCs/>
          <w:color w:val="auto"/>
          <w:kern w:val="2"/>
          <w:sz w:val="21"/>
          <w:szCs w:val="24"/>
          <w:highlight w:val="none"/>
          <w:lang w:val="en-US" w:eastAsia="zh-CN" w:bidi="ar-SA"/>
        </w:rPr>
        <w:t>中小企业声明函</w:t>
      </w:r>
    </w:p>
    <w:p w14:paraId="2CF47A2D">
      <w:pPr>
        <w:widowControl/>
        <w:spacing w:before="100" w:beforeAutospacing="1" w:after="240" w:afterAutospacing="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color w:val="auto"/>
          <w:kern w:val="2"/>
          <w:sz w:val="21"/>
          <w:szCs w:val="21"/>
          <w:highlight w:val="none"/>
          <w:lang w:val="en-US" w:eastAsia="zh-CN" w:bidi="ar-SA"/>
        </w:rPr>
        <w:t>（以资格条件落实中小企业扶持政策时适用，若有）</w:t>
      </w:r>
    </w:p>
    <w:p w14:paraId="188AAB80">
      <w:pPr>
        <w:widowControl/>
        <w:spacing w:before="100" w:beforeAutospacing="1" w:after="100" w:afterAutospacing="1"/>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color w:val="auto"/>
          <w:kern w:val="2"/>
          <w:sz w:val="21"/>
          <w:szCs w:val="21"/>
          <w:highlight w:val="none"/>
          <w:lang w:val="en-US" w:eastAsia="zh-CN" w:bidi="ar-SA"/>
        </w:rPr>
        <w:t>中小企业声明函（货物）</w:t>
      </w:r>
    </w:p>
    <w:p w14:paraId="5880632E">
      <w:pPr>
        <w:widowControl/>
        <w:spacing w:before="75" w:beforeAutospacing="0" w:after="75" w:afterAutospacing="0"/>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本公司（联合体）郑重声明，根据《政府采购促进中小企业发展管理办法》（财库﹝2020﹞46号）的规定，本公司（联合体）参加</w:t>
      </w:r>
      <w:r>
        <w:rPr>
          <w:rFonts w:hint="eastAsia" w:ascii="宋体" w:hAnsi="宋体" w:eastAsia="宋体" w:cs="宋体"/>
          <w:color w:val="auto"/>
          <w:kern w:val="0"/>
          <w:sz w:val="21"/>
          <w:szCs w:val="21"/>
          <w:highlight w:val="none"/>
          <w:u w:val="single"/>
          <w:lang w:val="en-US" w:eastAsia="zh-CN" w:bidi="ar-SA"/>
        </w:rPr>
        <w:t>（单位名称）</w:t>
      </w:r>
      <w:r>
        <w:rPr>
          <w:rFonts w:hint="eastAsia" w:ascii="宋体" w:hAnsi="宋体" w:eastAsia="宋体" w:cs="宋体"/>
          <w:color w:val="auto"/>
          <w:kern w:val="0"/>
          <w:sz w:val="21"/>
          <w:szCs w:val="21"/>
          <w:highlight w:val="none"/>
          <w:lang w:val="en-US" w:eastAsia="zh-CN" w:bidi="ar-SA"/>
        </w:rPr>
        <w:t>的</w:t>
      </w:r>
      <w:r>
        <w:rPr>
          <w:rFonts w:hint="eastAsia" w:ascii="宋体" w:hAnsi="宋体" w:eastAsia="宋体" w:cs="宋体"/>
          <w:color w:val="auto"/>
          <w:kern w:val="0"/>
          <w:sz w:val="21"/>
          <w:szCs w:val="21"/>
          <w:highlight w:val="none"/>
          <w:u w:val="single"/>
          <w:lang w:val="en-US" w:eastAsia="zh-CN" w:bidi="ar-SA"/>
        </w:rPr>
        <w:t>（项目名称）</w:t>
      </w:r>
      <w:r>
        <w:rPr>
          <w:rFonts w:hint="eastAsia" w:ascii="宋体" w:hAnsi="宋体" w:eastAsia="宋体" w:cs="宋体"/>
          <w:color w:val="auto"/>
          <w:kern w:val="0"/>
          <w:sz w:val="21"/>
          <w:szCs w:val="21"/>
          <w:highlight w:val="none"/>
          <w:lang w:val="en-US" w:eastAsia="zh-CN" w:bidi="ar-SA"/>
        </w:rPr>
        <w:t>采购活动，提供的货物全部由符合政策要求的中小企业制造。相关企业（含联合体中的中小企业、签订分包意向协议的中小企业）的具体情况如下：</w:t>
      </w:r>
    </w:p>
    <w:p w14:paraId="6AC812EF">
      <w:pPr>
        <w:widowControl/>
        <w:spacing w:before="75" w:beforeAutospacing="0" w:after="75" w:afterAutospacing="0"/>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1. </w:t>
      </w:r>
      <w:r>
        <w:rPr>
          <w:rFonts w:hint="eastAsia" w:ascii="宋体" w:hAnsi="宋体" w:eastAsia="宋体" w:cs="宋体"/>
          <w:color w:val="auto"/>
          <w:kern w:val="0"/>
          <w:sz w:val="21"/>
          <w:szCs w:val="21"/>
          <w:highlight w:val="none"/>
          <w:u w:val="single"/>
          <w:lang w:val="en-US" w:eastAsia="zh-CN" w:bidi="ar-SA"/>
        </w:rPr>
        <w:t> （标的名称） </w:t>
      </w:r>
      <w:r>
        <w:rPr>
          <w:rFonts w:hint="eastAsia" w:ascii="宋体" w:hAnsi="宋体" w:eastAsia="宋体" w:cs="宋体"/>
          <w:color w:val="auto"/>
          <w:kern w:val="0"/>
          <w:sz w:val="21"/>
          <w:szCs w:val="21"/>
          <w:highlight w:val="none"/>
          <w:lang w:val="en-US" w:eastAsia="zh-CN" w:bidi="ar-SA"/>
        </w:rPr>
        <w:t>，属于</w:t>
      </w:r>
      <w:r>
        <w:rPr>
          <w:rFonts w:hint="eastAsia" w:ascii="宋体" w:hAnsi="宋体" w:eastAsia="宋体" w:cs="宋体"/>
          <w:color w:val="auto"/>
          <w:kern w:val="0"/>
          <w:sz w:val="21"/>
          <w:szCs w:val="21"/>
          <w:highlight w:val="none"/>
          <w:u w:val="single"/>
          <w:lang w:val="en-US" w:eastAsia="zh-CN" w:bidi="ar-SA"/>
        </w:rPr>
        <w:t>（采购文件中明确的所属行业）行业</w:t>
      </w:r>
      <w:r>
        <w:rPr>
          <w:rFonts w:hint="eastAsia" w:ascii="宋体" w:hAnsi="宋体" w:eastAsia="宋体" w:cs="宋体"/>
          <w:color w:val="auto"/>
          <w:kern w:val="0"/>
          <w:sz w:val="21"/>
          <w:szCs w:val="21"/>
          <w:highlight w:val="none"/>
          <w:lang w:val="en-US" w:eastAsia="zh-CN" w:bidi="ar-SA"/>
        </w:rPr>
        <w:t>；制造商为</w:t>
      </w:r>
      <w:r>
        <w:rPr>
          <w:rFonts w:hint="eastAsia" w:ascii="宋体" w:hAnsi="宋体" w:eastAsia="宋体" w:cs="宋体"/>
          <w:color w:val="auto"/>
          <w:kern w:val="0"/>
          <w:sz w:val="21"/>
          <w:szCs w:val="21"/>
          <w:highlight w:val="none"/>
          <w:u w:val="single"/>
          <w:lang w:val="en-US" w:eastAsia="zh-CN" w:bidi="ar-SA"/>
        </w:rPr>
        <w:t>（企业名称）</w:t>
      </w:r>
      <w:r>
        <w:rPr>
          <w:rFonts w:hint="eastAsia" w:ascii="宋体" w:hAnsi="宋体" w:eastAsia="宋体" w:cs="宋体"/>
          <w:color w:val="auto"/>
          <w:kern w:val="0"/>
          <w:sz w:val="21"/>
          <w:szCs w:val="21"/>
          <w:highlight w:val="none"/>
          <w:lang w:val="en-US" w:eastAsia="zh-CN" w:bidi="ar-SA"/>
        </w:rPr>
        <w:t>，从业人员</w:t>
      </w:r>
      <w:r>
        <w:rPr>
          <w:rFonts w:hint="eastAsia" w:ascii="宋体" w:hAnsi="宋体" w:eastAsia="宋体" w:cs="宋体"/>
          <w:color w:val="auto"/>
          <w:kern w:val="0"/>
          <w:sz w:val="21"/>
          <w:szCs w:val="21"/>
          <w:highlight w:val="none"/>
          <w:u w:val="single"/>
          <w:lang w:val="en-US" w:eastAsia="zh-CN" w:bidi="ar-SA"/>
        </w:rPr>
        <w:t>  </w:t>
      </w:r>
      <w:r>
        <w:rPr>
          <w:rFonts w:hint="eastAsia" w:ascii="宋体" w:hAnsi="宋体" w:eastAsia="宋体" w:cs="宋体"/>
          <w:color w:val="auto"/>
          <w:kern w:val="0"/>
          <w:sz w:val="21"/>
          <w:szCs w:val="21"/>
          <w:highlight w:val="none"/>
          <w:lang w:val="en-US" w:eastAsia="zh-CN" w:bidi="ar-SA"/>
        </w:rPr>
        <w:t>人，营业收入为</w:t>
      </w:r>
      <w:r>
        <w:rPr>
          <w:rFonts w:hint="eastAsia" w:ascii="宋体" w:hAnsi="宋体" w:eastAsia="宋体" w:cs="宋体"/>
          <w:color w:val="auto"/>
          <w:kern w:val="0"/>
          <w:sz w:val="21"/>
          <w:szCs w:val="21"/>
          <w:highlight w:val="none"/>
          <w:u w:val="single"/>
          <w:lang w:val="en-US" w:eastAsia="zh-CN" w:bidi="ar-SA"/>
        </w:rPr>
        <w:t>  </w:t>
      </w:r>
      <w:r>
        <w:rPr>
          <w:rFonts w:hint="eastAsia" w:ascii="宋体" w:hAnsi="宋体" w:eastAsia="宋体" w:cs="宋体"/>
          <w:color w:val="auto"/>
          <w:kern w:val="0"/>
          <w:sz w:val="21"/>
          <w:szCs w:val="21"/>
          <w:highlight w:val="none"/>
          <w:lang w:val="en-US" w:eastAsia="zh-CN" w:bidi="ar-SA"/>
        </w:rPr>
        <w:t>万元，资产总额为</w:t>
      </w:r>
      <w:r>
        <w:rPr>
          <w:rFonts w:hint="eastAsia" w:ascii="宋体" w:hAnsi="宋体" w:eastAsia="宋体" w:cs="宋体"/>
          <w:color w:val="auto"/>
          <w:kern w:val="0"/>
          <w:sz w:val="21"/>
          <w:szCs w:val="21"/>
          <w:highlight w:val="none"/>
          <w:u w:val="single"/>
          <w:lang w:val="en-US" w:eastAsia="zh-CN" w:bidi="ar-SA"/>
        </w:rPr>
        <w:t>  </w:t>
      </w:r>
      <w:r>
        <w:rPr>
          <w:rFonts w:hint="eastAsia" w:ascii="宋体" w:hAnsi="宋体" w:eastAsia="宋体" w:cs="宋体"/>
          <w:color w:val="auto"/>
          <w:kern w:val="0"/>
          <w:sz w:val="21"/>
          <w:szCs w:val="21"/>
          <w:highlight w:val="none"/>
          <w:lang w:val="en-US" w:eastAsia="zh-CN" w:bidi="ar-SA"/>
        </w:rPr>
        <w:t>万元</w:t>
      </w:r>
      <w:r>
        <w:rPr>
          <w:rFonts w:hint="eastAsia" w:ascii="宋体" w:hAnsi="宋体" w:eastAsia="宋体" w:cs="宋体"/>
          <w:color w:val="auto"/>
          <w:kern w:val="0"/>
          <w:sz w:val="21"/>
          <w:szCs w:val="21"/>
          <w:highlight w:val="none"/>
          <w:vertAlign w:val="superscript"/>
          <w:lang w:val="en-US" w:eastAsia="zh-CN" w:bidi="ar-SA"/>
        </w:rPr>
        <w:t>1</w:t>
      </w:r>
      <w:r>
        <w:rPr>
          <w:rFonts w:hint="eastAsia" w:ascii="宋体" w:hAnsi="宋体" w:eastAsia="宋体" w:cs="宋体"/>
          <w:color w:val="auto"/>
          <w:kern w:val="0"/>
          <w:sz w:val="21"/>
          <w:szCs w:val="21"/>
          <w:highlight w:val="none"/>
          <w:lang w:val="en-US" w:eastAsia="zh-CN" w:bidi="ar-SA"/>
        </w:rPr>
        <w:t>，属于</w:t>
      </w:r>
      <w:r>
        <w:rPr>
          <w:rFonts w:hint="eastAsia" w:ascii="宋体" w:hAnsi="宋体" w:eastAsia="宋体" w:cs="宋体"/>
          <w:color w:val="auto"/>
          <w:kern w:val="0"/>
          <w:sz w:val="21"/>
          <w:szCs w:val="21"/>
          <w:highlight w:val="none"/>
          <w:u w:val="single"/>
          <w:lang w:val="en-US" w:eastAsia="zh-CN" w:bidi="ar-SA"/>
        </w:rPr>
        <w:t>（中型企业、小型企业、微型企业）；</w:t>
      </w:r>
    </w:p>
    <w:p w14:paraId="08C86233">
      <w:pPr>
        <w:widowControl/>
        <w:spacing w:before="75" w:beforeAutospacing="0" w:after="75" w:afterAutospacing="0"/>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2. </w:t>
      </w:r>
      <w:r>
        <w:rPr>
          <w:rFonts w:hint="eastAsia" w:ascii="宋体" w:hAnsi="宋体" w:eastAsia="宋体" w:cs="宋体"/>
          <w:color w:val="auto"/>
          <w:kern w:val="0"/>
          <w:sz w:val="21"/>
          <w:szCs w:val="21"/>
          <w:highlight w:val="none"/>
          <w:u w:val="single"/>
          <w:lang w:val="en-US" w:eastAsia="zh-CN" w:bidi="ar-SA"/>
        </w:rPr>
        <w:t> （标的名称） </w:t>
      </w:r>
      <w:r>
        <w:rPr>
          <w:rFonts w:hint="eastAsia" w:ascii="宋体" w:hAnsi="宋体" w:eastAsia="宋体" w:cs="宋体"/>
          <w:color w:val="auto"/>
          <w:kern w:val="0"/>
          <w:sz w:val="21"/>
          <w:szCs w:val="21"/>
          <w:highlight w:val="none"/>
          <w:lang w:val="en-US" w:eastAsia="zh-CN" w:bidi="ar-SA"/>
        </w:rPr>
        <w:t>，属于</w:t>
      </w:r>
      <w:r>
        <w:rPr>
          <w:rFonts w:hint="eastAsia" w:ascii="宋体" w:hAnsi="宋体" w:eastAsia="宋体" w:cs="宋体"/>
          <w:color w:val="auto"/>
          <w:kern w:val="0"/>
          <w:sz w:val="21"/>
          <w:szCs w:val="21"/>
          <w:highlight w:val="none"/>
          <w:u w:val="single"/>
          <w:lang w:val="en-US" w:eastAsia="zh-CN" w:bidi="ar-SA"/>
        </w:rPr>
        <w:t> （采购文件中明确的所属行业 ）行业；</w:t>
      </w:r>
      <w:r>
        <w:rPr>
          <w:rFonts w:hint="eastAsia" w:ascii="宋体" w:hAnsi="宋体" w:eastAsia="宋体" w:cs="宋体"/>
          <w:color w:val="auto"/>
          <w:kern w:val="0"/>
          <w:sz w:val="21"/>
          <w:szCs w:val="21"/>
          <w:highlight w:val="none"/>
          <w:lang w:val="en-US" w:eastAsia="zh-CN" w:bidi="ar-SA"/>
        </w:rPr>
        <w:t>制造商为</w:t>
      </w:r>
      <w:r>
        <w:rPr>
          <w:rFonts w:hint="eastAsia" w:ascii="宋体" w:hAnsi="宋体" w:eastAsia="宋体" w:cs="宋体"/>
          <w:color w:val="auto"/>
          <w:kern w:val="0"/>
          <w:sz w:val="21"/>
          <w:szCs w:val="21"/>
          <w:highlight w:val="none"/>
          <w:u w:val="single"/>
          <w:lang w:val="en-US" w:eastAsia="zh-CN" w:bidi="ar-SA"/>
        </w:rPr>
        <w:t>（企业名称），</w:t>
      </w:r>
      <w:r>
        <w:rPr>
          <w:rFonts w:hint="eastAsia" w:ascii="宋体" w:hAnsi="宋体" w:eastAsia="宋体" w:cs="宋体"/>
          <w:color w:val="auto"/>
          <w:kern w:val="0"/>
          <w:sz w:val="21"/>
          <w:szCs w:val="21"/>
          <w:highlight w:val="none"/>
          <w:lang w:val="en-US" w:eastAsia="zh-CN" w:bidi="ar-SA"/>
        </w:rPr>
        <w:t>从业人员</w:t>
      </w:r>
      <w:r>
        <w:rPr>
          <w:rFonts w:hint="eastAsia" w:ascii="宋体" w:hAnsi="宋体" w:eastAsia="宋体" w:cs="宋体"/>
          <w:color w:val="auto"/>
          <w:kern w:val="0"/>
          <w:sz w:val="21"/>
          <w:szCs w:val="21"/>
          <w:highlight w:val="none"/>
          <w:u w:val="single"/>
          <w:lang w:val="en-US" w:eastAsia="zh-CN" w:bidi="ar-SA"/>
        </w:rPr>
        <w:t>  </w:t>
      </w:r>
      <w:r>
        <w:rPr>
          <w:rFonts w:hint="eastAsia" w:ascii="宋体" w:hAnsi="宋体" w:eastAsia="宋体" w:cs="宋体"/>
          <w:color w:val="auto"/>
          <w:kern w:val="0"/>
          <w:sz w:val="21"/>
          <w:szCs w:val="21"/>
          <w:highlight w:val="none"/>
          <w:lang w:val="en-US" w:eastAsia="zh-CN" w:bidi="ar-SA"/>
        </w:rPr>
        <w:t>人，营业收入为</w:t>
      </w:r>
      <w:r>
        <w:rPr>
          <w:rFonts w:hint="eastAsia" w:ascii="宋体" w:hAnsi="宋体" w:eastAsia="宋体" w:cs="宋体"/>
          <w:color w:val="auto"/>
          <w:kern w:val="0"/>
          <w:sz w:val="21"/>
          <w:szCs w:val="21"/>
          <w:highlight w:val="none"/>
          <w:u w:val="single"/>
          <w:lang w:val="en-US" w:eastAsia="zh-CN" w:bidi="ar-SA"/>
        </w:rPr>
        <w:t>  </w:t>
      </w:r>
      <w:r>
        <w:rPr>
          <w:rFonts w:hint="eastAsia" w:ascii="宋体" w:hAnsi="宋体" w:eastAsia="宋体" w:cs="宋体"/>
          <w:color w:val="auto"/>
          <w:kern w:val="0"/>
          <w:sz w:val="21"/>
          <w:szCs w:val="21"/>
          <w:highlight w:val="none"/>
          <w:lang w:val="en-US" w:eastAsia="zh-CN" w:bidi="ar-SA"/>
        </w:rPr>
        <w:t>万元，资产总额为</w:t>
      </w:r>
      <w:r>
        <w:rPr>
          <w:rFonts w:hint="eastAsia" w:ascii="宋体" w:hAnsi="宋体" w:eastAsia="宋体" w:cs="宋体"/>
          <w:color w:val="auto"/>
          <w:kern w:val="0"/>
          <w:sz w:val="21"/>
          <w:szCs w:val="21"/>
          <w:highlight w:val="none"/>
          <w:u w:val="single"/>
          <w:lang w:val="en-US" w:eastAsia="zh-CN" w:bidi="ar-SA"/>
        </w:rPr>
        <w:t>  </w:t>
      </w:r>
      <w:r>
        <w:rPr>
          <w:rFonts w:hint="eastAsia" w:ascii="宋体" w:hAnsi="宋体" w:eastAsia="宋体" w:cs="宋体"/>
          <w:color w:val="auto"/>
          <w:kern w:val="0"/>
          <w:sz w:val="21"/>
          <w:szCs w:val="21"/>
          <w:highlight w:val="none"/>
          <w:lang w:val="en-US" w:eastAsia="zh-CN" w:bidi="ar-SA"/>
        </w:rPr>
        <w:t>万元，属于</w:t>
      </w:r>
      <w:r>
        <w:rPr>
          <w:rFonts w:hint="eastAsia" w:ascii="宋体" w:hAnsi="宋体" w:eastAsia="宋体" w:cs="宋体"/>
          <w:color w:val="auto"/>
          <w:kern w:val="0"/>
          <w:sz w:val="21"/>
          <w:szCs w:val="21"/>
          <w:highlight w:val="none"/>
          <w:u w:val="single"/>
          <w:lang w:val="en-US" w:eastAsia="zh-CN" w:bidi="ar-SA"/>
        </w:rPr>
        <w:t>（中型企业、小型企业、微型企业）；</w:t>
      </w:r>
    </w:p>
    <w:p w14:paraId="58E3FD1E">
      <w:pPr>
        <w:widowControl/>
        <w:spacing w:before="75" w:beforeAutospacing="0" w:after="75" w:afterAutospacing="0"/>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w:t>
      </w:r>
    </w:p>
    <w:p w14:paraId="19493A8B">
      <w:pPr>
        <w:widowControl/>
        <w:spacing w:before="75" w:beforeAutospacing="0" w:after="75" w:afterAutospacing="0"/>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w:t>
      </w:r>
    </w:p>
    <w:p w14:paraId="479D69ED">
      <w:pPr>
        <w:widowControl/>
        <w:spacing w:before="75" w:beforeAutospacing="0" w:after="75" w:afterAutospacing="0"/>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 </w:t>
      </w:r>
    </w:p>
    <w:p w14:paraId="0B3AF51A">
      <w:pPr>
        <w:widowControl/>
        <w:spacing w:before="75" w:beforeAutospacing="0" w:after="75" w:afterAutospacing="0"/>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以上企业，不属于大企业的分支机构，不存在控股股东为大企业的情形，也不存在与大企业的负责人为同一人的情形。</w:t>
      </w:r>
    </w:p>
    <w:p w14:paraId="5F6C9D28">
      <w:pPr>
        <w:widowControl/>
        <w:spacing w:before="75" w:beforeAutospacing="0" w:after="75" w:afterAutospacing="0"/>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 </w:t>
      </w:r>
    </w:p>
    <w:p w14:paraId="1B7A9FC9">
      <w:pPr>
        <w:widowControl/>
        <w:spacing w:before="75" w:beforeAutospacing="0" w:after="75" w:afterAutospacing="0"/>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本企业对上述声明内容的真实性负责。如有虚假，将依法承担相应责任。</w:t>
      </w:r>
    </w:p>
    <w:p w14:paraId="4B0468DE">
      <w:pPr>
        <w:widowControl/>
        <w:spacing w:before="75" w:beforeAutospacing="0" w:after="75" w:afterAutospacing="0"/>
        <w:ind w:firstLine="420"/>
        <w:jc w:val="left"/>
        <w:rPr>
          <w:rFonts w:hint="eastAsia" w:ascii="宋体" w:hAnsi="宋体" w:eastAsia="宋体" w:cs="宋体"/>
          <w:color w:val="auto"/>
          <w:kern w:val="0"/>
          <w:sz w:val="21"/>
          <w:szCs w:val="21"/>
          <w:highlight w:val="none"/>
          <w:lang w:val="en-US" w:eastAsia="zh-CN" w:bidi="ar-SA"/>
        </w:rPr>
      </w:pPr>
    </w:p>
    <w:p w14:paraId="6D443146">
      <w:pPr>
        <w:widowControl/>
        <w:spacing w:before="75" w:beforeAutospacing="0" w:after="75" w:afterAutospacing="0"/>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                                            企业名称（盖章）：</w:t>
      </w:r>
    </w:p>
    <w:p w14:paraId="70054007">
      <w:pPr>
        <w:widowControl/>
        <w:spacing w:before="75" w:beforeAutospacing="0" w:after="75" w:afterAutospacing="0"/>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                                                                                                               日期：</w:t>
      </w:r>
    </w:p>
    <w:p w14:paraId="00E6B528">
      <w:pPr>
        <w:widowControl/>
        <w:spacing w:before="75" w:beforeAutospacing="0" w:after="75" w:afterAutospacing="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 </w:t>
      </w:r>
    </w:p>
    <w:p w14:paraId="70D83230">
      <w:pPr>
        <w:widowControl/>
        <w:spacing w:before="75" w:beforeAutospacing="0" w:after="75" w:afterAutospacing="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color w:val="auto"/>
          <w:kern w:val="2"/>
          <w:sz w:val="21"/>
          <w:szCs w:val="21"/>
          <w:highlight w:val="none"/>
          <w:lang w:val="en-US" w:eastAsia="zh-CN" w:bidi="ar-SA"/>
        </w:rPr>
        <w:t>※注意：</w:t>
      </w:r>
    </w:p>
    <w:p w14:paraId="54774841">
      <w:pPr>
        <w:widowControl/>
        <w:spacing w:before="75" w:beforeAutospacing="0" w:after="75" w:afterAutospacing="0"/>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color w:val="auto"/>
          <w:kern w:val="2"/>
          <w:sz w:val="21"/>
          <w:szCs w:val="21"/>
          <w:highlight w:val="none"/>
          <w:lang w:val="en-US" w:eastAsia="zh-CN" w:bidi="ar-SA"/>
        </w:rPr>
        <w:t>1、从业人员、营业收入、资产总额填报上一年度数据，无上一年度数据的新成立企业可不填报。</w:t>
      </w:r>
    </w:p>
    <w:p w14:paraId="708B55D7">
      <w:pPr>
        <w:widowControl/>
        <w:spacing w:before="75" w:beforeAutospacing="0" w:after="75" w:afterAutospacing="0"/>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color w:val="auto"/>
          <w:kern w:val="2"/>
          <w:sz w:val="21"/>
          <w:szCs w:val="21"/>
          <w:highlight w:val="none"/>
          <w:lang w:val="en-US" w:eastAsia="zh-CN" w:bidi="ar-SA"/>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FB41211">
      <w:pPr>
        <w:widowControl/>
        <w:spacing w:before="75" w:beforeAutospacing="0" w:after="75" w:afterAutospacing="0"/>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color w:val="auto"/>
          <w:kern w:val="2"/>
          <w:sz w:val="21"/>
          <w:szCs w:val="21"/>
          <w:highlight w:val="none"/>
          <w:lang w:val="en-US" w:eastAsia="zh-CN" w:bidi="ar-SA"/>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F4EA8FB">
      <w:pPr>
        <w:pageBreakBefore/>
        <w:widowControl/>
        <w:spacing w:before="150" w:beforeAutospacing="0" w:after="150" w:afterAutospacing="0"/>
        <w:jc w:val="center"/>
        <w:outlineLvl w:val="4"/>
        <w:rPr>
          <w:rFonts w:hint="eastAsia" w:ascii="宋体" w:hAnsi="宋体" w:eastAsia="宋体" w:cs="宋体"/>
          <w:b/>
          <w:bCs/>
          <w:color w:val="auto"/>
          <w:kern w:val="0"/>
          <w:sz w:val="20"/>
          <w:szCs w:val="20"/>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中小企业声明函（工程、服务）</w:t>
      </w:r>
    </w:p>
    <w:p w14:paraId="302BD876">
      <w:pPr>
        <w:widowControl/>
        <w:spacing w:before="75" w:beforeAutospacing="0" w:after="75" w:afterAutospacing="0"/>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本公司（联合体）郑重声明，根据《政府采购促进中小企业发展管理办法》（财库﹝2020﹞46 号）的规定，本公司（联合体）参加</w:t>
      </w:r>
      <w:r>
        <w:rPr>
          <w:rFonts w:hint="eastAsia" w:ascii="宋体" w:hAnsi="宋体" w:eastAsia="宋体" w:cs="宋体"/>
          <w:color w:val="auto"/>
          <w:kern w:val="0"/>
          <w:sz w:val="21"/>
          <w:szCs w:val="21"/>
          <w:highlight w:val="none"/>
          <w:u w:val="single"/>
          <w:lang w:val="en-US" w:eastAsia="zh-CN" w:bidi="ar-SA"/>
        </w:rPr>
        <w:t>（单位名称）</w:t>
      </w:r>
      <w:r>
        <w:rPr>
          <w:rFonts w:hint="eastAsia" w:ascii="宋体" w:hAnsi="宋体" w:eastAsia="宋体" w:cs="宋体"/>
          <w:color w:val="auto"/>
          <w:kern w:val="0"/>
          <w:sz w:val="21"/>
          <w:szCs w:val="21"/>
          <w:highlight w:val="none"/>
          <w:lang w:val="en-US" w:eastAsia="zh-CN" w:bidi="ar-SA"/>
        </w:rPr>
        <w:t>的</w:t>
      </w:r>
      <w:r>
        <w:rPr>
          <w:rFonts w:hint="eastAsia" w:ascii="宋体" w:hAnsi="宋体" w:eastAsia="宋体" w:cs="宋体"/>
          <w:color w:val="auto"/>
          <w:kern w:val="0"/>
          <w:sz w:val="21"/>
          <w:szCs w:val="21"/>
          <w:highlight w:val="none"/>
          <w:u w:val="single"/>
          <w:lang w:val="en-US" w:eastAsia="zh-CN" w:bidi="ar-SA"/>
        </w:rPr>
        <w:t>（项目名称）</w:t>
      </w:r>
      <w:r>
        <w:rPr>
          <w:rFonts w:hint="eastAsia" w:ascii="宋体" w:hAnsi="宋体" w:eastAsia="宋体" w:cs="宋体"/>
          <w:color w:val="auto"/>
          <w:kern w:val="0"/>
          <w:sz w:val="21"/>
          <w:szCs w:val="21"/>
          <w:highlight w:val="none"/>
          <w:lang w:val="en-US" w:eastAsia="zh-CN" w:bidi="ar-SA"/>
        </w:rPr>
        <w:t>采购活动，工程的施工单位全部为符合政策要求的中小企业（或者：服务全部由符合政策要求的中小企业承接）。相关企业（含联合体中的中小企业、签订分包意向协议的中小企业）的具体情况如下：</w:t>
      </w:r>
    </w:p>
    <w:p w14:paraId="6A993E08">
      <w:pPr>
        <w:widowControl/>
        <w:spacing w:before="75" w:beforeAutospacing="0" w:after="75" w:afterAutospacing="0"/>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1. </w:t>
      </w:r>
      <w:r>
        <w:rPr>
          <w:rFonts w:hint="eastAsia" w:ascii="宋体" w:hAnsi="宋体" w:eastAsia="宋体" w:cs="宋体"/>
          <w:color w:val="auto"/>
          <w:kern w:val="0"/>
          <w:sz w:val="21"/>
          <w:szCs w:val="21"/>
          <w:highlight w:val="none"/>
          <w:u w:val="single"/>
          <w:lang w:val="en-US" w:eastAsia="zh-CN" w:bidi="ar-SA"/>
        </w:rPr>
        <w:t>（标的名称）</w:t>
      </w:r>
      <w:r>
        <w:rPr>
          <w:rFonts w:hint="eastAsia" w:ascii="宋体" w:hAnsi="宋体" w:eastAsia="宋体" w:cs="宋体"/>
          <w:color w:val="auto"/>
          <w:kern w:val="0"/>
          <w:sz w:val="21"/>
          <w:szCs w:val="21"/>
          <w:highlight w:val="none"/>
          <w:lang w:val="en-US" w:eastAsia="zh-CN" w:bidi="ar-SA"/>
        </w:rPr>
        <w:t>，属于</w:t>
      </w:r>
      <w:r>
        <w:rPr>
          <w:rFonts w:hint="eastAsia" w:ascii="宋体" w:hAnsi="宋体" w:eastAsia="宋体" w:cs="宋体"/>
          <w:color w:val="auto"/>
          <w:kern w:val="0"/>
          <w:sz w:val="21"/>
          <w:szCs w:val="21"/>
          <w:highlight w:val="none"/>
          <w:u w:val="single"/>
          <w:lang w:val="en-US" w:eastAsia="zh-CN" w:bidi="ar-SA"/>
        </w:rPr>
        <w:t>（采购文件中明确的所属行业）</w:t>
      </w:r>
      <w:r>
        <w:rPr>
          <w:rFonts w:hint="eastAsia" w:ascii="宋体" w:hAnsi="宋体" w:eastAsia="宋体" w:cs="宋体"/>
          <w:color w:val="auto"/>
          <w:kern w:val="0"/>
          <w:sz w:val="21"/>
          <w:szCs w:val="21"/>
          <w:highlight w:val="none"/>
          <w:lang w:val="en-US" w:eastAsia="zh-CN" w:bidi="ar-SA"/>
        </w:rPr>
        <w:t>；承建（承接）企业为</w:t>
      </w:r>
      <w:r>
        <w:rPr>
          <w:rFonts w:hint="eastAsia" w:ascii="宋体" w:hAnsi="宋体" w:eastAsia="宋体" w:cs="宋体"/>
          <w:color w:val="auto"/>
          <w:kern w:val="0"/>
          <w:sz w:val="21"/>
          <w:szCs w:val="21"/>
          <w:highlight w:val="none"/>
          <w:u w:val="single"/>
          <w:lang w:val="en-US" w:eastAsia="zh-CN" w:bidi="ar-SA"/>
        </w:rPr>
        <w:t>（企业名称）</w:t>
      </w:r>
      <w:r>
        <w:rPr>
          <w:rFonts w:hint="eastAsia" w:ascii="宋体" w:hAnsi="宋体" w:eastAsia="宋体" w:cs="宋体"/>
          <w:color w:val="auto"/>
          <w:kern w:val="0"/>
          <w:sz w:val="21"/>
          <w:szCs w:val="21"/>
          <w:highlight w:val="none"/>
          <w:lang w:val="en-US" w:eastAsia="zh-CN" w:bidi="ar-SA"/>
        </w:rPr>
        <w:t>，从业人员</w:t>
      </w:r>
      <w:r>
        <w:rPr>
          <w:rFonts w:hint="eastAsia" w:ascii="宋体" w:hAnsi="宋体" w:eastAsia="宋体" w:cs="宋体"/>
          <w:color w:val="auto"/>
          <w:kern w:val="0"/>
          <w:sz w:val="21"/>
          <w:szCs w:val="21"/>
          <w:highlight w:val="none"/>
          <w:u w:val="single"/>
          <w:lang w:val="en-US" w:eastAsia="zh-CN" w:bidi="ar-SA"/>
        </w:rPr>
        <w:t> </w:t>
      </w:r>
      <w:r>
        <w:rPr>
          <w:rFonts w:hint="eastAsia" w:ascii="宋体" w:hAnsi="宋体" w:eastAsia="宋体" w:cs="宋体"/>
          <w:color w:val="auto"/>
          <w:kern w:val="0"/>
          <w:sz w:val="21"/>
          <w:szCs w:val="21"/>
          <w:highlight w:val="none"/>
          <w:lang w:val="en-US" w:eastAsia="zh-CN" w:bidi="ar-SA"/>
        </w:rPr>
        <w:t>人，营业收入为</w:t>
      </w:r>
      <w:r>
        <w:rPr>
          <w:rFonts w:hint="eastAsia" w:ascii="宋体" w:hAnsi="宋体" w:eastAsia="宋体" w:cs="宋体"/>
          <w:color w:val="auto"/>
          <w:kern w:val="0"/>
          <w:sz w:val="21"/>
          <w:szCs w:val="21"/>
          <w:highlight w:val="none"/>
          <w:u w:val="single"/>
          <w:lang w:val="en-US" w:eastAsia="zh-CN" w:bidi="ar-SA"/>
        </w:rPr>
        <w:t>  </w:t>
      </w:r>
      <w:r>
        <w:rPr>
          <w:rFonts w:hint="eastAsia" w:ascii="宋体" w:hAnsi="宋体" w:eastAsia="宋体" w:cs="宋体"/>
          <w:color w:val="auto"/>
          <w:kern w:val="0"/>
          <w:sz w:val="21"/>
          <w:szCs w:val="21"/>
          <w:highlight w:val="none"/>
          <w:lang w:val="en-US" w:eastAsia="zh-CN" w:bidi="ar-SA"/>
        </w:rPr>
        <w:t>万元，资产总额为</w:t>
      </w:r>
      <w:r>
        <w:rPr>
          <w:rFonts w:hint="eastAsia" w:ascii="宋体" w:hAnsi="宋体" w:eastAsia="宋体" w:cs="宋体"/>
          <w:color w:val="auto"/>
          <w:kern w:val="0"/>
          <w:sz w:val="21"/>
          <w:szCs w:val="21"/>
          <w:highlight w:val="none"/>
          <w:u w:val="single"/>
          <w:lang w:val="en-US" w:eastAsia="zh-CN" w:bidi="ar-SA"/>
        </w:rPr>
        <w:t>  </w:t>
      </w:r>
      <w:r>
        <w:rPr>
          <w:rFonts w:hint="eastAsia" w:ascii="宋体" w:hAnsi="宋体" w:eastAsia="宋体" w:cs="宋体"/>
          <w:color w:val="auto"/>
          <w:kern w:val="0"/>
          <w:sz w:val="21"/>
          <w:szCs w:val="21"/>
          <w:highlight w:val="none"/>
          <w:lang w:val="en-US" w:eastAsia="zh-CN" w:bidi="ar-SA"/>
        </w:rPr>
        <w:t>万元</w:t>
      </w:r>
      <w:r>
        <w:rPr>
          <w:rFonts w:hint="eastAsia" w:ascii="宋体" w:hAnsi="宋体" w:eastAsia="宋体" w:cs="宋体"/>
          <w:color w:val="auto"/>
          <w:kern w:val="0"/>
          <w:sz w:val="21"/>
          <w:szCs w:val="21"/>
          <w:highlight w:val="none"/>
          <w:vertAlign w:val="superscript"/>
          <w:lang w:val="en-US" w:eastAsia="zh-CN" w:bidi="ar-SA"/>
        </w:rPr>
        <w:t>1</w:t>
      </w:r>
      <w:r>
        <w:rPr>
          <w:rFonts w:hint="eastAsia" w:ascii="宋体" w:hAnsi="宋体" w:eastAsia="宋体" w:cs="宋体"/>
          <w:color w:val="auto"/>
          <w:kern w:val="0"/>
          <w:sz w:val="21"/>
          <w:szCs w:val="21"/>
          <w:highlight w:val="none"/>
          <w:lang w:val="en-US" w:eastAsia="zh-CN" w:bidi="ar-SA"/>
        </w:rPr>
        <w:t>，属于</w:t>
      </w:r>
      <w:r>
        <w:rPr>
          <w:rFonts w:hint="eastAsia" w:ascii="宋体" w:hAnsi="宋体" w:eastAsia="宋体" w:cs="宋体"/>
          <w:color w:val="auto"/>
          <w:kern w:val="0"/>
          <w:sz w:val="21"/>
          <w:szCs w:val="21"/>
          <w:highlight w:val="none"/>
          <w:u w:val="single"/>
          <w:lang w:val="en-US" w:eastAsia="zh-CN" w:bidi="ar-SA"/>
        </w:rPr>
        <w:t>（中型企业、小型企业、微型企业）；</w:t>
      </w:r>
    </w:p>
    <w:p w14:paraId="1F548E4A">
      <w:pPr>
        <w:widowControl/>
        <w:spacing w:before="75" w:beforeAutospacing="0" w:after="75" w:afterAutospacing="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　　2. </w:t>
      </w:r>
      <w:r>
        <w:rPr>
          <w:rFonts w:hint="eastAsia" w:ascii="宋体" w:hAnsi="宋体" w:eastAsia="宋体" w:cs="宋体"/>
          <w:color w:val="auto"/>
          <w:kern w:val="0"/>
          <w:sz w:val="21"/>
          <w:szCs w:val="21"/>
          <w:highlight w:val="none"/>
          <w:u w:val="single"/>
          <w:lang w:val="en-US" w:eastAsia="zh-CN" w:bidi="ar-SA"/>
        </w:rPr>
        <w:t>（标的名称）</w:t>
      </w:r>
      <w:r>
        <w:rPr>
          <w:rFonts w:hint="eastAsia" w:ascii="宋体" w:hAnsi="宋体" w:eastAsia="宋体" w:cs="宋体"/>
          <w:color w:val="auto"/>
          <w:kern w:val="0"/>
          <w:sz w:val="21"/>
          <w:szCs w:val="21"/>
          <w:highlight w:val="none"/>
          <w:lang w:val="en-US" w:eastAsia="zh-CN" w:bidi="ar-SA"/>
        </w:rPr>
        <w:t>，属于</w:t>
      </w:r>
      <w:r>
        <w:rPr>
          <w:rFonts w:hint="eastAsia" w:ascii="宋体" w:hAnsi="宋体" w:eastAsia="宋体" w:cs="宋体"/>
          <w:color w:val="auto"/>
          <w:kern w:val="0"/>
          <w:sz w:val="21"/>
          <w:szCs w:val="21"/>
          <w:highlight w:val="none"/>
          <w:u w:val="single"/>
          <w:lang w:val="en-US" w:eastAsia="zh-CN" w:bidi="ar-SA"/>
        </w:rPr>
        <w:t>（采购文件中明确的所属行业）；</w:t>
      </w:r>
      <w:r>
        <w:rPr>
          <w:rFonts w:hint="eastAsia" w:ascii="宋体" w:hAnsi="宋体" w:eastAsia="宋体" w:cs="宋体"/>
          <w:color w:val="auto"/>
          <w:kern w:val="0"/>
          <w:sz w:val="21"/>
          <w:szCs w:val="21"/>
          <w:highlight w:val="none"/>
          <w:lang w:val="en-US" w:eastAsia="zh-CN" w:bidi="ar-SA"/>
        </w:rPr>
        <w:t>承建（承接）企业为</w:t>
      </w:r>
      <w:r>
        <w:rPr>
          <w:rFonts w:hint="eastAsia" w:ascii="宋体" w:hAnsi="宋体" w:eastAsia="宋体" w:cs="宋体"/>
          <w:color w:val="auto"/>
          <w:kern w:val="0"/>
          <w:sz w:val="21"/>
          <w:szCs w:val="21"/>
          <w:highlight w:val="none"/>
          <w:u w:val="single"/>
          <w:lang w:val="en-US" w:eastAsia="zh-CN" w:bidi="ar-SA"/>
        </w:rPr>
        <w:t>（企业名称）</w:t>
      </w:r>
      <w:r>
        <w:rPr>
          <w:rFonts w:hint="eastAsia" w:ascii="宋体" w:hAnsi="宋体" w:eastAsia="宋体" w:cs="宋体"/>
          <w:color w:val="auto"/>
          <w:kern w:val="0"/>
          <w:sz w:val="21"/>
          <w:szCs w:val="21"/>
          <w:highlight w:val="none"/>
          <w:lang w:val="en-US" w:eastAsia="zh-CN" w:bidi="ar-SA"/>
        </w:rPr>
        <w:t>，从业人员</w:t>
      </w:r>
      <w:r>
        <w:rPr>
          <w:rFonts w:hint="eastAsia" w:ascii="宋体" w:hAnsi="宋体" w:eastAsia="宋体" w:cs="宋体"/>
          <w:color w:val="auto"/>
          <w:kern w:val="0"/>
          <w:sz w:val="21"/>
          <w:szCs w:val="21"/>
          <w:highlight w:val="none"/>
          <w:u w:val="single"/>
          <w:lang w:val="en-US" w:eastAsia="zh-CN" w:bidi="ar-SA"/>
        </w:rPr>
        <w:t>  </w:t>
      </w:r>
      <w:r>
        <w:rPr>
          <w:rFonts w:hint="eastAsia" w:ascii="宋体" w:hAnsi="宋体" w:eastAsia="宋体" w:cs="宋体"/>
          <w:color w:val="auto"/>
          <w:kern w:val="0"/>
          <w:sz w:val="21"/>
          <w:szCs w:val="21"/>
          <w:highlight w:val="none"/>
          <w:lang w:val="en-US" w:eastAsia="zh-CN" w:bidi="ar-SA"/>
        </w:rPr>
        <w:t>人，营业收入为</w:t>
      </w:r>
      <w:r>
        <w:rPr>
          <w:rFonts w:hint="eastAsia" w:ascii="宋体" w:hAnsi="宋体" w:eastAsia="宋体" w:cs="宋体"/>
          <w:color w:val="auto"/>
          <w:kern w:val="0"/>
          <w:sz w:val="21"/>
          <w:szCs w:val="21"/>
          <w:highlight w:val="none"/>
          <w:u w:val="single"/>
          <w:lang w:val="en-US" w:eastAsia="zh-CN" w:bidi="ar-SA"/>
        </w:rPr>
        <w:t>  </w:t>
      </w:r>
      <w:r>
        <w:rPr>
          <w:rFonts w:hint="eastAsia" w:ascii="宋体" w:hAnsi="宋体" w:eastAsia="宋体" w:cs="宋体"/>
          <w:color w:val="auto"/>
          <w:kern w:val="0"/>
          <w:sz w:val="21"/>
          <w:szCs w:val="21"/>
          <w:highlight w:val="none"/>
          <w:lang w:val="en-US" w:eastAsia="zh-CN" w:bidi="ar-SA"/>
        </w:rPr>
        <w:t>万元，资产总额为</w:t>
      </w:r>
      <w:r>
        <w:rPr>
          <w:rFonts w:hint="eastAsia" w:ascii="宋体" w:hAnsi="宋体" w:eastAsia="宋体" w:cs="宋体"/>
          <w:color w:val="auto"/>
          <w:kern w:val="0"/>
          <w:sz w:val="21"/>
          <w:szCs w:val="21"/>
          <w:highlight w:val="none"/>
          <w:u w:val="single"/>
          <w:lang w:val="en-US" w:eastAsia="zh-CN" w:bidi="ar-SA"/>
        </w:rPr>
        <w:t>  </w:t>
      </w:r>
      <w:r>
        <w:rPr>
          <w:rFonts w:hint="eastAsia" w:ascii="宋体" w:hAnsi="宋体" w:eastAsia="宋体" w:cs="宋体"/>
          <w:color w:val="auto"/>
          <w:kern w:val="0"/>
          <w:sz w:val="21"/>
          <w:szCs w:val="21"/>
          <w:highlight w:val="none"/>
          <w:lang w:val="en-US" w:eastAsia="zh-CN" w:bidi="ar-SA"/>
        </w:rPr>
        <w:t>万元，属于</w:t>
      </w:r>
      <w:r>
        <w:rPr>
          <w:rFonts w:hint="eastAsia" w:ascii="宋体" w:hAnsi="宋体" w:eastAsia="宋体" w:cs="宋体"/>
          <w:color w:val="auto"/>
          <w:kern w:val="0"/>
          <w:sz w:val="21"/>
          <w:szCs w:val="21"/>
          <w:highlight w:val="none"/>
          <w:u w:val="single"/>
          <w:lang w:val="en-US" w:eastAsia="zh-CN" w:bidi="ar-SA"/>
        </w:rPr>
        <w:t>（中型企业、小型企业、微型企业）；</w:t>
      </w:r>
    </w:p>
    <w:p w14:paraId="226B324B">
      <w:pPr>
        <w:widowControl/>
        <w:spacing w:before="75" w:beforeAutospacing="0" w:after="75" w:afterAutospacing="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 </w:t>
      </w:r>
    </w:p>
    <w:p w14:paraId="0C42E2F1">
      <w:pPr>
        <w:widowControl/>
        <w:spacing w:before="75" w:beforeAutospacing="0" w:after="75" w:afterAutospacing="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w:t>
      </w:r>
    </w:p>
    <w:p w14:paraId="33C52365">
      <w:pPr>
        <w:widowControl/>
        <w:spacing w:before="75" w:beforeAutospacing="0" w:after="75" w:afterAutospacing="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 </w:t>
      </w:r>
    </w:p>
    <w:p w14:paraId="03BDD62D">
      <w:pPr>
        <w:widowControl/>
        <w:spacing w:before="75" w:beforeAutospacing="0" w:after="75" w:afterAutospacing="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 以上企业，不属于大企业的分支机构，不存在控股股东为大企业的情形，也不存在与大企业的负责人为同一人的情形。</w:t>
      </w:r>
    </w:p>
    <w:p w14:paraId="376BD590">
      <w:pPr>
        <w:widowControl/>
        <w:spacing w:before="75" w:beforeAutospacing="0" w:after="75" w:afterAutospacing="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 </w:t>
      </w:r>
    </w:p>
    <w:p w14:paraId="65330C2B">
      <w:pPr>
        <w:widowControl/>
        <w:spacing w:before="75" w:beforeAutospacing="0" w:after="75" w:afterAutospacing="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 本企业对上述声明内容的真实性负责。如有虚假，将依法承担相应责任。</w:t>
      </w:r>
    </w:p>
    <w:p w14:paraId="2850FFDA">
      <w:pPr>
        <w:widowControl/>
        <w:spacing w:before="75" w:beforeAutospacing="0" w:after="75" w:afterAutospacing="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 </w:t>
      </w:r>
    </w:p>
    <w:p w14:paraId="333E5876">
      <w:pPr>
        <w:widowControl/>
        <w:spacing w:before="75" w:beforeAutospacing="0" w:after="75" w:afterAutospacing="0"/>
        <w:ind w:firstLine="4410" w:firstLineChars="21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企业名称（盖章）： </w:t>
      </w:r>
    </w:p>
    <w:p w14:paraId="24A978A0">
      <w:pPr>
        <w:widowControl/>
        <w:spacing w:before="75" w:beforeAutospacing="0" w:after="75" w:afterAutospacing="0"/>
        <w:ind w:firstLine="4410" w:firstLineChars="21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日期：</w:t>
      </w:r>
    </w:p>
    <w:p w14:paraId="5F1C4E17">
      <w:pPr>
        <w:widowControl/>
        <w:spacing w:before="75" w:beforeAutospacing="0" w:after="75" w:afterAutospacing="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 </w:t>
      </w:r>
    </w:p>
    <w:p w14:paraId="471AB76A">
      <w:pPr>
        <w:widowControl/>
        <w:spacing w:before="75" w:beforeAutospacing="0" w:after="75" w:afterAutospacing="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color w:val="auto"/>
          <w:kern w:val="2"/>
          <w:sz w:val="21"/>
          <w:szCs w:val="21"/>
          <w:highlight w:val="none"/>
          <w:lang w:val="en-US" w:eastAsia="zh-CN" w:bidi="ar-SA"/>
        </w:rPr>
        <w:t>※注意：</w:t>
      </w:r>
    </w:p>
    <w:p w14:paraId="5887CAA8">
      <w:pPr>
        <w:widowControl/>
        <w:spacing w:before="75" w:beforeAutospacing="0" w:after="75" w:afterAutospacing="0"/>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color w:val="auto"/>
          <w:kern w:val="2"/>
          <w:sz w:val="21"/>
          <w:szCs w:val="21"/>
          <w:highlight w:val="none"/>
          <w:lang w:val="en-US" w:eastAsia="zh-CN" w:bidi="ar-SA"/>
        </w:rPr>
        <w:t>1、从业人员、营业收入、资产总额填报上一年度数据，无上一年度数据的新成立企业可不填报。</w:t>
      </w:r>
    </w:p>
    <w:p w14:paraId="5C7C65B3">
      <w:pPr>
        <w:widowControl/>
        <w:spacing w:before="75" w:beforeAutospacing="0" w:after="75" w:afterAutospacing="0"/>
        <w:ind w:firstLine="42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2D099857">
      <w:pPr>
        <w:widowControl/>
        <w:spacing w:before="75" w:beforeAutospacing="0" w:after="75" w:afterAutospacing="0"/>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color w:val="auto"/>
          <w:kern w:val="2"/>
          <w:sz w:val="21"/>
          <w:szCs w:val="21"/>
          <w:highlight w:val="none"/>
          <w:lang w:val="en-US" w:eastAsia="zh-CN" w:bidi="ar-SA"/>
        </w:rPr>
        <w:t>  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     </w:t>
      </w:r>
      <w:r>
        <w:rPr>
          <w:rFonts w:hint="eastAsia" w:ascii="宋体" w:hAnsi="宋体" w:eastAsia="宋体" w:cs="宋体"/>
          <w:color w:val="auto"/>
          <w:kern w:val="0"/>
          <w:sz w:val="21"/>
          <w:szCs w:val="21"/>
          <w:highlight w:val="none"/>
          <w:lang w:val="en-US" w:eastAsia="zh-CN" w:bidi="ar-SA"/>
        </w:rPr>
        <w:t>          </w:t>
      </w:r>
    </w:p>
    <w:p w14:paraId="60FB6664">
      <w:pPr>
        <w:widowControl/>
        <w:spacing w:before="100" w:beforeAutospacing="1" w:after="240" w:afterAutospacing="0"/>
        <w:jc w:val="left"/>
        <w:rPr>
          <w:rFonts w:hint="eastAsia" w:ascii="宋体" w:hAnsi="宋体" w:eastAsia="宋体" w:cs="宋体"/>
          <w:color w:val="auto"/>
          <w:kern w:val="0"/>
          <w:sz w:val="21"/>
          <w:szCs w:val="21"/>
          <w:highlight w:val="none"/>
          <w:lang w:val="en-US" w:eastAsia="zh-CN" w:bidi="ar-SA"/>
        </w:rPr>
      </w:pPr>
    </w:p>
    <w:p w14:paraId="7E4642F3">
      <w:pPr>
        <w:widowControl/>
        <w:spacing w:before="100" w:beforeAutospacing="1" w:after="240" w:afterAutospacing="0"/>
        <w:jc w:val="left"/>
        <w:rPr>
          <w:rFonts w:hint="eastAsia" w:ascii="宋体" w:hAnsi="宋体" w:eastAsia="宋体" w:cs="宋体"/>
          <w:color w:val="auto"/>
          <w:kern w:val="0"/>
          <w:sz w:val="21"/>
          <w:szCs w:val="21"/>
          <w:highlight w:val="none"/>
          <w:lang w:val="en-US" w:eastAsia="zh-CN" w:bidi="ar-SA"/>
        </w:rPr>
      </w:pPr>
    </w:p>
    <w:p w14:paraId="3786AF28">
      <w:pPr>
        <w:widowControl/>
        <w:spacing w:before="100" w:beforeAutospacing="1" w:after="240" w:afterAutospacing="0"/>
        <w:jc w:val="left"/>
        <w:rPr>
          <w:rFonts w:hint="eastAsia" w:ascii="宋体" w:hAnsi="宋体" w:eastAsia="宋体" w:cs="宋体"/>
          <w:color w:val="auto"/>
          <w:kern w:val="0"/>
          <w:sz w:val="21"/>
          <w:szCs w:val="21"/>
          <w:highlight w:val="none"/>
          <w:lang w:val="en-US" w:eastAsia="zh-CN" w:bidi="ar-SA"/>
        </w:rPr>
      </w:pPr>
    </w:p>
    <w:p w14:paraId="24DCCC44">
      <w:pPr>
        <w:widowControl/>
        <w:spacing w:before="100" w:beforeAutospacing="1" w:after="240" w:afterAutospacing="0"/>
        <w:jc w:val="left"/>
        <w:rPr>
          <w:rFonts w:hint="eastAsia" w:ascii="宋体" w:hAnsi="宋体" w:eastAsia="宋体" w:cs="宋体"/>
          <w:color w:val="auto"/>
          <w:kern w:val="0"/>
          <w:sz w:val="21"/>
          <w:szCs w:val="21"/>
          <w:highlight w:val="none"/>
          <w:lang w:val="en-US" w:eastAsia="zh-CN" w:bidi="ar-SA"/>
        </w:rPr>
      </w:pPr>
    </w:p>
    <w:p w14:paraId="4E0941B2">
      <w:pPr>
        <w:widowControl/>
        <w:spacing w:before="75" w:beforeAutospacing="0" w:after="75" w:afterAutospacing="0"/>
        <w:jc w:val="left"/>
        <w:rPr>
          <w:rFonts w:hint="eastAsia" w:ascii="宋体" w:hAnsi="宋体" w:eastAsia="宋体" w:cs="宋体"/>
          <w:color w:val="auto"/>
          <w:kern w:val="0"/>
          <w:sz w:val="21"/>
          <w:szCs w:val="21"/>
          <w:highlight w:val="none"/>
          <w:lang w:val="en-US" w:eastAsia="zh-CN" w:bidi="ar-SA"/>
        </w:rPr>
      </w:pPr>
    </w:p>
    <w:p w14:paraId="6EACD3B8">
      <w:pPr>
        <w:widowControl/>
        <w:spacing w:before="75" w:beforeAutospacing="0" w:after="75" w:afterAutospacing="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附：</w:t>
      </w:r>
    </w:p>
    <w:p w14:paraId="55D97B02">
      <w:pPr>
        <w:widowControl/>
        <w:spacing w:before="75" w:beforeAutospacing="0" w:after="75" w:afterAutospacing="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color w:val="auto"/>
          <w:kern w:val="2"/>
          <w:sz w:val="21"/>
          <w:szCs w:val="24"/>
          <w:highlight w:val="none"/>
          <w:lang w:val="en-US" w:eastAsia="zh-CN" w:bidi="ar-SA"/>
        </w:rPr>
        <w:t>残疾人福利性单位声明函</w:t>
      </w:r>
    </w:p>
    <w:p w14:paraId="4A131330">
      <w:pPr>
        <w:widowControl/>
        <w:spacing w:before="75" w:beforeAutospacing="0" w:after="75" w:afterAutospacing="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color w:val="auto"/>
          <w:kern w:val="2"/>
          <w:sz w:val="21"/>
          <w:szCs w:val="21"/>
          <w:highlight w:val="none"/>
          <w:lang w:val="en-US" w:eastAsia="zh-CN" w:bidi="ar-SA"/>
        </w:rPr>
        <w:t>（以资格条件落实中小企业扶持政策时适用，若有）</w:t>
      </w:r>
    </w:p>
    <w:p w14:paraId="3E560567">
      <w:pPr>
        <w:widowControl/>
        <w:spacing w:before="75" w:beforeAutospacing="0" w:after="75" w:afterAutospacing="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color w:val="auto"/>
          <w:kern w:val="2"/>
          <w:sz w:val="21"/>
          <w:szCs w:val="21"/>
          <w:highlight w:val="none"/>
          <w:lang w:val="en-US" w:eastAsia="zh-CN" w:bidi="ar-SA"/>
        </w:rPr>
        <w:t> </w:t>
      </w:r>
    </w:p>
    <w:p w14:paraId="6E79D003">
      <w:pPr>
        <w:widowControl/>
        <w:spacing w:before="75" w:beforeAutospacing="0" w:after="75" w:afterAutospacing="0"/>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254250EE">
      <w:pPr>
        <w:widowControl/>
        <w:spacing w:before="75" w:beforeAutospacing="0" w:after="75" w:afterAutospacing="0"/>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34CB6AEE">
      <w:pPr>
        <w:widowControl/>
        <w:spacing w:before="75" w:beforeAutospacing="0" w:after="75" w:afterAutospacing="0"/>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 ）由本投标人承建的（填写“所投采购包、品目号”）工程</w:t>
      </w:r>
    </w:p>
    <w:p w14:paraId="392EDE9C">
      <w:pPr>
        <w:widowControl/>
        <w:spacing w:before="75" w:beforeAutospacing="0" w:after="75" w:afterAutospacing="0"/>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 ）由本投标人承接的（填写“所投采购包、品目号”）服务；</w:t>
      </w:r>
    </w:p>
    <w:p w14:paraId="3EAA1876">
      <w:pPr>
        <w:widowControl/>
        <w:spacing w:before="75" w:beforeAutospacing="0" w:after="75" w:afterAutospacing="0"/>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本投标人对上述声明的真实性负责。如有虚假，将依法承担相应责任。</w:t>
      </w:r>
    </w:p>
    <w:p w14:paraId="324F53A0">
      <w:pPr>
        <w:widowControl/>
        <w:spacing w:before="75" w:beforeAutospacing="0" w:after="75" w:afterAutospacing="0"/>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 </w:t>
      </w:r>
    </w:p>
    <w:p w14:paraId="76AE36C4">
      <w:pPr>
        <w:widowControl/>
        <w:spacing w:before="75" w:beforeAutospacing="0" w:after="75" w:afterAutospacing="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备注：</w:t>
      </w:r>
    </w:p>
    <w:p w14:paraId="5D51152C">
      <w:pPr>
        <w:widowControl/>
        <w:spacing w:before="75" w:beforeAutospacing="0" w:after="75" w:afterAutospacing="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1、请投标人按照实际情况编制填写本声明函，并在相应的（）中打“√”。</w:t>
      </w:r>
    </w:p>
    <w:p w14:paraId="5C8939AD">
      <w:pPr>
        <w:widowControl/>
        <w:spacing w:before="75" w:beforeAutospacing="0" w:after="75" w:afterAutospacing="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2、若《残疾人福利性单位声明函》内容不真实，</w:t>
      </w:r>
      <w:r>
        <w:rPr>
          <w:rFonts w:hint="eastAsia" w:ascii="宋体" w:hAnsi="宋体" w:eastAsia="宋体" w:cs="宋体"/>
          <w:b/>
          <w:color w:val="auto"/>
          <w:kern w:val="2"/>
          <w:sz w:val="21"/>
          <w:szCs w:val="21"/>
          <w:highlight w:val="none"/>
          <w:lang w:val="en-US" w:eastAsia="zh-CN" w:bidi="ar-SA"/>
        </w:rPr>
        <w:t>视为提供虚假材料。</w:t>
      </w:r>
    </w:p>
    <w:p w14:paraId="5F6F064B">
      <w:pPr>
        <w:widowControl/>
        <w:spacing w:before="75" w:beforeAutospacing="0" w:after="75" w:afterAutospacing="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 </w:t>
      </w:r>
    </w:p>
    <w:p w14:paraId="3686C755">
      <w:pPr>
        <w:widowControl/>
        <w:spacing w:before="75" w:beforeAutospacing="0" w:after="75" w:afterAutospacing="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 </w:t>
      </w:r>
    </w:p>
    <w:p w14:paraId="2E8BA550">
      <w:pPr>
        <w:spacing w:line="440" w:lineRule="exact"/>
        <w:ind w:firstLine="480" w:firstLineChars="200"/>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投标人：</w:t>
      </w:r>
      <w:r>
        <w:rPr>
          <w:rFonts w:hint="eastAsia" w:ascii="宋体" w:hAnsi="宋体" w:eastAsia="宋体" w:cs="宋体"/>
          <w:bCs/>
          <w:color w:val="auto"/>
          <w:sz w:val="24"/>
          <w:highlight w:val="none"/>
          <w:u w:val="single"/>
        </w:rPr>
        <w:t>（全称并加盖单位公章）</w:t>
      </w:r>
    </w:p>
    <w:p w14:paraId="06BD30A1">
      <w:pPr>
        <w:spacing w:line="440" w:lineRule="exact"/>
        <w:ind w:firstLine="480" w:firstLineChars="200"/>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投标人代表签字：</w:t>
      </w:r>
      <w:r>
        <w:rPr>
          <w:rFonts w:hint="eastAsia" w:ascii="宋体" w:hAnsi="宋体" w:eastAsia="宋体" w:cs="宋体"/>
          <w:bCs/>
          <w:color w:val="auto"/>
          <w:sz w:val="24"/>
          <w:highlight w:val="none"/>
          <w:u w:val="single"/>
        </w:rPr>
        <w:t xml:space="preserve">          </w:t>
      </w:r>
    </w:p>
    <w:p w14:paraId="04DBAEEE">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日期：    年   月   日</w:t>
      </w:r>
    </w:p>
    <w:p w14:paraId="3FB29A06">
      <w:pPr>
        <w:widowControl/>
        <w:spacing w:before="75" w:beforeAutospacing="0" w:after="75" w:afterAutospacing="0"/>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w:t>
      </w:r>
    </w:p>
    <w:p w14:paraId="59C9DF05">
      <w:pPr>
        <w:widowControl/>
        <w:spacing w:before="75" w:beforeAutospacing="0" w:after="75" w:afterAutospacing="0"/>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w:t>
      </w:r>
    </w:p>
    <w:p w14:paraId="01C3006C">
      <w:pPr>
        <w:widowControl/>
        <w:spacing w:before="75" w:beforeAutospacing="0" w:after="75" w:afterAutospacing="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 </w:t>
      </w:r>
    </w:p>
    <w:p w14:paraId="2F43A07E">
      <w:pPr>
        <w:widowControl/>
        <w:spacing w:before="75" w:beforeAutospacing="0" w:after="75" w:afterAutospacing="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附：                          </w:t>
      </w:r>
    </w:p>
    <w:p w14:paraId="26168102">
      <w:pPr>
        <w:widowControl/>
        <w:spacing w:before="75" w:beforeAutospacing="0" w:after="75" w:afterAutospacing="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color w:val="auto"/>
          <w:kern w:val="2"/>
          <w:sz w:val="21"/>
          <w:szCs w:val="24"/>
          <w:highlight w:val="none"/>
          <w:lang w:val="en-US" w:eastAsia="zh-CN" w:bidi="ar-SA"/>
        </w:rPr>
        <w:t>监狱企业证明材料</w:t>
      </w:r>
    </w:p>
    <w:p w14:paraId="52D5F647">
      <w:pPr>
        <w:widowControl/>
        <w:spacing w:before="75" w:beforeAutospacing="0" w:after="75" w:afterAutospacing="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color w:val="auto"/>
          <w:kern w:val="2"/>
          <w:sz w:val="21"/>
          <w:szCs w:val="24"/>
          <w:highlight w:val="none"/>
          <w:lang w:val="en-US" w:eastAsia="zh-CN" w:bidi="ar-SA"/>
        </w:rPr>
        <w:t> </w:t>
      </w:r>
    </w:p>
    <w:p w14:paraId="183BB419">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投标人为监狱企业，提供本单位制造的货物（承接的服务），并在投标文件中提供省级以上监狱管理局、戒毒管理局（含新疆生产建设兵团）出具的属于监狱企业的证明文件。</w:t>
      </w:r>
    </w:p>
    <w:p w14:paraId="4A307EBC">
      <w:pPr>
        <w:widowControl/>
        <w:spacing w:before="100" w:beforeAutospacing="1" w:after="240" w:afterAutospacing="0"/>
        <w:jc w:val="left"/>
        <w:rPr>
          <w:rFonts w:hint="eastAsia" w:ascii="宋体" w:hAnsi="宋体" w:eastAsia="宋体" w:cs="宋体"/>
          <w:color w:val="auto"/>
          <w:kern w:val="0"/>
          <w:sz w:val="21"/>
          <w:szCs w:val="21"/>
          <w:highlight w:val="none"/>
          <w:lang w:val="en-US" w:eastAsia="zh-CN" w:bidi="ar-SA"/>
        </w:rPr>
      </w:pPr>
    </w:p>
    <w:p w14:paraId="2B5D3966">
      <w:pPr>
        <w:widowControl/>
        <w:spacing w:before="100" w:beforeAutospacing="1" w:after="240" w:afterAutospacing="0"/>
        <w:jc w:val="left"/>
        <w:rPr>
          <w:rFonts w:hint="eastAsia" w:ascii="宋体" w:hAnsi="宋体" w:eastAsia="宋体" w:cs="宋体"/>
          <w:color w:val="auto"/>
          <w:kern w:val="0"/>
          <w:sz w:val="21"/>
          <w:szCs w:val="21"/>
          <w:highlight w:val="none"/>
          <w:lang w:val="en-US" w:eastAsia="zh-CN" w:bidi="ar-SA"/>
        </w:rPr>
      </w:pPr>
    </w:p>
    <w:p w14:paraId="398888D9">
      <w:pPr>
        <w:widowControl/>
        <w:spacing w:before="100" w:beforeAutospacing="1" w:after="240" w:afterAutospacing="0"/>
        <w:jc w:val="left"/>
        <w:rPr>
          <w:rFonts w:hint="eastAsia" w:ascii="宋体" w:hAnsi="宋体" w:eastAsia="宋体" w:cs="宋体"/>
          <w:color w:val="auto"/>
          <w:kern w:val="0"/>
          <w:sz w:val="21"/>
          <w:szCs w:val="21"/>
          <w:highlight w:val="none"/>
          <w:lang w:val="en-US" w:eastAsia="zh-CN" w:bidi="ar-SA"/>
        </w:rPr>
      </w:pPr>
    </w:p>
    <w:p w14:paraId="6FB54CD6">
      <w:pPr>
        <w:widowControl/>
        <w:spacing w:before="100" w:beforeAutospacing="1" w:after="100" w:afterAutospacing="1"/>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color w:val="auto"/>
          <w:kern w:val="2"/>
          <w:sz w:val="21"/>
          <w:szCs w:val="21"/>
          <w:highlight w:val="none"/>
          <w:lang w:val="en-US" w:eastAsia="zh-CN" w:bidi="ar-SA"/>
        </w:rPr>
        <w:t>二-5联合体协议（若有）</w:t>
      </w:r>
    </w:p>
    <w:p w14:paraId="0F916501">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 </w:t>
      </w:r>
    </w:p>
    <w:p w14:paraId="0168B4A7">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致：</w:t>
      </w:r>
      <w:r>
        <w:rPr>
          <w:rFonts w:hint="eastAsia" w:ascii="宋体" w:hAnsi="宋体" w:eastAsia="宋体" w:cs="宋体"/>
          <w:color w:val="auto"/>
          <w:kern w:val="0"/>
          <w:sz w:val="21"/>
          <w:szCs w:val="21"/>
          <w:highlight w:val="none"/>
          <w:u w:val="single"/>
          <w:lang w:val="en-US" w:eastAsia="zh-CN" w:bidi="ar-SA"/>
        </w:rPr>
        <w:t>           （采购人或采购代理机构） </w:t>
      </w:r>
    </w:p>
    <w:p w14:paraId="2221C823">
      <w:pPr>
        <w:widowControl/>
        <w:spacing w:before="100" w:beforeAutospacing="1" w:after="100" w:afterAutospacing="1"/>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兹有</w:t>
      </w:r>
      <w:r>
        <w:rPr>
          <w:rFonts w:hint="eastAsia" w:ascii="宋体" w:hAnsi="宋体" w:eastAsia="宋体" w:cs="宋体"/>
          <w:color w:val="auto"/>
          <w:kern w:val="0"/>
          <w:sz w:val="21"/>
          <w:szCs w:val="21"/>
          <w:highlight w:val="none"/>
          <w:u w:val="single"/>
          <w:lang w:val="en-US" w:eastAsia="zh-CN" w:bidi="ar-SA"/>
        </w:rPr>
        <w:t>（填写“联合体中各方的全称”，各方的全称之间请用“、”分割）</w:t>
      </w:r>
      <w:r>
        <w:rPr>
          <w:rFonts w:hint="eastAsia" w:ascii="宋体" w:hAnsi="宋体" w:eastAsia="宋体" w:cs="宋体"/>
          <w:color w:val="auto"/>
          <w:kern w:val="0"/>
          <w:sz w:val="21"/>
          <w:szCs w:val="21"/>
          <w:highlight w:val="none"/>
          <w:lang w:val="en-US" w:eastAsia="zh-CN" w:bidi="ar-SA"/>
        </w:rPr>
        <w:t>自愿组成联合体，共同参加</w:t>
      </w:r>
      <w:r>
        <w:rPr>
          <w:rFonts w:hint="eastAsia" w:ascii="宋体" w:hAnsi="宋体" w:eastAsia="宋体" w:cs="宋体"/>
          <w:color w:val="auto"/>
          <w:kern w:val="0"/>
          <w:sz w:val="21"/>
          <w:szCs w:val="21"/>
          <w:highlight w:val="none"/>
          <w:u w:val="single"/>
          <w:lang w:val="en-US" w:eastAsia="zh-CN" w:bidi="ar-SA"/>
        </w:rPr>
        <w:t xml:space="preserve">（填写“项目名称”） </w:t>
      </w:r>
      <w:r>
        <w:rPr>
          <w:rFonts w:hint="eastAsia" w:ascii="宋体" w:hAnsi="宋体" w:eastAsia="宋体" w:cs="宋体"/>
          <w:color w:val="auto"/>
          <w:kern w:val="0"/>
          <w:sz w:val="21"/>
          <w:szCs w:val="21"/>
          <w:highlight w:val="none"/>
          <w:lang w:val="en-US" w:eastAsia="zh-CN" w:bidi="ar-SA"/>
        </w:rPr>
        <w:t>项目（项目编号：</w:t>
      </w:r>
      <w:r>
        <w:rPr>
          <w:rFonts w:hint="eastAsia" w:ascii="宋体" w:hAnsi="宋体" w:eastAsia="宋体" w:cs="宋体"/>
          <w:color w:val="auto"/>
          <w:kern w:val="0"/>
          <w:sz w:val="21"/>
          <w:szCs w:val="21"/>
          <w:highlight w:val="none"/>
          <w:u w:val="single"/>
          <w:lang w:val="en-US" w:eastAsia="zh-CN" w:bidi="ar-SA"/>
        </w:rPr>
        <w:t>         </w:t>
      </w:r>
      <w:r>
        <w:rPr>
          <w:rFonts w:hint="eastAsia" w:ascii="宋体" w:hAnsi="宋体" w:eastAsia="宋体" w:cs="宋体"/>
          <w:color w:val="auto"/>
          <w:kern w:val="0"/>
          <w:sz w:val="21"/>
          <w:szCs w:val="21"/>
          <w:highlight w:val="none"/>
          <w:lang w:val="en-US" w:eastAsia="zh-CN" w:bidi="ar-SA"/>
        </w:rPr>
        <w:t>）的投标。现就联合体参加本项目投标的有关事宜达成下列协议：</w:t>
      </w:r>
    </w:p>
    <w:p w14:paraId="0C8B098F">
      <w:pPr>
        <w:widowControl/>
        <w:spacing w:before="100" w:beforeAutospacing="1" w:after="100" w:afterAutospacing="1"/>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一、联合体各方应承担的工作和义务具体如下：</w:t>
      </w:r>
    </w:p>
    <w:p w14:paraId="1A413764">
      <w:pPr>
        <w:widowControl/>
        <w:spacing w:before="100" w:beforeAutospacing="1" w:after="100" w:afterAutospacing="1"/>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1、牵头方（</w:t>
      </w:r>
      <w:r>
        <w:rPr>
          <w:rFonts w:hint="eastAsia" w:ascii="宋体" w:hAnsi="宋体" w:eastAsia="宋体" w:cs="宋体"/>
          <w:color w:val="auto"/>
          <w:kern w:val="0"/>
          <w:sz w:val="21"/>
          <w:szCs w:val="21"/>
          <w:highlight w:val="none"/>
          <w:u w:val="single"/>
          <w:lang w:val="en-US" w:eastAsia="zh-CN" w:bidi="ar-SA"/>
        </w:rPr>
        <w:t>全称</w:t>
      </w:r>
      <w:r>
        <w:rPr>
          <w:rFonts w:hint="eastAsia" w:ascii="宋体" w:hAnsi="宋体" w:eastAsia="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u w:val="single"/>
          <w:lang w:val="en-US" w:eastAsia="zh-CN" w:bidi="ar-SA"/>
        </w:rPr>
        <w:t xml:space="preserve"> （填写“工作及义务的具体内容”） </w:t>
      </w:r>
      <w:r>
        <w:rPr>
          <w:rFonts w:hint="eastAsia" w:ascii="宋体" w:hAnsi="宋体" w:eastAsia="宋体" w:cs="宋体"/>
          <w:color w:val="auto"/>
          <w:kern w:val="0"/>
          <w:sz w:val="21"/>
          <w:szCs w:val="21"/>
          <w:highlight w:val="none"/>
          <w:lang w:val="en-US" w:eastAsia="zh-CN" w:bidi="ar-SA"/>
        </w:rPr>
        <w:t>；</w:t>
      </w:r>
    </w:p>
    <w:p w14:paraId="0047662F">
      <w:pPr>
        <w:widowControl/>
        <w:spacing w:before="100" w:beforeAutospacing="1" w:after="100" w:afterAutospacing="1"/>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2、成员方：</w:t>
      </w:r>
    </w:p>
    <w:p w14:paraId="0B058560">
      <w:pPr>
        <w:widowControl/>
        <w:spacing w:before="100" w:beforeAutospacing="1" w:after="100" w:afterAutospacing="1"/>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2.1</w:t>
      </w:r>
      <w:r>
        <w:rPr>
          <w:rFonts w:hint="eastAsia" w:ascii="宋体" w:hAnsi="宋体" w:eastAsia="宋体" w:cs="宋体"/>
          <w:color w:val="auto"/>
          <w:kern w:val="0"/>
          <w:sz w:val="21"/>
          <w:szCs w:val="21"/>
          <w:highlight w:val="none"/>
          <w:u w:val="single"/>
          <w:lang w:val="en-US" w:eastAsia="zh-CN" w:bidi="ar-SA"/>
        </w:rPr>
        <w:t>（成员一的全称）</w:t>
      </w:r>
      <w:r>
        <w:rPr>
          <w:rFonts w:hint="eastAsia" w:ascii="宋体" w:hAnsi="宋体" w:eastAsia="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u w:val="single"/>
          <w:lang w:val="en-US" w:eastAsia="zh-CN" w:bidi="ar-SA"/>
        </w:rPr>
        <w:t xml:space="preserve"> （填写“工作及义务的具体内容”） </w:t>
      </w:r>
      <w:r>
        <w:rPr>
          <w:rFonts w:hint="eastAsia" w:ascii="宋体" w:hAnsi="宋体" w:eastAsia="宋体" w:cs="宋体"/>
          <w:color w:val="auto"/>
          <w:kern w:val="0"/>
          <w:sz w:val="21"/>
          <w:szCs w:val="21"/>
          <w:highlight w:val="none"/>
          <w:lang w:val="en-US" w:eastAsia="zh-CN" w:bidi="ar-SA"/>
        </w:rPr>
        <w:t>；</w:t>
      </w:r>
    </w:p>
    <w:p w14:paraId="32F2AADB">
      <w:pPr>
        <w:widowControl/>
        <w:spacing w:before="100" w:beforeAutospacing="1" w:after="100" w:afterAutospacing="1"/>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w:t>
      </w:r>
    </w:p>
    <w:p w14:paraId="2A6EB376">
      <w:pPr>
        <w:widowControl/>
        <w:spacing w:before="75" w:beforeAutospacing="0" w:after="75" w:afterAutospacing="0" w:line="360" w:lineRule="auto"/>
        <w:ind w:firstLine="435"/>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二、联合体各方的合同金额占比，具体如下：</w:t>
      </w:r>
    </w:p>
    <w:p w14:paraId="2F35D14B">
      <w:pPr>
        <w:widowControl/>
        <w:spacing w:before="100" w:beforeAutospacing="1" w:after="100" w:afterAutospacing="1" w:line="360" w:lineRule="auto"/>
        <w:ind w:firstLine="435"/>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1.牵头方（</w:t>
      </w:r>
      <w:r>
        <w:rPr>
          <w:rFonts w:hint="eastAsia" w:ascii="宋体" w:hAnsi="宋体" w:eastAsia="宋体" w:cs="宋体"/>
          <w:color w:val="auto"/>
          <w:kern w:val="0"/>
          <w:sz w:val="21"/>
          <w:szCs w:val="21"/>
          <w:highlight w:val="none"/>
          <w:u w:val="single"/>
          <w:lang w:val="en-US" w:eastAsia="zh-CN" w:bidi="ar-SA"/>
        </w:rPr>
        <w:t xml:space="preserve">  全称 </w:t>
      </w:r>
      <w:r>
        <w:rPr>
          <w:rFonts w:hint="eastAsia" w:ascii="宋体" w:hAnsi="宋体" w:eastAsia="宋体" w:cs="宋体"/>
          <w:color w:val="auto"/>
          <w:kern w:val="0"/>
          <w:sz w:val="21"/>
          <w:szCs w:val="21"/>
          <w:highlight w:val="none"/>
          <w:lang w:val="en-US" w:eastAsia="zh-CN" w:bidi="ar-SA"/>
        </w:rPr>
        <w:t>）的合同金额占合同总额的＿%；</w:t>
      </w:r>
    </w:p>
    <w:p w14:paraId="0B9EF572">
      <w:pPr>
        <w:widowControl/>
        <w:spacing w:before="100" w:beforeAutospacing="1" w:after="100" w:afterAutospacing="1" w:line="360" w:lineRule="auto"/>
        <w:ind w:firstLine="435"/>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2.成员方：</w:t>
      </w:r>
    </w:p>
    <w:p w14:paraId="6646E2CB">
      <w:pPr>
        <w:widowControl/>
        <w:spacing w:before="100" w:beforeAutospacing="1" w:after="100" w:afterAutospacing="1" w:line="360" w:lineRule="auto"/>
        <w:ind w:firstLine="435"/>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2.1（</w:t>
      </w:r>
      <w:r>
        <w:rPr>
          <w:rFonts w:hint="eastAsia" w:ascii="宋体" w:hAnsi="宋体" w:eastAsia="宋体" w:cs="宋体"/>
          <w:color w:val="auto"/>
          <w:kern w:val="0"/>
          <w:sz w:val="21"/>
          <w:szCs w:val="21"/>
          <w:highlight w:val="none"/>
          <w:u w:val="single"/>
          <w:lang w:val="en-US" w:eastAsia="zh-CN" w:bidi="ar-SA"/>
        </w:rPr>
        <w:t xml:space="preserve"> 成员1的全称 </w:t>
      </w:r>
      <w:r>
        <w:rPr>
          <w:rFonts w:hint="eastAsia" w:ascii="宋体" w:hAnsi="宋体" w:eastAsia="宋体" w:cs="宋体"/>
          <w:color w:val="auto"/>
          <w:kern w:val="0"/>
          <w:sz w:val="21"/>
          <w:szCs w:val="21"/>
          <w:highlight w:val="none"/>
          <w:lang w:val="en-US" w:eastAsia="zh-CN" w:bidi="ar-SA"/>
        </w:rPr>
        <w:t>）的合同金额占合同总额的＿%；</w:t>
      </w:r>
    </w:p>
    <w:p w14:paraId="0891FFE0">
      <w:pPr>
        <w:widowControl/>
        <w:spacing w:before="75" w:beforeAutospacing="0" w:after="75" w:afterAutospacing="0" w:line="360" w:lineRule="auto"/>
        <w:ind w:firstLine="435"/>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w:t>
      </w:r>
    </w:p>
    <w:p w14:paraId="51189AAE">
      <w:pPr>
        <w:widowControl/>
        <w:spacing w:before="100" w:beforeAutospacing="1" w:after="100" w:afterAutospacing="1"/>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三、联合体各方约定：</w:t>
      </w:r>
    </w:p>
    <w:p w14:paraId="632CD358">
      <w:pPr>
        <w:widowControl/>
        <w:spacing w:before="100" w:beforeAutospacing="1" w:after="100" w:afterAutospacing="1"/>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1、由</w:t>
      </w:r>
      <w:r>
        <w:rPr>
          <w:rFonts w:hint="eastAsia" w:ascii="宋体" w:hAnsi="宋体" w:eastAsia="宋体" w:cs="宋体"/>
          <w:color w:val="auto"/>
          <w:kern w:val="0"/>
          <w:sz w:val="21"/>
          <w:szCs w:val="21"/>
          <w:highlight w:val="none"/>
          <w:u w:val="single"/>
          <w:lang w:val="en-US" w:eastAsia="zh-CN" w:bidi="ar-SA"/>
        </w:rPr>
        <w:t>（填写“牵头方的全称”）</w:t>
      </w:r>
      <w:r>
        <w:rPr>
          <w:rFonts w:hint="eastAsia" w:ascii="宋体" w:hAnsi="宋体" w:eastAsia="宋体" w:cs="宋体"/>
          <w:color w:val="auto"/>
          <w:kern w:val="0"/>
          <w:sz w:val="21"/>
          <w:szCs w:val="21"/>
          <w:highlight w:val="none"/>
          <w:lang w:val="en-US" w:eastAsia="zh-CN" w:bidi="ar-SA"/>
        </w:rPr>
        <w:t>代表联合体办理参加本项目投标的有关事宜（包括但不限于：注册账号、派出投标人代表、提交投标文件及参加开标、谈判、澄清等），在此过程中，投标人代表签字的一切文件和处理结果，联合体均予以认可并对此承担责任。</w:t>
      </w:r>
    </w:p>
    <w:p w14:paraId="45CE8298">
      <w:pPr>
        <w:widowControl/>
        <w:spacing w:before="100" w:beforeAutospacing="1" w:after="100" w:afterAutospacing="1"/>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2、联合体各方约定由</w:t>
      </w:r>
      <w:r>
        <w:rPr>
          <w:rFonts w:hint="eastAsia" w:ascii="宋体" w:hAnsi="宋体" w:eastAsia="宋体" w:cs="宋体"/>
          <w:color w:val="auto"/>
          <w:kern w:val="0"/>
          <w:sz w:val="21"/>
          <w:szCs w:val="21"/>
          <w:highlight w:val="none"/>
          <w:u w:val="single"/>
          <w:lang w:val="en-US" w:eastAsia="zh-CN" w:bidi="ar-SA"/>
        </w:rPr>
        <w:t>（填写“牵头方的全称”）</w:t>
      </w:r>
      <w:r>
        <w:rPr>
          <w:rFonts w:hint="eastAsia" w:ascii="宋体" w:hAnsi="宋体" w:eastAsia="宋体" w:cs="宋体"/>
          <w:color w:val="auto"/>
          <w:kern w:val="0"/>
          <w:sz w:val="21"/>
          <w:szCs w:val="21"/>
          <w:highlight w:val="none"/>
          <w:lang w:val="en-US" w:eastAsia="zh-CN" w:bidi="ar-SA"/>
        </w:rPr>
        <w:t>代表联合体办理投标保证金事宜。</w:t>
      </w:r>
    </w:p>
    <w:p w14:paraId="2318AFE1">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  3、根据福建省财政厅文件（闽财购[2008]10号）的规定，若本项目采用综合评分法，则联合体只能确定由其中一方的条件参与商务部分的评标。因此，联合体各方约定以</w:t>
      </w:r>
      <w:r>
        <w:rPr>
          <w:rFonts w:hint="eastAsia" w:ascii="宋体" w:hAnsi="宋体" w:eastAsia="宋体" w:cs="宋体"/>
          <w:color w:val="auto"/>
          <w:kern w:val="0"/>
          <w:sz w:val="21"/>
          <w:szCs w:val="21"/>
          <w:highlight w:val="none"/>
          <w:u w:val="single"/>
          <w:lang w:val="en-US" w:eastAsia="zh-CN" w:bidi="ar-SA"/>
        </w:rPr>
        <w:t>（应填写“其中一方的全称”，如：联合体确定以成员一的条件参与商务部分的评标，则填写“成员一的全称”…；否则填写“无”）</w:t>
      </w:r>
      <w:r>
        <w:rPr>
          <w:rFonts w:hint="eastAsia" w:ascii="宋体" w:hAnsi="宋体" w:eastAsia="宋体" w:cs="宋体"/>
          <w:color w:val="auto"/>
          <w:kern w:val="0"/>
          <w:sz w:val="21"/>
          <w:szCs w:val="21"/>
          <w:highlight w:val="none"/>
          <w:lang w:val="en-US" w:eastAsia="zh-CN" w:bidi="ar-SA"/>
        </w:rPr>
        <w:t>的条件参与商务部分的评标。</w:t>
      </w:r>
    </w:p>
    <w:p w14:paraId="415605BA">
      <w:pPr>
        <w:widowControl/>
        <w:spacing w:before="100" w:beforeAutospacing="1" w:after="100" w:afterAutospacing="1"/>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四、若中标，牵头方将代表联合体与采购人就合同签订事宜进行协商；若协商一致，则联合体各方将共同与采购人签订政府采购合同，并就政府采购合同约定的事项对采购人承担连带责任。</w:t>
      </w:r>
    </w:p>
    <w:p w14:paraId="21F68E06">
      <w:pPr>
        <w:widowControl/>
        <w:spacing w:before="100" w:beforeAutospacing="1" w:after="100" w:afterAutospacing="1"/>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五、本协议自签署之日起生效，政府采购合同履行完毕后自动失效。</w:t>
      </w:r>
    </w:p>
    <w:p w14:paraId="765578B2">
      <w:pPr>
        <w:widowControl/>
        <w:spacing w:before="100" w:beforeAutospacing="1" w:after="100" w:afterAutospacing="1"/>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六、本协议一式</w:t>
      </w:r>
      <w:r>
        <w:rPr>
          <w:rFonts w:hint="eastAsia" w:ascii="宋体" w:hAnsi="宋体" w:eastAsia="宋体" w:cs="宋体"/>
          <w:color w:val="auto"/>
          <w:kern w:val="0"/>
          <w:sz w:val="21"/>
          <w:szCs w:val="21"/>
          <w:highlight w:val="none"/>
          <w:u w:val="single"/>
          <w:lang w:val="en-US" w:eastAsia="zh-CN" w:bidi="ar-SA"/>
        </w:rPr>
        <w:t>（填写具体份数）</w:t>
      </w:r>
      <w:r>
        <w:rPr>
          <w:rFonts w:hint="eastAsia" w:ascii="宋体" w:hAnsi="宋体" w:eastAsia="宋体" w:cs="宋体"/>
          <w:color w:val="auto"/>
          <w:kern w:val="0"/>
          <w:sz w:val="21"/>
          <w:szCs w:val="21"/>
          <w:highlight w:val="none"/>
          <w:lang w:val="en-US" w:eastAsia="zh-CN" w:bidi="ar-SA"/>
        </w:rPr>
        <w:t>份，联合体各方各执一份，投标文件中提交一份。</w:t>
      </w:r>
    </w:p>
    <w:p w14:paraId="1D9E185E">
      <w:pPr>
        <w:widowControl/>
        <w:spacing w:before="100" w:beforeAutospacing="1" w:after="100" w:afterAutospacing="1"/>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（以下无正文）</w:t>
      </w:r>
    </w:p>
    <w:p w14:paraId="77546478">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牵头方：</w:t>
      </w:r>
      <w:r>
        <w:rPr>
          <w:rFonts w:hint="eastAsia" w:ascii="宋体" w:hAnsi="宋体" w:eastAsia="宋体" w:cs="宋体"/>
          <w:color w:val="auto"/>
          <w:kern w:val="0"/>
          <w:sz w:val="21"/>
          <w:szCs w:val="21"/>
          <w:highlight w:val="none"/>
          <w:u w:val="single"/>
          <w:lang w:val="en-US" w:eastAsia="zh-CN" w:bidi="ar-SA"/>
        </w:rPr>
        <w:t>（全称并加盖单位公章）</w:t>
      </w:r>
    </w:p>
    <w:p w14:paraId="0EA20A36">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法定代表人或其委托代理人：</w:t>
      </w:r>
      <w:r>
        <w:rPr>
          <w:rFonts w:hint="eastAsia" w:ascii="宋体" w:hAnsi="宋体" w:eastAsia="宋体" w:cs="宋体"/>
          <w:color w:val="auto"/>
          <w:kern w:val="0"/>
          <w:sz w:val="21"/>
          <w:szCs w:val="21"/>
          <w:highlight w:val="none"/>
          <w:u w:val="single"/>
          <w:lang w:val="en-US" w:eastAsia="zh-CN" w:bidi="ar-SA"/>
        </w:rPr>
        <w:t>  （签字或盖章）  </w:t>
      </w:r>
      <w:r>
        <w:rPr>
          <w:rFonts w:hint="eastAsia" w:ascii="宋体" w:hAnsi="宋体" w:eastAsia="宋体" w:cs="宋体"/>
          <w:color w:val="auto"/>
          <w:kern w:val="0"/>
          <w:sz w:val="21"/>
          <w:szCs w:val="21"/>
          <w:highlight w:val="none"/>
          <w:lang w:val="en-US" w:eastAsia="zh-CN" w:bidi="ar-SA"/>
        </w:rPr>
        <w:t> </w:t>
      </w:r>
    </w:p>
    <w:p w14:paraId="39F6C953">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成员一：</w:t>
      </w:r>
      <w:r>
        <w:rPr>
          <w:rFonts w:hint="eastAsia" w:ascii="宋体" w:hAnsi="宋体" w:eastAsia="宋体" w:cs="宋体"/>
          <w:color w:val="auto"/>
          <w:kern w:val="0"/>
          <w:sz w:val="21"/>
          <w:szCs w:val="21"/>
          <w:highlight w:val="none"/>
          <w:u w:val="single"/>
          <w:lang w:val="en-US" w:eastAsia="zh-CN" w:bidi="ar-SA"/>
        </w:rPr>
        <w:t>（全称并加盖成员一的单位公章）</w:t>
      </w:r>
    </w:p>
    <w:p w14:paraId="1A28E4B6">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法定代表人或其委托代理人：</w:t>
      </w:r>
      <w:r>
        <w:rPr>
          <w:rFonts w:hint="eastAsia" w:ascii="宋体" w:hAnsi="宋体" w:eastAsia="宋体" w:cs="宋体"/>
          <w:color w:val="auto"/>
          <w:kern w:val="0"/>
          <w:sz w:val="21"/>
          <w:szCs w:val="21"/>
          <w:highlight w:val="none"/>
          <w:u w:val="single"/>
          <w:lang w:val="en-US" w:eastAsia="zh-CN" w:bidi="ar-SA"/>
        </w:rPr>
        <w:t>  （签字或盖章）  </w:t>
      </w:r>
    </w:p>
    <w:p w14:paraId="25A8E570">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w:t>
      </w:r>
    </w:p>
    <w:p w14:paraId="244595D8">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成员**：</w:t>
      </w:r>
      <w:r>
        <w:rPr>
          <w:rFonts w:hint="eastAsia" w:ascii="宋体" w:hAnsi="宋体" w:eastAsia="宋体" w:cs="宋体"/>
          <w:color w:val="auto"/>
          <w:kern w:val="0"/>
          <w:sz w:val="21"/>
          <w:szCs w:val="21"/>
          <w:highlight w:val="none"/>
          <w:u w:val="single"/>
          <w:lang w:val="en-US" w:eastAsia="zh-CN" w:bidi="ar-SA"/>
        </w:rPr>
        <w:t>（全称并加盖成员**的单位公章）</w:t>
      </w:r>
    </w:p>
    <w:p w14:paraId="29167920">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法定代表人或其委托代理人：</w:t>
      </w:r>
      <w:r>
        <w:rPr>
          <w:rFonts w:hint="eastAsia" w:ascii="宋体" w:hAnsi="宋体" w:eastAsia="宋体" w:cs="宋体"/>
          <w:color w:val="auto"/>
          <w:kern w:val="0"/>
          <w:sz w:val="21"/>
          <w:szCs w:val="21"/>
          <w:highlight w:val="none"/>
          <w:u w:val="single"/>
          <w:lang w:val="en-US" w:eastAsia="zh-CN" w:bidi="ar-SA"/>
        </w:rPr>
        <w:t>  （签字或盖章）  </w:t>
      </w:r>
    </w:p>
    <w:p w14:paraId="71D88CE8">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 </w:t>
      </w:r>
    </w:p>
    <w:p w14:paraId="67B5CB15">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 </w:t>
      </w:r>
    </w:p>
    <w:p w14:paraId="16B61AB5">
      <w:pPr>
        <w:widowControl/>
        <w:spacing w:before="100" w:beforeAutospacing="1" w:after="100" w:afterAutospacing="1"/>
        <w:jc w:val="righ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签署日期：</w:t>
      </w:r>
      <w:r>
        <w:rPr>
          <w:rFonts w:hint="eastAsia" w:ascii="宋体" w:hAnsi="宋体" w:eastAsia="宋体" w:cs="宋体"/>
          <w:color w:val="auto"/>
          <w:kern w:val="0"/>
          <w:sz w:val="21"/>
          <w:szCs w:val="21"/>
          <w:highlight w:val="none"/>
          <w:u w:val="single"/>
          <w:lang w:val="en-US" w:eastAsia="zh-CN" w:bidi="ar-SA"/>
        </w:rPr>
        <w:t>    </w:t>
      </w:r>
      <w:r>
        <w:rPr>
          <w:rFonts w:hint="eastAsia" w:ascii="宋体" w:hAnsi="宋体" w:eastAsia="宋体" w:cs="宋体"/>
          <w:color w:val="auto"/>
          <w:kern w:val="0"/>
          <w:sz w:val="21"/>
          <w:szCs w:val="21"/>
          <w:highlight w:val="none"/>
          <w:lang w:val="en-US" w:eastAsia="zh-CN" w:bidi="ar-SA"/>
        </w:rPr>
        <w:t>年</w:t>
      </w:r>
      <w:r>
        <w:rPr>
          <w:rFonts w:hint="eastAsia" w:ascii="宋体" w:hAnsi="宋体" w:eastAsia="宋体" w:cs="宋体"/>
          <w:color w:val="auto"/>
          <w:kern w:val="0"/>
          <w:sz w:val="21"/>
          <w:szCs w:val="21"/>
          <w:highlight w:val="none"/>
          <w:u w:val="single"/>
          <w:lang w:val="en-US" w:eastAsia="zh-CN" w:bidi="ar-SA"/>
        </w:rPr>
        <w:t>   </w:t>
      </w:r>
      <w:r>
        <w:rPr>
          <w:rFonts w:hint="eastAsia" w:ascii="宋体" w:hAnsi="宋体" w:eastAsia="宋体" w:cs="宋体"/>
          <w:color w:val="auto"/>
          <w:kern w:val="0"/>
          <w:sz w:val="21"/>
          <w:szCs w:val="21"/>
          <w:highlight w:val="none"/>
          <w:lang w:val="en-US" w:eastAsia="zh-CN" w:bidi="ar-SA"/>
        </w:rPr>
        <w:t>月</w:t>
      </w:r>
      <w:r>
        <w:rPr>
          <w:rFonts w:hint="eastAsia" w:ascii="宋体" w:hAnsi="宋体" w:eastAsia="宋体" w:cs="宋体"/>
          <w:color w:val="auto"/>
          <w:kern w:val="0"/>
          <w:sz w:val="21"/>
          <w:szCs w:val="21"/>
          <w:highlight w:val="none"/>
          <w:u w:val="single"/>
          <w:lang w:val="en-US" w:eastAsia="zh-CN" w:bidi="ar-SA"/>
        </w:rPr>
        <w:t>   </w:t>
      </w:r>
      <w:r>
        <w:rPr>
          <w:rFonts w:hint="eastAsia" w:ascii="宋体" w:hAnsi="宋体" w:eastAsia="宋体" w:cs="宋体"/>
          <w:color w:val="auto"/>
          <w:kern w:val="0"/>
          <w:sz w:val="21"/>
          <w:szCs w:val="21"/>
          <w:highlight w:val="none"/>
          <w:lang w:val="en-US" w:eastAsia="zh-CN" w:bidi="ar-SA"/>
        </w:rPr>
        <w:t>日</w:t>
      </w:r>
    </w:p>
    <w:p w14:paraId="7C334806">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 </w:t>
      </w:r>
    </w:p>
    <w:p w14:paraId="5907B1C0">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※注意：</w:t>
      </w:r>
    </w:p>
    <w:p w14:paraId="070DD232">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1、招标文件接受联合体投标且投标人为联合体的，投标人应提供本协议；否则无须提供。</w:t>
      </w:r>
    </w:p>
    <w:p w14:paraId="50BDAEC3">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2、本协议由委托代理人签字或盖章的，应按照本章载明的格式提供“单位授权书”。</w:t>
      </w:r>
    </w:p>
    <w:p w14:paraId="5D9BCE7B">
      <w:pPr>
        <w:widowControl/>
        <w:spacing w:before="75" w:beforeAutospacing="0" w:after="75" w:afterAutospacing="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3、在以联合体形式落实中小企业预留份额项目中，投标人除了要提供《中小企业声明函》，还需提供本协议。 </w:t>
      </w:r>
    </w:p>
    <w:p w14:paraId="7C6B047F">
      <w:pPr>
        <w:widowControl/>
        <w:spacing w:before="100" w:beforeAutospacing="1" w:after="100" w:afterAutospacing="1"/>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w:t>
      </w:r>
    </w:p>
    <w:p w14:paraId="57691BBD">
      <w:pPr>
        <w:widowControl/>
        <w:spacing w:before="100" w:beforeAutospacing="1" w:after="100" w:afterAutospacing="1"/>
        <w:jc w:val="left"/>
        <w:rPr>
          <w:rFonts w:hint="eastAsia" w:ascii="宋体" w:hAnsi="宋体" w:eastAsia="宋体" w:cs="宋体"/>
          <w:color w:val="auto"/>
          <w:kern w:val="0"/>
          <w:sz w:val="21"/>
          <w:szCs w:val="21"/>
          <w:highlight w:val="none"/>
          <w:lang w:val="en-US" w:eastAsia="zh-CN" w:bidi="ar-SA"/>
        </w:rPr>
      </w:pPr>
    </w:p>
    <w:p w14:paraId="209C8DA3">
      <w:pPr>
        <w:widowControl/>
        <w:spacing w:before="100" w:beforeAutospacing="1" w:after="100" w:afterAutospacing="1"/>
        <w:jc w:val="left"/>
        <w:rPr>
          <w:rFonts w:hint="eastAsia" w:ascii="宋体" w:hAnsi="宋体" w:eastAsia="宋体" w:cs="宋体"/>
          <w:color w:val="auto"/>
          <w:kern w:val="0"/>
          <w:sz w:val="21"/>
          <w:szCs w:val="21"/>
          <w:highlight w:val="none"/>
          <w:lang w:val="en-US" w:eastAsia="zh-CN" w:bidi="ar-SA"/>
        </w:rPr>
      </w:pPr>
    </w:p>
    <w:p w14:paraId="1AE07E03">
      <w:pPr>
        <w:widowControl/>
        <w:spacing w:before="100" w:beforeAutospacing="1" w:after="100" w:afterAutospacing="1"/>
        <w:jc w:val="left"/>
        <w:rPr>
          <w:rFonts w:hint="eastAsia" w:ascii="宋体" w:hAnsi="宋体" w:eastAsia="宋体" w:cs="宋体"/>
          <w:color w:val="auto"/>
          <w:kern w:val="0"/>
          <w:sz w:val="21"/>
          <w:szCs w:val="21"/>
          <w:highlight w:val="none"/>
          <w:lang w:val="en-US" w:eastAsia="zh-CN" w:bidi="ar-SA"/>
        </w:rPr>
      </w:pPr>
    </w:p>
    <w:p w14:paraId="1CA7DCA1">
      <w:pPr>
        <w:widowControl/>
        <w:spacing w:before="100" w:beforeAutospacing="1" w:after="240" w:afterAutospacing="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color w:val="auto"/>
          <w:kern w:val="2"/>
          <w:sz w:val="21"/>
          <w:szCs w:val="24"/>
          <w:highlight w:val="none"/>
          <w:lang w:val="en-US" w:eastAsia="zh-CN" w:bidi="ar-SA"/>
        </w:rPr>
        <w:t>二-6分包意向协议（若有）</w:t>
      </w:r>
    </w:p>
    <w:p w14:paraId="3CCF015B">
      <w:pPr>
        <w:widowControl/>
        <w:spacing w:before="100" w:beforeAutospacing="1" w:after="100" w:afterAutospacing="1" w:line="435" w:lineRule="atLeast"/>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甲方（总包方）：</w:t>
      </w:r>
      <w:r>
        <w:rPr>
          <w:rFonts w:hint="eastAsia" w:ascii="宋体" w:hAnsi="宋体" w:eastAsia="宋体" w:cs="宋体"/>
          <w:color w:val="auto"/>
          <w:kern w:val="0"/>
          <w:sz w:val="21"/>
          <w:szCs w:val="21"/>
          <w:highlight w:val="none"/>
          <w:u w:val="single"/>
          <w:lang w:val="en-US" w:eastAsia="zh-CN" w:bidi="ar-SA"/>
        </w:rPr>
        <w:t>                    </w:t>
      </w:r>
      <w:r>
        <w:rPr>
          <w:rFonts w:hint="eastAsia" w:ascii="宋体" w:hAnsi="宋体" w:eastAsia="宋体" w:cs="宋体"/>
          <w:color w:val="auto"/>
          <w:kern w:val="0"/>
          <w:sz w:val="24"/>
          <w:szCs w:val="24"/>
          <w:highlight w:val="none"/>
          <w:u w:val="single"/>
          <w:lang w:val="en-US" w:eastAsia="zh-CN" w:bidi="ar-SA"/>
        </w:rPr>
        <w:t>　</w:t>
      </w:r>
      <w:r>
        <w:rPr>
          <w:rFonts w:hint="eastAsia" w:ascii="宋体" w:hAnsi="宋体" w:eastAsia="宋体" w:cs="宋体"/>
          <w:color w:val="auto"/>
          <w:kern w:val="0"/>
          <w:sz w:val="21"/>
          <w:szCs w:val="21"/>
          <w:highlight w:val="none"/>
          <w:lang w:val="en-US" w:eastAsia="zh-CN" w:bidi="ar-SA"/>
        </w:rPr>
        <w:t>（即本项目的投标人）</w:t>
      </w:r>
    </w:p>
    <w:p w14:paraId="6E9532CA">
      <w:pPr>
        <w:widowControl/>
        <w:spacing w:before="75" w:beforeAutospacing="0" w:after="75" w:afterAutospacing="0" w:line="36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乙方（分包方）：</w:t>
      </w:r>
      <w:r>
        <w:rPr>
          <w:rFonts w:hint="eastAsia" w:ascii="宋体" w:hAnsi="宋体" w:eastAsia="宋体" w:cs="宋体"/>
          <w:color w:val="auto"/>
          <w:kern w:val="0"/>
          <w:sz w:val="21"/>
          <w:szCs w:val="21"/>
          <w:highlight w:val="none"/>
          <w:u w:val="single"/>
          <w:lang w:val="en-US" w:eastAsia="zh-CN" w:bidi="ar-SA"/>
        </w:rPr>
        <w:t>                     　　　　　　　    </w:t>
      </w:r>
    </w:p>
    <w:p w14:paraId="70D24BF3">
      <w:pPr>
        <w:widowControl/>
        <w:spacing w:before="75" w:beforeAutospacing="0" w:after="75" w:afterAutospacing="0" w:line="360" w:lineRule="auto"/>
        <w:ind w:firstLine="435"/>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兹有甲方参加</w:t>
      </w:r>
      <w:r>
        <w:rPr>
          <w:rFonts w:hint="eastAsia" w:ascii="宋体" w:hAnsi="宋体" w:eastAsia="宋体" w:cs="宋体"/>
          <w:color w:val="auto"/>
          <w:kern w:val="0"/>
          <w:sz w:val="21"/>
          <w:szCs w:val="21"/>
          <w:highlight w:val="none"/>
          <w:u w:val="single"/>
          <w:lang w:val="en-US" w:eastAsia="zh-CN" w:bidi="ar-SA"/>
        </w:rPr>
        <w:t xml:space="preserve">（填写“项目名称”） </w:t>
      </w:r>
      <w:r>
        <w:rPr>
          <w:rFonts w:hint="eastAsia" w:ascii="宋体" w:hAnsi="宋体" w:eastAsia="宋体" w:cs="宋体"/>
          <w:color w:val="auto"/>
          <w:kern w:val="0"/>
          <w:sz w:val="21"/>
          <w:szCs w:val="21"/>
          <w:highlight w:val="none"/>
          <w:lang w:val="en-US" w:eastAsia="zh-CN" w:bidi="ar-SA"/>
        </w:rPr>
        <w:t>项目（项目编号：</w:t>
      </w:r>
      <w:r>
        <w:rPr>
          <w:rFonts w:hint="eastAsia" w:ascii="宋体" w:hAnsi="宋体" w:eastAsia="宋体" w:cs="宋体"/>
          <w:color w:val="auto"/>
          <w:kern w:val="0"/>
          <w:sz w:val="21"/>
          <w:szCs w:val="21"/>
          <w:highlight w:val="none"/>
          <w:u w:val="single"/>
          <w:lang w:val="en-US" w:eastAsia="zh-CN" w:bidi="ar-SA"/>
        </w:rPr>
        <w:t>         </w:t>
      </w:r>
      <w:r>
        <w:rPr>
          <w:rFonts w:hint="eastAsia" w:ascii="宋体" w:hAnsi="宋体" w:eastAsia="宋体" w:cs="宋体"/>
          <w:color w:val="auto"/>
          <w:kern w:val="0"/>
          <w:sz w:val="21"/>
          <w:szCs w:val="21"/>
          <w:highlight w:val="none"/>
          <w:lang w:val="en-US" w:eastAsia="zh-CN" w:bidi="ar-SA"/>
        </w:rPr>
        <w:t>）的政府采购活动。甲方期望将采购项目的部分采购标的分包给乙方完成，而乙方保证能够向甲方提供本协议项下的采购标的，甲、乙双方就合同分包的有关事宜达成下列协议：</w:t>
      </w:r>
    </w:p>
    <w:p w14:paraId="1447BAFC">
      <w:pPr>
        <w:widowControl/>
        <w:spacing w:before="0" w:beforeAutospacing="0" w:after="0" w:afterAutospacing="0" w:line="360" w:lineRule="auto"/>
        <w:ind w:firstLine="48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color w:val="auto"/>
          <w:kern w:val="2"/>
          <w:sz w:val="21"/>
          <w:szCs w:val="21"/>
          <w:highlight w:val="none"/>
          <w:lang w:val="en-US" w:eastAsia="zh-CN" w:bidi="ar-SA"/>
        </w:rPr>
        <w:t>一、分包标的</w:t>
      </w:r>
    </w:p>
    <w:p w14:paraId="34D4BE10">
      <w:pPr>
        <w:widowControl/>
        <w:spacing w:before="0" w:beforeAutospacing="0" w:after="0" w:afterAutospacing="0" w:line="360" w:lineRule="auto"/>
        <w:ind w:firstLine="48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u w:val="single"/>
          <w:lang w:val="en-US" w:eastAsia="zh-CN" w:bidi="ar-SA"/>
        </w:rPr>
        <w:t>（根据双方的意向填写，可以是表格或文字描述）</w:t>
      </w:r>
      <w:r>
        <w:rPr>
          <w:rFonts w:hint="eastAsia" w:ascii="宋体" w:hAnsi="宋体" w:eastAsia="宋体" w:cs="宋体"/>
          <w:color w:val="auto"/>
          <w:kern w:val="0"/>
          <w:sz w:val="21"/>
          <w:szCs w:val="21"/>
          <w:highlight w:val="none"/>
          <w:lang w:val="en-US" w:eastAsia="zh-CN" w:bidi="ar-SA"/>
        </w:rPr>
        <w:t>。</w:t>
      </w:r>
    </w:p>
    <w:p w14:paraId="2F3CAD67">
      <w:pPr>
        <w:widowControl/>
        <w:spacing w:before="0" w:beforeAutospacing="0" w:after="0" w:afterAutospacing="0" w:line="360" w:lineRule="auto"/>
        <w:ind w:firstLine="48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color w:val="auto"/>
          <w:kern w:val="2"/>
          <w:sz w:val="21"/>
          <w:szCs w:val="21"/>
          <w:highlight w:val="none"/>
          <w:lang w:val="en-US" w:eastAsia="zh-CN" w:bidi="ar-SA"/>
        </w:rPr>
        <w:t>二、分包合同金额占比</w:t>
      </w:r>
    </w:p>
    <w:p w14:paraId="0A7AE524">
      <w:pPr>
        <w:widowControl/>
        <w:spacing w:before="0" w:beforeAutospacing="0" w:after="0" w:afterAutospacing="0" w:line="360" w:lineRule="auto"/>
        <w:ind w:firstLine="48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分包合同价占投标总价的比例：　　%</w:t>
      </w:r>
    </w:p>
    <w:p w14:paraId="7F1F8A63">
      <w:pPr>
        <w:widowControl/>
        <w:spacing w:before="0" w:beforeAutospacing="0" w:after="0" w:afterAutospacing="0" w:line="360" w:lineRule="auto"/>
        <w:ind w:firstLine="48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color w:val="auto"/>
          <w:kern w:val="2"/>
          <w:sz w:val="21"/>
          <w:szCs w:val="21"/>
          <w:highlight w:val="none"/>
          <w:lang w:val="en-US" w:eastAsia="zh-CN" w:bidi="ar-SA"/>
        </w:rPr>
        <w:t>三、其他条款</w:t>
      </w:r>
    </w:p>
    <w:p w14:paraId="5893AA04">
      <w:pPr>
        <w:widowControl/>
        <w:spacing w:before="0" w:beforeAutospacing="0" w:after="0" w:afterAutospacing="0" w:line="360" w:lineRule="auto"/>
        <w:ind w:firstLine="48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23"/>
        <w:tblW w:w="0" w:type="auto"/>
        <w:tblCellSpacing w:w="15" w:type="dxa"/>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290"/>
        <w:gridCol w:w="4110"/>
      </w:tblGrid>
      <w:tr w14:paraId="03CDE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exact"/>
          <w:tblCellSpacing w:w="15" w:type="dxa"/>
        </w:trPr>
        <w:tc>
          <w:tcPr>
            <w:tcW w:w="4290" w:type="dxa"/>
            <w:tcMar>
              <w:top w:w="0" w:type="dxa"/>
              <w:left w:w="105" w:type="dxa"/>
              <w:bottom w:w="0" w:type="dxa"/>
              <w:right w:w="105" w:type="dxa"/>
            </w:tcMar>
            <w:vAlign w:val="center"/>
          </w:tcPr>
          <w:p w14:paraId="7B22B96B">
            <w:pPr>
              <w:widowControl/>
              <w:spacing w:before="75" w:beforeAutospacing="0" w:after="75" w:afterAutospacing="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甲方：</w:t>
            </w:r>
          </w:p>
        </w:tc>
        <w:tc>
          <w:tcPr>
            <w:tcW w:w="4110" w:type="dxa"/>
            <w:tcMar>
              <w:top w:w="0" w:type="dxa"/>
              <w:left w:w="105" w:type="dxa"/>
              <w:bottom w:w="0" w:type="dxa"/>
              <w:right w:w="105" w:type="dxa"/>
            </w:tcMar>
            <w:vAlign w:val="center"/>
          </w:tcPr>
          <w:p w14:paraId="16D3A9A6">
            <w:pPr>
              <w:widowControl/>
              <w:spacing w:before="75" w:beforeAutospacing="0" w:after="75" w:afterAutospacing="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乙方：</w:t>
            </w:r>
          </w:p>
        </w:tc>
      </w:tr>
      <w:tr w14:paraId="5D119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exact"/>
          <w:tblCellSpacing w:w="15" w:type="dxa"/>
        </w:trPr>
        <w:tc>
          <w:tcPr>
            <w:tcW w:w="4290" w:type="dxa"/>
            <w:tcMar>
              <w:top w:w="0" w:type="dxa"/>
              <w:left w:w="105" w:type="dxa"/>
              <w:bottom w:w="0" w:type="dxa"/>
              <w:right w:w="105" w:type="dxa"/>
            </w:tcMar>
            <w:vAlign w:val="center"/>
          </w:tcPr>
          <w:p w14:paraId="1FDD2BD2">
            <w:pPr>
              <w:widowControl/>
              <w:spacing w:before="75" w:beforeAutospacing="0" w:after="75" w:afterAutospacing="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住所：</w:t>
            </w:r>
          </w:p>
        </w:tc>
        <w:tc>
          <w:tcPr>
            <w:tcW w:w="4110" w:type="dxa"/>
            <w:tcMar>
              <w:top w:w="0" w:type="dxa"/>
              <w:left w:w="105" w:type="dxa"/>
              <w:bottom w:w="0" w:type="dxa"/>
              <w:right w:w="105" w:type="dxa"/>
            </w:tcMar>
            <w:vAlign w:val="center"/>
          </w:tcPr>
          <w:p w14:paraId="2484DE25">
            <w:pPr>
              <w:widowControl/>
              <w:spacing w:before="75" w:beforeAutospacing="0" w:after="75" w:afterAutospacing="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住所：</w:t>
            </w:r>
          </w:p>
        </w:tc>
      </w:tr>
      <w:tr w14:paraId="30E44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exact"/>
          <w:tblCellSpacing w:w="15" w:type="dxa"/>
        </w:trPr>
        <w:tc>
          <w:tcPr>
            <w:tcW w:w="4290" w:type="dxa"/>
            <w:tcMar>
              <w:top w:w="0" w:type="dxa"/>
              <w:left w:w="105" w:type="dxa"/>
              <w:bottom w:w="0" w:type="dxa"/>
              <w:right w:w="105" w:type="dxa"/>
            </w:tcMar>
            <w:vAlign w:val="center"/>
          </w:tcPr>
          <w:p w14:paraId="3CC0DE36">
            <w:pPr>
              <w:widowControl/>
              <w:spacing w:before="75" w:beforeAutospacing="0" w:after="75" w:afterAutospacing="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单</w:t>
            </w:r>
            <w:r>
              <w:rPr>
                <w:rFonts w:hint="eastAsia" w:ascii="宋体" w:hAnsi="宋体" w:eastAsia="宋体" w:cs="宋体"/>
                <w:color w:val="auto"/>
                <w:spacing w:val="-15"/>
                <w:kern w:val="0"/>
                <w:sz w:val="21"/>
                <w:szCs w:val="21"/>
                <w:highlight w:val="none"/>
                <w:lang w:val="en-US" w:eastAsia="zh-CN" w:bidi="ar-SA"/>
              </w:rPr>
              <w:t>位负责人或委托代理人：</w:t>
            </w:r>
          </w:p>
        </w:tc>
        <w:tc>
          <w:tcPr>
            <w:tcW w:w="4110" w:type="dxa"/>
            <w:tcMar>
              <w:top w:w="0" w:type="dxa"/>
              <w:left w:w="105" w:type="dxa"/>
              <w:bottom w:w="0" w:type="dxa"/>
              <w:right w:w="105" w:type="dxa"/>
            </w:tcMar>
            <w:vAlign w:val="center"/>
          </w:tcPr>
          <w:p w14:paraId="49EE590D">
            <w:pPr>
              <w:widowControl/>
              <w:spacing w:before="75" w:beforeAutospacing="0" w:after="75" w:afterAutospacing="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单</w:t>
            </w:r>
            <w:r>
              <w:rPr>
                <w:rFonts w:hint="eastAsia" w:ascii="宋体" w:hAnsi="宋体" w:eastAsia="宋体" w:cs="宋体"/>
                <w:color w:val="auto"/>
                <w:spacing w:val="-15"/>
                <w:kern w:val="0"/>
                <w:sz w:val="21"/>
                <w:szCs w:val="21"/>
                <w:highlight w:val="none"/>
                <w:lang w:val="en-US" w:eastAsia="zh-CN" w:bidi="ar-SA"/>
              </w:rPr>
              <w:t>位负责人或委托代理人：</w:t>
            </w:r>
          </w:p>
        </w:tc>
      </w:tr>
      <w:tr w14:paraId="0CA37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exact"/>
          <w:tblCellSpacing w:w="15" w:type="dxa"/>
        </w:trPr>
        <w:tc>
          <w:tcPr>
            <w:tcW w:w="4290" w:type="dxa"/>
            <w:tcMar>
              <w:top w:w="0" w:type="dxa"/>
              <w:left w:w="105" w:type="dxa"/>
              <w:bottom w:w="0" w:type="dxa"/>
              <w:right w:w="105" w:type="dxa"/>
            </w:tcMar>
            <w:vAlign w:val="center"/>
          </w:tcPr>
          <w:p w14:paraId="735236AC">
            <w:pPr>
              <w:widowControl/>
              <w:spacing w:before="75" w:beforeAutospacing="0" w:after="75" w:afterAutospacing="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联系方法：</w:t>
            </w:r>
          </w:p>
        </w:tc>
        <w:tc>
          <w:tcPr>
            <w:tcW w:w="4110" w:type="dxa"/>
            <w:tcMar>
              <w:top w:w="0" w:type="dxa"/>
              <w:left w:w="105" w:type="dxa"/>
              <w:bottom w:w="0" w:type="dxa"/>
              <w:right w:w="105" w:type="dxa"/>
            </w:tcMar>
            <w:vAlign w:val="center"/>
          </w:tcPr>
          <w:p w14:paraId="7B92FA6A">
            <w:pPr>
              <w:widowControl/>
              <w:spacing w:before="75" w:beforeAutospacing="0" w:after="75" w:afterAutospacing="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联系方法：</w:t>
            </w:r>
          </w:p>
        </w:tc>
      </w:tr>
      <w:tr w14:paraId="16D17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exact"/>
          <w:tblCellSpacing w:w="15" w:type="dxa"/>
        </w:trPr>
        <w:tc>
          <w:tcPr>
            <w:tcW w:w="4290" w:type="dxa"/>
            <w:tcMar>
              <w:top w:w="0" w:type="dxa"/>
              <w:left w:w="105" w:type="dxa"/>
              <w:bottom w:w="0" w:type="dxa"/>
              <w:right w:w="105" w:type="dxa"/>
            </w:tcMar>
            <w:vAlign w:val="center"/>
          </w:tcPr>
          <w:p w14:paraId="3A2DA2B7">
            <w:pPr>
              <w:widowControl/>
              <w:spacing w:before="75" w:beforeAutospacing="0" w:after="75" w:afterAutospacing="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开户银行：</w:t>
            </w:r>
          </w:p>
        </w:tc>
        <w:tc>
          <w:tcPr>
            <w:tcW w:w="4110" w:type="dxa"/>
            <w:tcMar>
              <w:top w:w="0" w:type="dxa"/>
              <w:left w:w="105" w:type="dxa"/>
              <w:bottom w:w="0" w:type="dxa"/>
              <w:right w:w="105" w:type="dxa"/>
            </w:tcMar>
            <w:vAlign w:val="center"/>
          </w:tcPr>
          <w:p w14:paraId="576BA07E">
            <w:pPr>
              <w:widowControl/>
              <w:spacing w:before="75" w:beforeAutospacing="0" w:after="75" w:afterAutospacing="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开户银行：</w:t>
            </w:r>
          </w:p>
        </w:tc>
      </w:tr>
      <w:tr w14:paraId="50994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exact"/>
          <w:tblCellSpacing w:w="15" w:type="dxa"/>
        </w:trPr>
        <w:tc>
          <w:tcPr>
            <w:tcW w:w="4290" w:type="dxa"/>
            <w:tcMar>
              <w:top w:w="0" w:type="dxa"/>
              <w:left w:w="105" w:type="dxa"/>
              <w:bottom w:w="0" w:type="dxa"/>
              <w:right w:w="105" w:type="dxa"/>
            </w:tcMar>
            <w:vAlign w:val="center"/>
          </w:tcPr>
          <w:p w14:paraId="584132C4">
            <w:pPr>
              <w:widowControl/>
              <w:spacing w:before="75" w:beforeAutospacing="0" w:after="75" w:afterAutospacing="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账号：</w:t>
            </w:r>
          </w:p>
        </w:tc>
        <w:tc>
          <w:tcPr>
            <w:tcW w:w="4110" w:type="dxa"/>
            <w:tcMar>
              <w:top w:w="0" w:type="dxa"/>
              <w:left w:w="105" w:type="dxa"/>
              <w:bottom w:w="0" w:type="dxa"/>
              <w:right w:w="105" w:type="dxa"/>
            </w:tcMar>
            <w:vAlign w:val="center"/>
          </w:tcPr>
          <w:p w14:paraId="6B5CE51E">
            <w:pPr>
              <w:widowControl/>
              <w:spacing w:before="75" w:beforeAutospacing="0" w:after="75" w:afterAutospacing="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账号：</w:t>
            </w:r>
          </w:p>
        </w:tc>
      </w:tr>
      <w:tr w14:paraId="1ED63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09" w:hRule="exact"/>
          <w:tblCellSpacing w:w="15" w:type="dxa"/>
        </w:trPr>
        <w:tc>
          <w:tcPr>
            <w:tcW w:w="8400" w:type="dxa"/>
            <w:gridSpan w:val="2"/>
            <w:tcMar>
              <w:top w:w="0" w:type="dxa"/>
              <w:left w:w="105" w:type="dxa"/>
              <w:bottom w:w="0" w:type="dxa"/>
              <w:right w:w="105" w:type="dxa"/>
            </w:tcMar>
            <w:vAlign w:val="top"/>
          </w:tcPr>
          <w:p w14:paraId="014E21C4">
            <w:pPr>
              <w:widowControl/>
              <w:spacing w:before="150" w:beforeAutospacing="0" w:after="0" w:afterAutospacing="0"/>
              <w:ind w:left="3045"/>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签订地点：</w:t>
            </w:r>
            <w:r>
              <w:rPr>
                <w:rFonts w:hint="eastAsia" w:ascii="宋体" w:hAnsi="宋体" w:eastAsia="宋体" w:cs="宋体"/>
                <w:color w:val="auto"/>
                <w:kern w:val="0"/>
                <w:sz w:val="21"/>
                <w:szCs w:val="21"/>
                <w:highlight w:val="none"/>
                <w:u w:val="single"/>
                <w:lang w:val="en-US" w:eastAsia="zh-CN" w:bidi="ar-SA"/>
              </w:rPr>
              <w:t>                </w:t>
            </w:r>
          </w:p>
          <w:p w14:paraId="3A77024C">
            <w:pPr>
              <w:widowControl/>
              <w:spacing w:before="0" w:beforeAutospacing="0" w:after="0" w:afterAutospacing="0" w:line="360" w:lineRule="auto"/>
              <w:ind w:left="3045"/>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签订日期：    年   月   日</w:t>
            </w:r>
          </w:p>
        </w:tc>
      </w:tr>
    </w:tbl>
    <w:p w14:paraId="623A6F89">
      <w:pPr>
        <w:widowControl/>
        <w:spacing w:before="75" w:beforeAutospacing="0" w:after="75" w:afterAutospacing="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color w:val="auto"/>
          <w:kern w:val="2"/>
          <w:sz w:val="21"/>
          <w:szCs w:val="21"/>
          <w:highlight w:val="none"/>
          <w:lang w:val="en-US" w:eastAsia="zh-CN" w:bidi="ar-SA"/>
        </w:rPr>
        <w:t>※注意：</w:t>
      </w:r>
    </w:p>
    <w:p w14:paraId="28BE156D">
      <w:pPr>
        <w:widowControl/>
        <w:spacing w:before="100" w:beforeAutospacing="1" w:after="100" w:afterAutospacing="1" w:line="360" w:lineRule="auto"/>
        <w:ind w:firstLine="435"/>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color w:val="auto"/>
          <w:kern w:val="2"/>
          <w:sz w:val="21"/>
          <w:szCs w:val="21"/>
          <w:highlight w:val="none"/>
          <w:lang w:val="en-US" w:eastAsia="zh-CN" w:bidi="ar-SA"/>
        </w:rPr>
        <w:t>1.招标文件接受合同分包且投标人拟将合同分包的，应提供本协议；否则无须提供。</w:t>
      </w:r>
    </w:p>
    <w:p w14:paraId="29C67336">
      <w:pPr>
        <w:widowControl/>
        <w:spacing w:before="100" w:beforeAutospacing="1" w:after="100" w:afterAutospacing="1" w:line="360" w:lineRule="auto"/>
        <w:ind w:firstLine="435"/>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color w:val="auto"/>
          <w:kern w:val="2"/>
          <w:sz w:val="21"/>
          <w:szCs w:val="21"/>
          <w:highlight w:val="none"/>
          <w:lang w:val="en-US" w:eastAsia="zh-CN" w:bidi="ar-SA"/>
        </w:rPr>
        <w:t>2.本协议由委托代理人签字或盖章的，应按照本章载明的格式提供“单位授权书”。</w:t>
      </w:r>
    </w:p>
    <w:p w14:paraId="091D8E3A">
      <w:pPr>
        <w:widowControl/>
        <w:spacing w:before="100" w:beforeAutospacing="1" w:after="100" w:afterAutospacing="1" w:line="360" w:lineRule="auto"/>
        <w:ind w:firstLine="435"/>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color w:val="auto"/>
          <w:kern w:val="2"/>
          <w:sz w:val="21"/>
          <w:szCs w:val="21"/>
          <w:highlight w:val="none"/>
          <w:lang w:val="en-US" w:eastAsia="zh-CN" w:bidi="ar-SA"/>
        </w:rPr>
        <w:t>3.在以合同分包形式落实中小企业预留份额项目中，投标人除了要提供《中小企业声明函》，还需提供本协议。 </w:t>
      </w:r>
    </w:p>
    <w:p w14:paraId="4D1FD2A1">
      <w:pPr>
        <w:widowControl/>
        <w:spacing w:before="100" w:beforeAutospacing="1" w:after="100" w:afterAutospacing="1"/>
        <w:jc w:val="center"/>
        <w:rPr>
          <w:rFonts w:hint="eastAsia" w:ascii="宋体" w:hAnsi="宋体" w:eastAsia="宋体" w:cs="宋体"/>
          <w:color w:val="auto"/>
          <w:kern w:val="0"/>
          <w:sz w:val="21"/>
          <w:szCs w:val="21"/>
          <w:highlight w:val="none"/>
          <w:lang w:val="en-US" w:eastAsia="zh-CN" w:bidi="ar-SA"/>
        </w:rPr>
      </w:pPr>
    </w:p>
    <w:p w14:paraId="4C027184">
      <w:pPr>
        <w:widowControl/>
        <w:spacing w:before="100" w:beforeAutospacing="1" w:after="100" w:afterAutospacing="1"/>
        <w:jc w:val="center"/>
        <w:rPr>
          <w:rFonts w:hint="eastAsia" w:ascii="宋体" w:hAnsi="宋体" w:eastAsia="宋体" w:cs="宋体"/>
          <w:b/>
          <w:color w:val="auto"/>
          <w:kern w:val="2"/>
          <w:sz w:val="21"/>
          <w:szCs w:val="21"/>
          <w:highlight w:val="none"/>
          <w:lang w:val="en-US" w:eastAsia="zh-CN" w:bidi="ar-SA"/>
        </w:rPr>
      </w:pPr>
    </w:p>
    <w:p w14:paraId="2EF8AA14">
      <w:pPr>
        <w:widowControl/>
        <w:spacing w:before="100" w:beforeAutospacing="1" w:after="100" w:afterAutospacing="1"/>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color w:val="auto"/>
          <w:kern w:val="2"/>
          <w:sz w:val="21"/>
          <w:szCs w:val="21"/>
          <w:highlight w:val="none"/>
          <w:lang w:val="en-US" w:eastAsia="zh-CN" w:bidi="ar-SA"/>
        </w:rPr>
        <w:t>二-7其他资格证明文件（若有）</w:t>
      </w:r>
    </w:p>
    <w:p w14:paraId="08707F71">
      <w:pPr>
        <w:widowControl/>
        <w:spacing w:before="100" w:beforeAutospacing="1" w:after="100" w:afterAutospacing="1"/>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 </w:t>
      </w:r>
    </w:p>
    <w:p w14:paraId="61D55E76">
      <w:pPr>
        <w:widowControl/>
        <w:spacing w:before="100" w:beforeAutospacing="1" w:after="100" w:afterAutospacing="1"/>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二</w:t>
      </w:r>
      <w:r>
        <w:rPr>
          <w:rFonts w:hint="eastAsia" w:ascii="宋体" w:hAnsi="宋体" w:eastAsia="宋体" w:cs="宋体"/>
          <w:b/>
          <w:color w:val="auto"/>
          <w:kern w:val="2"/>
          <w:sz w:val="21"/>
          <w:szCs w:val="21"/>
          <w:highlight w:val="none"/>
          <w:lang w:val="en-US" w:eastAsia="zh-CN" w:bidi="ar-SA"/>
        </w:rPr>
        <w:t>-7-①具备履行合同所必需设备和专业技术能力专项证明材料（若有）</w:t>
      </w:r>
    </w:p>
    <w:p w14:paraId="5F57D2D7">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 </w:t>
      </w:r>
    </w:p>
    <w:p w14:paraId="4E4132CD">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致：</w:t>
      </w:r>
      <w:r>
        <w:rPr>
          <w:rFonts w:hint="eastAsia" w:ascii="宋体" w:hAnsi="宋体" w:eastAsia="宋体" w:cs="宋体"/>
          <w:color w:val="auto"/>
          <w:kern w:val="0"/>
          <w:sz w:val="21"/>
          <w:szCs w:val="21"/>
          <w:highlight w:val="none"/>
          <w:u w:val="single"/>
          <w:lang w:val="en-US" w:eastAsia="zh-CN" w:bidi="ar-SA"/>
        </w:rPr>
        <w:t>          （采购人或采购代理机构）  </w:t>
      </w:r>
    </w:p>
    <w:p w14:paraId="71B9F6F7">
      <w:pPr>
        <w:widowControl/>
        <w:spacing w:before="100" w:beforeAutospacing="1" w:after="100" w:afterAutospacing="1"/>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现附上我方具备履行合同所必需的设备和专业技术能力的专项证明材料复印件（具体附后），上述证明材料真实有效，否则我方负全部责任。</w:t>
      </w:r>
    </w:p>
    <w:p w14:paraId="25BD7F99">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 </w:t>
      </w:r>
    </w:p>
    <w:p w14:paraId="706AB9C3">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※注意：</w:t>
      </w:r>
    </w:p>
    <w:p w14:paraId="3DD0DDE2">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1、招标文件要求投标人提供“具备履行合同所必需的设备和专业技术能力专项证明材料”的，投标人应按照招标文件规定在此项下提供相应证明材料复印件。</w:t>
      </w:r>
    </w:p>
    <w:p w14:paraId="183E38E5">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2、投标人提供的相应证明材料复印件均应符合：内容完整、清晰、整洁，并由投标人加盖其单位公章。</w:t>
      </w:r>
    </w:p>
    <w:p w14:paraId="329FC67A">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 </w:t>
      </w:r>
    </w:p>
    <w:p w14:paraId="1A58692C">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 </w:t>
      </w:r>
    </w:p>
    <w:p w14:paraId="2C41B9FC">
      <w:pPr>
        <w:spacing w:line="440" w:lineRule="exact"/>
        <w:ind w:firstLine="480" w:firstLineChars="200"/>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投标人：</w:t>
      </w:r>
      <w:r>
        <w:rPr>
          <w:rFonts w:hint="eastAsia" w:ascii="宋体" w:hAnsi="宋体" w:eastAsia="宋体" w:cs="宋体"/>
          <w:bCs/>
          <w:color w:val="auto"/>
          <w:sz w:val="24"/>
          <w:highlight w:val="none"/>
          <w:u w:val="single"/>
        </w:rPr>
        <w:t>（全称并加盖单位公章）</w:t>
      </w:r>
    </w:p>
    <w:p w14:paraId="3891BC26">
      <w:pPr>
        <w:spacing w:line="440" w:lineRule="exact"/>
        <w:ind w:firstLine="480" w:firstLineChars="200"/>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投标人代表签字：</w:t>
      </w:r>
      <w:r>
        <w:rPr>
          <w:rFonts w:hint="eastAsia" w:ascii="宋体" w:hAnsi="宋体" w:eastAsia="宋体" w:cs="宋体"/>
          <w:bCs/>
          <w:color w:val="auto"/>
          <w:sz w:val="24"/>
          <w:highlight w:val="none"/>
          <w:u w:val="single"/>
        </w:rPr>
        <w:t xml:space="preserve">          </w:t>
      </w:r>
    </w:p>
    <w:p w14:paraId="7A50A460">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日期：    年   月   日</w:t>
      </w:r>
    </w:p>
    <w:p w14:paraId="23F02CBD">
      <w:pPr>
        <w:widowControl/>
        <w:spacing w:before="100" w:beforeAutospacing="1" w:after="100" w:afterAutospacing="1"/>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w:t>
      </w:r>
    </w:p>
    <w:p w14:paraId="0BB98C85">
      <w:pPr>
        <w:widowControl/>
        <w:spacing w:before="100" w:beforeAutospacing="1" w:after="100" w:afterAutospacing="1"/>
        <w:jc w:val="left"/>
        <w:rPr>
          <w:rFonts w:hint="eastAsia" w:ascii="宋体" w:hAnsi="宋体" w:eastAsia="宋体" w:cs="宋体"/>
          <w:color w:val="auto"/>
          <w:kern w:val="0"/>
          <w:sz w:val="21"/>
          <w:szCs w:val="21"/>
          <w:highlight w:val="none"/>
          <w:lang w:val="en-US" w:eastAsia="zh-CN" w:bidi="ar-SA"/>
        </w:rPr>
      </w:pPr>
    </w:p>
    <w:p w14:paraId="40218FB5">
      <w:pPr>
        <w:widowControl/>
        <w:spacing w:before="100" w:beforeAutospacing="1" w:after="100" w:afterAutospacing="1"/>
        <w:jc w:val="left"/>
        <w:rPr>
          <w:rFonts w:hint="eastAsia" w:ascii="宋体" w:hAnsi="宋体" w:eastAsia="宋体" w:cs="宋体"/>
          <w:color w:val="auto"/>
          <w:kern w:val="0"/>
          <w:sz w:val="21"/>
          <w:szCs w:val="21"/>
          <w:highlight w:val="none"/>
          <w:lang w:val="en-US" w:eastAsia="zh-CN" w:bidi="ar-SA"/>
        </w:rPr>
      </w:pPr>
    </w:p>
    <w:p w14:paraId="55CACAFA">
      <w:pPr>
        <w:widowControl/>
        <w:spacing w:before="100" w:beforeAutospacing="1" w:after="100" w:afterAutospacing="1"/>
        <w:jc w:val="left"/>
        <w:rPr>
          <w:rFonts w:hint="eastAsia" w:ascii="宋体" w:hAnsi="宋体" w:eastAsia="宋体" w:cs="宋体"/>
          <w:color w:val="auto"/>
          <w:kern w:val="0"/>
          <w:sz w:val="21"/>
          <w:szCs w:val="21"/>
          <w:highlight w:val="none"/>
          <w:lang w:val="en-US" w:eastAsia="zh-CN" w:bidi="ar-SA"/>
        </w:rPr>
      </w:pPr>
    </w:p>
    <w:p w14:paraId="54EC536B">
      <w:pPr>
        <w:widowControl/>
        <w:spacing w:before="100" w:beforeAutospacing="1" w:after="100" w:afterAutospacing="1"/>
        <w:jc w:val="left"/>
        <w:rPr>
          <w:rFonts w:hint="eastAsia" w:ascii="宋体" w:hAnsi="宋体" w:eastAsia="宋体" w:cs="宋体"/>
          <w:color w:val="auto"/>
          <w:kern w:val="0"/>
          <w:sz w:val="21"/>
          <w:szCs w:val="21"/>
          <w:highlight w:val="none"/>
          <w:lang w:val="en-US" w:eastAsia="zh-CN" w:bidi="ar-SA"/>
        </w:rPr>
      </w:pPr>
    </w:p>
    <w:p w14:paraId="3F41DF62">
      <w:pPr>
        <w:widowControl/>
        <w:spacing w:before="100" w:beforeAutospacing="1" w:after="100" w:afterAutospacing="1"/>
        <w:jc w:val="left"/>
        <w:rPr>
          <w:rFonts w:hint="eastAsia" w:ascii="宋体" w:hAnsi="宋体" w:eastAsia="宋体" w:cs="宋体"/>
          <w:color w:val="auto"/>
          <w:kern w:val="0"/>
          <w:sz w:val="21"/>
          <w:szCs w:val="21"/>
          <w:highlight w:val="none"/>
          <w:lang w:val="en-US" w:eastAsia="zh-CN" w:bidi="ar-SA"/>
        </w:rPr>
      </w:pPr>
    </w:p>
    <w:p w14:paraId="124C55F3">
      <w:pPr>
        <w:widowControl/>
        <w:spacing w:before="100" w:beforeAutospacing="1" w:after="100" w:afterAutospacing="1"/>
        <w:jc w:val="left"/>
        <w:rPr>
          <w:rFonts w:hint="eastAsia" w:ascii="宋体" w:hAnsi="宋体" w:eastAsia="宋体" w:cs="宋体"/>
          <w:color w:val="auto"/>
          <w:kern w:val="0"/>
          <w:sz w:val="21"/>
          <w:szCs w:val="21"/>
          <w:highlight w:val="none"/>
          <w:lang w:val="en-US" w:eastAsia="zh-CN" w:bidi="ar-SA"/>
        </w:rPr>
      </w:pPr>
    </w:p>
    <w:p w14:paraId="213728CB">
      <w:pPr>
        <w:widowControl/>
        <w:spacing w:before="100" w:beforeAutospacing="1" w:after="100" w:afterAutospacing="1"/>
        <w:jc w:val="left"/>
        <w:rPr>
          <w:rFonts w:hint="eastAsia" w:ascii="宋体" w:hAnsi="宋体" w:eastAsia="宋体" w:cs="宋体"/>
          <w:color w:val="auto"/>
          <w:kern w:val="0"/>
          <w:sz w:val="21"/>
          <w:szCs w:val="21"/>
          <w:highlight w:val="none"/>
          <w:lang w:val="en-US" w:eastAsia="zh-CN" w:bidi="ar-SA"/>
        </w:rPr>
      </w:pPr>
    </w:p>
    <w:p w14:paraId="79E114A6">
      <w:pPr>
        <w:widowControl/>
        <w:spacing w:before="100" w:beforeAutospacing="1" w:after="100" w:afterAutospacing="1"/>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color w:val="auto"/>
          <w:kern w:val="2"/>
          <w:sz w:val="21"/>
          <w:szCs w:val="21"/>
          <w:highlight w:val="none"/>
          <w:lang w:val="en-US" w:eastAsia="zh-CN" w:bidi="ar-SA"/>
        </w:rPr>
        <w:t>二-7-②招标文件规定的其他资格证明文件（若有）</w:t>
      </w:r>
    </w:p>
    <w:p w14:paraId="55EB203F">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color w:val="auto"/>
          <w:kern w:val="2"/>
          <w:sz w:val="21"/>
          <w:szCs w:val="21"/>
          <w:highlight w:val="none"/>
          <w:lang w:val="en-US" w:eastAsia="zh-CN" w:bidi="ar-SA"/>
        </w:rPr>
        <w:t>  </w:t>
      </w:r>
    </w:p>
    <w:p w14:paraId="46C7D7BD">
      <w:pPr>
        <w:widowControl/>
        <w:spacing w:before="100" w:beforeAutospacing="1" w:after="100" w:afterAutospacing="1"/>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编制说明</w:t>
      </w:r>
    </w:p>
    <w:p w14:paraId="0D64803C">
      <w:pPr>
        <w:widowControl/>
        <w:spacing w:before="100" w:beforeAutospacing="1" w:after="100" w:afterAutospacing="1"/>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 </w:t>
      </w:r>
    </w:p>
    <w:p w14:paraId="3BB5C354">
      <w:pPr>
        <w:widowControl/>
        <w:spacing w:before="100" w:beforeAutospacing="1" w:after="100" w:afterAutospacing="1"/>
        <w:ind w:firstLine="42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除招标文件另有规定外，招标文件要求提交的除前述资格证明文件外的其他资格证明文件（若有）加盖投标人的单位公章后应在此项下提交。</w:t>
      </w:r>
    </w:p>
    <w:p w14:paraId="3173D4E3">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color w:val="auto"/>
          <w:kern w:val="2"/>
          <w:sz w:val="21"/>
          <w:szCs w:val="21"/>
          <w:highlight w:val="none"/>
          <w:lang w:val="en-US" w:eastAsia="zh-CN" w:bidi="ar-SA"/>
        </w:rPr>
        <w:t> </w:t>
      </w:r>
    </w:p>
    <w:p w14:paraId="6248CBAB">
      <w:pPr>
        <w:widowControl/>
        <w:spacing w:before="100" w:beforeAutospacing="1" w:after="100" w:afterAutospacing="1"/>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 </w:t>
      </w:r>
    </w:p>
    <w:p w14:paraId="3AEB9483">
      <w:pPr>
        <w:widowControl/>
        <w:spacing w:before="100" w:beforeAutospacing="1" w:after="100" w:afterAutospacing="1"/>
        <w:jc w:val="left"/>
        <w:rPr>
          <w:rFonts w:hint="eastAsia" w:ascii="宋体" w:hAnsi="宋体" w:eastAsia="宋体" w:cs="宋体"/>
          <w:color w:val="auto"/>
          <w:kern w:val="0"/>
          <w:sz w:val="21"/>
          <w:szCs w:val="21"/>
          <w:highlight w:val="none"/>
          <w:lang w:val="en-US" w:eastAsia="zh-CN" w:bidi="ar-SA"/>
        </w:rPr>
      </w:pPr>
    </w:p>
    <w:p w14:paraId="1F7868BC">
      <w:pPr>
        <w:widowControl/>
        <w:spacing w:before="100" w:beforeAutospacing="1" w:after="100" w:afterAutospacing="1"/>
        <w:jc w:val="left"/>
        <w:rPr>
          <w:rFonts w:hint="eastAsia" w:ascii="宋体" w:hAnsi="宋体" w:eastAsia="宋体" w:cs="宋体"/>
          <w:color w:val="auto"/>
          <w:kern w:val="0"/>
          <w:sz w:val="21"/>
          <w:szCs w:val="21"/>
          <w:highlight w:val="none"/>
          <w:lang w:val="en-US" w:eastAsia="zh-CN" w:bidi="ar-SA"/>
        </w:rPr>
      </w:pPr>
    </w:p>
    <w:p w14:paraId="5582EFCA">
      <w:pPr>
        <w:widowControl/>
        <w:spacing w:before="100" w:beforeAutospacing="1" w:after="100" w:afterAutospacing="1"/>
        <w:jc w:val="center"/>
        <w:rPr>
          <w:rFonts w:hint="eastAsia" w:ascii="宋体" w:hAnsi="宋体" w:eastAsia="宋体" w:cs="宋体"/>
          <w:color w:val="auto"/>
          <w:kern w:val="0"/>
          <w:sz w:val="21"/>
          <w:szCs w:val="21"/>
          <w:highlight w:val="none"/>
          <w:lang w:val="en-US" w:eastAsia="zh-CN" w:bidi="ar-SA"/>
        </w:rPr>
      </w:pPr>
    </w:p>
    <w:p w14:paraId="1CC8AEAA">
      <w:pPr>
        <w:widowControl/>
        <w:spacing w:before="100" w:beforeAutospacing="1" w:after="100" w:afterAutospacing="1"/>
        <w:jc w:val="center"/>
        <w:rPr>
          <w:rFonts w:hint="eastAsia" w:ascii="宋体" w:hAnsi="宋体" w:eastAsia="宋体" w:cs="宋体"/>
          <w:color w:val="auto"/>
          <w:kern w:val="0"/>
          <w:sz w:val="21"/>
          <w:szCs w:val="21"/>
          <w:highlight w:val="none"/>
          <w:lang w:val="en-US" w:eastAsia="zh-CN" w:bidi="ar-SA"/>
        </w:rPr>
      </w:pPr>
    </w:p>
    <w:p w14:paraId="21B9CEBD">
      <w:pPr>
        <w:widowControl/>
        <w:spacing w:before="100" w:beforeAutospacing="1" w:after="100" w:afterAutospacing="1"/>
        <w:jc w:val="center"/>
        <w:rPr>
          <w:rFonts w:hint="eastAsia" w:ascii="宋体" w:hAnsi="宋体" w:eastAsia="宋体" w:cs="宋体"/>
          <w:color w:val="auto"/>
          <w:kern w:val="0"/>
          <w:sz w:val="21"/>
          <w:szCs w:val="21"/>
          <w:highlight w:val="none"/>
          <w:lang w:val="en-US" w:eastAsia="zh-CN" w:bidi="ar-SA"/>
        </w:rPr>
      </w:pPr>
    </w:p>
    <w:p w14:paraId="484FA390">
      <w:pPr>
        <w:widowControl/>
        <w:spacing w:before="100" w:beforeAutospacing="1" w:after="100" w:afterAutospacing="1"/>
        <w:jc w:val="center"/>
        <w:rPr>
          <w:rFonts w:hint="eastAsia" w:ascii="宋体" w:hAnsi="宋体" w:eastAsia="宋体" w:cs="宋体"/>
          <w:color w:val="auto"/>
          <w:kern w:val="0"/>
          <w:sz w:val="21"/>
          <w:szCs w:val="21"/>
          <w:highlight w:val="none"/>
          <w:lang w:val="en-US" w:eastAsia="zh-CN" w:bidi="ar-SA"/>
        </w:rPr>
      </w:pPr>
    </w:p>
    <w:p w14:paraId="53F10F4F">
      <w:pPr>
        <w:widowControl/>
        <w:spacing w:before="100" w:beforeAutospacing="1" w:after="100" w:afterAutospacing="1"/>
        <w:jc w:val="center"/>
        <w:rPr>
          <w:rFonts w:hint="eastAsia" w:ascii="宋体" w:hAnsi="宋体" w:eastAsia="宋体" w:cs="宋体"/>
          <w:color w:val="auto"/>
          <w:kern w:val="0"/>
          <w:sz w:val="21"/>
          <w:szCs w:val="21"/>
          <w:highlight w:val="none"/>
          <w:lang w:val="en-US" w:eastAsia="zh-CN" w:bidi="ar-SA"/>
        </w:rPr>
      </w:pPr>
    </w:p>
    <w:p w14:paraId="6C34332C">
      <w:pPr>
        <w:widowControl/>
        <w:spacing w:before="100" w:beforeAutospacing="1" w:after="100" w:afterAutospacing="1"/>
        <w:jc w:val="center"/>
        <w:rPr>
          <w:rFonts w:hint="eastAsia" w:ascii="宋体" w:hAnsi="宋体" w:eastAsia="宋体" w:cs="宋体"/>
          <w:color w:val="auto"/>
          <w:kern w:val="0"/>
          <w:sz w:val="21"/>
          <w:szCs w:val="21"/>
          <w:highlight w:val="none"/>
          <w:lang w:val="en-US" w:eastAsia="zh-CN" w:bidi="ar-SA"/>
        </w:rPr>
      </w:pPr>
    </w:p>
    <w:p w14:paraId="6705FB21">
      <w:pPr>
        <w:widowControl/>
        <w:spacing w:before="100" w:beforeAutospacing="1" w:after="100" w:afterAutospacing="1"/>
        <w:jc w:val="center"/>
        <w:rPr>
          <w:rFonts w:hint="eastAsia" w:ascii="宋体" w:hAnsi="宋体" w:eastAsia="宋体" w:cs="宋体"/>
          <w:color w:val="auto"/>
          <w:kern w:val="0"/>
          <w:sz w:val="21"/>
          <w:szCs w:val="21"/>
          <w:highlight w:val="none"/>
          <w:lang w:val="en-US" w:eastAsia="zh-CN" w:bidi="ar-SA"/>
        </w:rPr>
      </w:pPr>
    </w:p>
    <w:p w14:paraId="314E450A">
      <w:pPr>
        <w:widowControl/>
        <w:spacing w:before="100" w:beforeAutospacing="1" w:after="100" w:afterAutospacing="1"/>
        <w:jc w:val="center"/>
        <w:rPr>
          <w:rFonts w:hint="eastAsia" w:ascii="宋体" w:hAnsi="宋体" w:eastAsia="宋体" w:cs="宋体"/>
          <w:color w:val="auto"/>
          <w:kern w:val="0"/>
          <w:sz w:val="21"/>
          <w:szCs w:val="21"/>
          <w:highlight w:val="none"/>
          <w:lang w:val="en-US" w:eastAsia="zh-CN" w:bidi="ar-SA"/>
        </w:rPr>
      </w:pPr>
    </w:p>
    <w:p w14:paraId="42077109">
      <w:pPr>
        <w:widowControl/>
        <w:spacing w:before="100" w:beforeAutospacing="1" w:after="100" w:afterAutospacing="1"/>
        <w:jc w:val="center"/>
        <w:rPr>
          <w:rFonts w:hint="eastAsia" w:ascii="宋体" w:hAnsi="宋体" w:eastAsia="宋体" w:cs="宋体"/>
          <w:color w:val="auto"/>
          <w:kern w:val="0"/>
          <w:sz w:val="21"/>
          <w:szCs w:val="21"/>
          <w:highlight w:val="none"/>
          <w:lang w:val="en-US" w:eastAsia="zh-CN" w:bidi="ar-SA"/>
        </w:rPr>
      </w:pPr>
    </w:p>
    <w:p w14:paraId="67E489C2">
      <w:pPr>
        <w:widowControl/>
        <w:spacing w:before="100" w:beforeAutospacing="1" w:after="100" w:afterAutospacing="1"/>
        <w:jc w:val="center"/>
        <w:rPr>
          <w:rFonts w:hint="eastAsia" w:ascii="宋体" w:hAnsi="宋体" w:eastAsia="宋体" w:cs="宋体"/>
          <w:color w:val="auto"/>
          <w:kern w:val="0"/>
          <w:sz w:val="21"/>
          <w:szCs w:val="21"/>
          <w:highlight w:val="none"/>
          <w:lang w:val="en-US" w:eastAsia="zh-CN" w:bidi="ar-SA"/>
        </w:rPr>
      </w:pPr>
    </w:p>
    <w:p w14:paraId="0EDAEF85">
      <w:pPr>
        <w:widowControl/>
        <w:spacing w:before="100" w:beforeAutospacing="1" w:after="100" w:afterAutospacing="1"/>
        <w:jc w:val="center"/>
        <w:rPr>
          <w:rFonts w:hint="eastAsia" w:ascii="宋体" w:hAnsi="宋体" w:eastAsia="宋体" w:cs="宋体"/>
          <w:color w:val="auto"/>
          <w:kern w:val="0"/>
          <w:sz w:val="21"/>
          <w:szCs w:val="21"/>
          <w:highlight w:val="none"/>
          <w:lang w:val="en-US" w:eastAsia="zh-CN" w:bidi="ar-SA"/>
        </w:rPr>
      </w:pPr>
    </w:p>
    <w:p w14:paraId="7E8EC675">
      <w:pPr>
        <w:widowControl/>
        <w:spacing w:before="100" w:beforeAutospacing="1" w:after="100" w:afterAutospacing="1"/>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三</w:t>
      </w:r>
      <w:r>
        <w:rPr>
          <w:rFonts w:hint="eastAsia" w:ascii="宋体" w:hAnsi="宋体" w:eastAsia="宋体" w:cs="宋体"/>
          <w:b/>
          <w:color w:val="auto"/>
          <w:kern w:val="2"/>
          <w:sz w:val="21"/>
          <w:szCs w:val="21"/>
          <w:highlight w:val="none"/>
          <w:lang w:val="en-US" w:eastAsia="zh-CN" w:bidi="ar-SA"/>
        </w:rPr>
        <w:t>、投标保证金</w:t>
      </w:r>
    </w:p>
    <w:p w14:paraId="419C4B8E">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 </w:t>
      </w:r>
    </w:p>
    <w:p w14:paraId="39BCD691">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 </w:t>
      </w:r>
    </w:p>
    <w:p w14:paraId="07EB041B">
      <w:pPr>
        <w:widowControl/>
        <w:spacing w:before="100" w:beforeAutospacing="1" w:after="100" w:afterAutospacing="1"/>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编制说明</w:t>
      </w:r>
    </w:p>
    <w:p w14:paraId="48AC9A0D">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 </w:t>
      </w:r>
    </w:p>
    <w:p w14:paraId="45F90430">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1、在此项下提交的</w:t>
      </w:r>
      <w:r>
        <w:rPr>
          <w:rFonts w:hint="eastAsia" w:ascii="宋体" w:hAnsi="宋体" w:eastAsia="宋体" w:cs="宋体"/>
          <w:b/>
          <w:color w:val="auto"/>
          <w:kern w:val="2"/>
          <w:sz w:val="21"/>
          <w:szCs w:val="21"/>
          <w:highlight w:val="none"/>
          <w:lang w:val="en-US" w:eastAsia="zh-CN" w:bidi="ar-SA"/>
        </w:rPr>
        <w:t>“投标保证金”</w:t>
      </w:r>
      <w:r>
        <w:rPr>
          <w:rFonts w:hint="eastAsia" w:ascii="宋体" w:hAnsi="宋体" w:eastAsia="宋体" w:cs="宋体"/>
          <w:color w:val="auto"/>
          <w:kern w:val="0"/>
          <w:sz w:val="21"/>
          <w:szCs w:val="21"/>
          <w:highlight w:val="none"/>
          <w:lang w:val="en-US" w:eastAsia="zh-CN" w:bidi="ar-SA"/>
        </w:rPr>
        <w:t>材料可使用汇款成功的汇款凭证。</w:t>
      </w:r>
    </w:p>
    <w:p w14:paraId="30337655">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2、投标保证金是否已提交的认定按照招标文件第三章规定执行。</w:t>
      </w:r>
    </w:p>
    <w:p w14:paraId="35F6EE16">
      <w:pPr>
        <w:widowControl/>
        <w:spacing w:before="100" w:beforeAutospacing="1" w:after="100" w:afterAutospacing="1"/>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w:t>
      </w:r>
    </w:p>
    <w:p w14:paraId="4C18F185">
      <w:pPr>
        <w:widowControl/>
        <w:spacing w:before="100" w:beforeAutospacing="1" w:after="100" w:afterAutospacing="1"/>
        <w:jc w:val="left"/>
        <w:rPr>
          <w:rFonts w:hint="eastAsia" w:ascii="宋体" w:hAnsi="宋体" w:eastAsia="宋体" w:cs="宋体"/>
          <w:color w:val="auto"/>
          <w:kern w:val="0"/>
          <w:sz w:val="21"/>
          <w:szCs w:val="21"/>
          <w:highlight w:val="none"/>
          <w:lang w:val="en-US" w:eastAsia="zh-CN" w:bidi="ar-SA"/>
        </w:rPr>
      </w:pPr>
    </w:p>
    <w:p w14:paraId="67FB0C17">
      <w:pPr>
        <w:widowControl/>
        <w:spacing w:before="100" w:beforeAutospacing="1" w:after="100" w:afterAutospacing="1"/>
        <w:jc w:val="left"/>
        <w:rPr>
          <w:rFonts w:hint="eastAsia" w:ascii="宋体" w:hAnsi="宋体" w:eastAsia="宋体" w:cs="宋体"/>
          <w:color w:val="auto"/>
          <w:kern w:val="0"/>
          <w:sz w:val="21"/>
          <w:szCs w:val="21"/>
          <w:highlight w:val="none"/>
          <w:lang w:val="en-US" w:eastAsia="zh-CN" w:bidi="ar-SA"/>
        </w:rPr>
      </w:pPr>
    </w:p>
    <w:p w14:paraId="2D1EB8DB">
      <w:pPr>
        <w:widowControl/>
        <w:spacing w:before="100" w:beforeAutospacing="1" w:after="100" w:afterAutospacing="1"/>
        <w:jc w:val="left"/>
        <w:rPr>
          <w:rFonts w:hint="eastAsia" w:ascii="宋体" w:hAnsi="宋体" w:eastAsia="宋体" w:cs="宋体"/>
          <w:color w:val="auto"/>
          <w:kern w:val="0"/>
          <w:sz w:val="21"/>
          <w:szCs w:val="21"/>
          <w:highlight w:val="none"/>
          <w:lang w:val="en-US" w:eastAsia="zh-CN" w:bidi="ar-SA"/>
        </w:rPr>
      </w:pPr>
    </w:p>
    <w:p w14:paraId="1194AD97">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p>
    <w:p w14:paraId="6EF21334">
      <w:pPr>
        <w:widowControl/>
        <w:spacing w:line="360" w:lineRule="auto"/>
        <w:ind w:right="480"/>
        <w:jc w:val="center"/>
        <w:rPr>
          <w:rFonts w:ascii="宋体" w:hAnsi="宋体" w:eastAsia="宋体" w:cs="Arial"/>
          <w:b/>
          <w:color w:val="auto"/>
          <w:kern w:val="0"/>
          <w:sz w:val="30"/>
          <w:szCs w:val="20"/>
          <w:highlight w:val="none"/>
        </w:rPr>
      </w:pPr>
      <w:r>
        <w:rPr>
          <w:rFonts w:hint="eastAsia" w:ascii="宋体" w:hAnsi="宋体" w:eastAsia="宋体" w:cs="Arial"/>
          <w:b/>
          <w:color w:val="auto"/>
          <w:kern w:val="0"/>
          <w:sz w:val="30"/>
          <w:szCs w:val="20"/>
          <w:highlight w:val="none"/>
        </w:rPr>
        <w:t>附：退回</w:t>
      </w:r>
      <w:r>
        <w:rPr>
          <w:rFonts w:hint="eastAsia" w:ascii="宋体" w:hAnsi="宋体" w:eastAsia="宋体" w:cs="Arial"/>
          <w:b/>
          <w:color w:val="auto"/>
          <w:kern w:val="0"/>
          <w:sz w:val="30"/>
          <w:szCs w:val="20"/>
          <w:highlight w:val="none"/>
          <w:lang w:val="en-US" w:eastAsia="zh-CN"/>
        </w:rPr>
        <w:t>投标</w:t>
      </w:r>
      <w:r>
        <w:rPr>
          <w:rFonts w:hint="eastAsia" w:ascii="宋体" w:hAnsi="宋体" w:eastAsia="宋体" w:cs="Arial"/>
          <w:b/>
          <w:color w:val="auto"/>
          <w:kern w:val="0"/>
          <w:sz w:val="30"/>
          <w:szCs w:val="20"/>
          <w:highlight w:val="none"/>
        </w:rPr>
        <w:t>保证金说明函</w:t>
      </w:r>
    </w:p>
    <w:p w14:paraId="67E688D3">
      <w:pPr>
        <w:tabs>
          <w:tab w:val="left" w:pos="900"/>
        </w:tabs>
        <w:spacing w:after="75" w:line="360" w:lineRule="auto"/>
        <w:ind w:firstLine="0"/>
        <w:rPr>
          <w:rFonts w:hint="default" w:ascii="宋体" w:hAnsi="宋体" w:eastAsia="宋体" w:cs="Times New Roman"/>
          <w:color w:val="auto"/>
          <w:sz w:val="24"/>
          <w:szCs w:val="24"/>
          <w:highlight w:val="none"/>
          <w:u w:val="single"/>
          <w:lang w:val="en-US" w:eastAsia="zh-CN" w:bidi="ar-SA"/>
        </w:rPr>
      </w:pPr>
      <w:r>
        <w:rPr>
          <w:rFonts w:hint="eastAsia" w:ascii="宋体" w:hAnsi="宋体" w:eastAsia="宋体" w:cs="Times New Roman"/>
          <w:color w:val="auto"/>
          <w:sz w:val="24"/>
          <w:szCs w:val="24"/>
          <w:highlight w:val="none"/>
          <w:lang w:val="en-US" w:eastAsia="zh-CN" w:bidi="ar-SA"/>
        </w:rPr>
        <w:t>致：</w:t>
      </w:r>
      <w:r>
        <w:rPr>
          <w:rFonts w:hint="eastAsia" w:ascii="宋体" w:hAnsi="宋体" w:eastAsia="宋体" w:cs="Times New Roman"/>
          <w:color w:val="auto"/>
          <w:sz w:val="24"/>
          <w:szCs w:val="24"/>
          <w:highlight w:val="none"/>
          <w:u w:val="single"/>
          <w:lang w:val="en-US" w:eastAsia="zh-CN" w:bidi="ar-SA"/>
        </w:rPr>
        <w:t xml:space="preserve">            </w:t>
      </w:r>
    </w:p>
    <w:p w14:paraId="55DA1B73">
      <w:pPr>
        <w:widowControl/>
        <w:spacing w:line="360" w:lineRule="auto"/>
        <w:ind w:firstLine="480" w:firstLineChars="200"/>
        <w:jc w:val="left"/>
        <w:rPr>
          <w:rFonts w:ascii="宋体" w:hAnsi="宋体" w:eastAsia="宋体" w:cs="Arial"/>
          <w:bCs/>
          <w:color w:val="auto"/>
          <w:kern w:val="0"/>
          <w:sz w:val="24"/>
          <w:szCs w:val="24"/>
          <w:highlight w:val="none"/>
        </w:rPr>
      </w:pPr>
      <w:r>
        <w:rPr>
          <w:rFonts w:hint="eastAsia" w:ascii="宋体" w:hAnsi="宋体" w:eastAsia="宋体" w:cs="Times New Roman"/>
          <w:bCs/>
          <w:color w:val="auto"/>
          <w:kern w:val="0"/>
          <w:sz w:val="24"/>
          <w:szCs w:val="24"/>
          <w:highlight w:val="none"/>
        </w:rPr>
        <w:t>我方参与项目编号为</w:t>
      </w:r>
      <w:r>
        <w:rPr>
          <w:rFonts w:hint="eastAsia" w:ascii="宋体" w:hAnsi="宋体" w:eastAsia="宋体" w:cs="Times New Roman"/>
          <w:bCs/>
          <w:color w:val="auto"/>
          <w:kern w:val="0"/>
          <w:sz w:val="24"/>
          <w:szCs w:val="24"/>
          <w:highlight w:val="none"/>
          <w:u w:val="single"/>
          <w:lang w:val="en-US" w:eastAsia="zh-CN"/>
        </w:rPr>
        <w:t xml:space="preserve">           </w:t>
      </w:r>
      <w:r>
        <w:rPr>
          <w:rFonts w:hint="eastAsia" w:ascii="宋体" w:hAnsi="宋体" w:eastAsia="宋体" w:cs="Arial"/>
          <w:bCs/>
          <w:color w:val="auto"/>
          <w:kern w:val="0"/>
          <w:sz w:val="24"/>
          <w:szCs w:val="24"/>
          <w:highlight w:val="none"/>
        </w:rPr>
        <w:t>的</w:t>
      </w:r>
      <w:r>
        <w:rPr>
          <w:rFonts w:hint="eastAsia" w:ascii="宋体" w:hAnsi="宋体" w:eastAsia="宋体" w:cs="Arial"/>
          <w:bCs/>
          <w:color w:val="auto"/>
          <w:kern w:val="0"/>
          <w:sz w:val="24"/>
          <w:szCs w:val="24"/>
          <w:highlight w:val="none"/>
          <w:u w:val="single"/>
        </w:rPr>
        <w:t xml:space="preserve"> （项目名称）</w:t>
      </w:r>
      <w:r>
        <w:rPr>
          <w:rFonts w:hint="eastAsia" w:ascii="宋体" w:hAnsi="宋体" w:eastAsia="宋体" w:cs="Arial"/>
          <w:bCs/>
          <w:color w:val="auto"/>
          <w:kern w:val="0"/>
          <w:sz w:val="24"/>
          <w:szCs w:val="24"/>
          <w:highlight w:val="none"/>
        </w:rPr>
        <w:t>提供的人民币</w:t>
      </w:r>
      <w:r>
        <w:rPr>
          <w:rFonts w:hint="eastAsia" w:ascii="宋体" w:hAnsi="宋体" w:eastAsia="宋体" w:cs="Arial"/>
          <w:bCs/>
          <w:color w:val="auto"/>
          <w:kern w:val="0"/>
          <w:sz w:val="24"/>
          <w:szCs w:val="24"/>
          <w:highlight w:val="none"/>
          <w:u w:val="single"/>
          <w:lang w:val="en-US" w:eastAsia="zh-CN"/>
        </w:rPr>
        <w:t xml:space="preserve">    </w:t>
      </w:r>
      <w:r>
        <w:rPr>
          <w:rFonts w:hint="eastAsia" w:ascii="宋体" w:hAnsi="宋体" w:eastAsia="宋体" w:cs="Arial"/>
          <w:bCs/>
          <w:color w:val="auto"/>
          <w:kern w:val="0"/>
          <w:sz w:val="24"/>
          <w:szCs w:val="24"/>
          <w:highlight w:val="none"/>
        </w:rPr>
        <w:t>元保证金，当可以退回时，请退回到我公司以下</w:t>
      </w:r>
      <w:r>
        <w:rPr>
          <w:rFonts w:hint="eastAsia" w:ascii="宋体" w:hAnsi="宋体" w:eastAsia="宋体" w:cs="Arial"/>
          <w:bCs/>
          <w:color w:val="auto"/>
          <w:kern w:val="0"/>
          <w:sz w:val="24"/>
          <w:szCs w:val="24"/>
          <w:highlight w:val="none"/>
          <w:lang w:eastAsia="zh-CN"/>
        </w:rPr>
        <w:t>账</w:t>
      </w:r>
      <w:r>
        <w:rPr>
          <w:rFonts w:hint="eastAsia" w:ascii="宋体" w:hAnsi="宋体" w:eastAsia="宋体" w:cs="Arial"/>
          <w:bCs/>
          <w:color w:val="auto"/>
          <w:kern w:val="0"/>
          <w:sz w:val="24"/>
          <w:szCs w:val="24"/>
          <w:highlight w:val="none"/>
        </w:rPr>
        <w:t>户：</w:t>
      </w:r>
    </w:p>
    <w:p w14:paraId="710A4852">
      <w:pPr>
        <w:widowControl/>
        <w:numPr>
          <w:ilvl w:val="1"/>
          <w:numId w:val="20"/>
        </w:numPr>
        <w:tabs>
          <w:tab w:val="left" w:pos="817"/>
          <w:tab w:val="clear" w:pos="454"/>
        </w:tabs>
        <w:adjustRightInd w:val="0"/>
        <w:spacing w:line="360" w:lineRule="auto"/>
        <w:ind w:left="817" w:hanging="397"/>
        <w:jc w:val="left"/>
        <w:textAlignment w:val="baseline"/>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开户名：</w:t>
      </w:r>
      <w:r>
        <w:rPr>
          <w:rFonts w:hint="eastAsia" w:ascii="宋体" w:hAnsi="宋体" w:eastAsia="宋体" w:cs="Times New Roman"/>
          <w:color w:val="auto"/>
          <w:kern w:val="0"/>
          <w:sz w:val="24"/>
          <w:szCs w:val="24"/>
          <w:highlight w:val="none"/>
          <w:u w:val="single"/>
        </w:rPr>
        <w:t xml:space="preserve">                   </w:t>
      </w:r>
    </w:p>
    <w:p w14:paraId="4EC916DB">
      <w:pPr>
        <w:widowControl/>
        <w:numPr>
          <w:ilvl w:val="1"/>
          <w:numId w:val="20"/>
        </w:numPr>
        <w:tabs>
          <w:tab w:val="left" w:pos="817"/>
          <w:tab w:val="clear" w:pos="454"/>
        </w:tabs>
        <w:adjustRightInd w:val="0"/>
        <w:spacing w:line="360" w:lineRule="auto"/>
        <w:ind w:left="817" w:hanging="397"/>
        <w:jc w:val="left"/>
        <w:textAlignment w:val="baseline"/>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开户行：</w:t>
      </w:r>
      <w:r>
        <w:rPr>
          <w:rFonts w:hint="eastAsia" w:ascii="宋体" w:hAnsi="宋体" w:eastAsia="宋体" w:cs="Times New Roman"/>
          <w:color w:val="auto"/>
          <w:kern w:val="0"/>
          <w:sz w:val="24"/>
          <w:szCs w:val="24"/>
          <w:highlight w:val="none"/>
          <w:u w:val="single"/>
        </w:rPr>
        <w:t xml:space="preserve">         （开户行全称）                   </w:t>
      </w:r>
    </w:p>
    <w:p w14:paraId="50C80063">
      <w:pPr>
        <w:widowControl/>
        <w:numPr>
          <w:ilvl w:val="1"/>
          <w:numId w:val="20"/>
        </w:numPr>
        <w:tabs>
          <w:tab w:val="left" w:pos="817"/>
          <w:tab w:val="clear" w:pos="454"/>
        </w:tabs>
        <w:adjustRightInd w:val="0"/>
        <w:spacing w:line="360" w:lineRule="auto"/>
        <w:ind w:left="817" w:hanging="397"/>
        <w:jc w:val="left"/>
        <w:textAlignment w:val="baseline"/>
        <w:rPr>
          <w:rFonts w:ascii="宋体" w:hAnsi="宋体" w:eastAsia="宋体" w:cs="Times New Roman"/>
          <w:b/>
          <w:bCs/>
          <w:color w:val="auto"/>
          <w:kern w:val="0"/>
          <w:sz w:val="24"/>
          <w:szCs w:val="24"/>
          <w:highlight w:val="none"/>
        </w:rPr>
      </w:pPr>
      <w:r>
        <w:rPr>
          <w:rFonts w:hint="eastAsia" w:ascii="宋体" w:hAnsi="宋体" w:eastAsia="宋体" w:cs="Times New Roman"/>
          <w:color w:val="auto"/>
          <w:kern w:val="0"/>
          <w:sz w:val="24"/>
          <w:szCs w:val="24"/>
          <w:highlight w:val="none"/>
          <w:lang w:eastAsia="zh-CN"/>
        </w:rPr>
        <w:t>账</w:t>
      </w:r>
      <w:r>
        <w:rPr>
          <w:rFonts w:hint="eastAsia" w:ascii="宋体" w:hAnsi="宋体" w:eastAsia="宋体" w:cs="Times New Roman"/>
          <w:color w:val="auto"/>
          <w:kern w:val="0"/>
          <w:sz w:val="24"/>
          <w:szCs w:val="24"/>
          <w:highlight w:val="none"/>
        </w:rPr>
        <w:t xml:space="preserve">  号：</w:t>
      </w:r>
      <w:r>
        <w:rPr>
          <w:rFonts w:hint="eastAsia" w:ascii="宋体" w:hAnsi="宋体" w:eastAsia="宋体" w:cs="Times New Roman"/>
          <w:color w:val="auto"/>
          <w:kern w:val="0"/>
          <w:sz w:val="24"/>
          <w:szCs w:val="24"/>
          <w:highlight w:val="none"/>
          <w:u w:val="single"/>
        </w:rPr>
        <w:t xml:space="preserve">                   </w:t>
      </w:r>
    </w:p>
    <w:p w14:paraId="0CF225C3">
      <w:pPr>
        <w:pStyle w:val="18"/>
        <w:rPr>
          <w:color w:val="auto"/>
          <w:highlight w:val="none"/>
        </w:rPr>
      </w:pPr>
    </w:p>
    <w:p w14:paraId="0A1A11A0">
      <w:pPr>
        <w:spacing w:line="440" w:lineRule="exact"/>
        <w:ind w:firstLine="480" w:firstLineChars="200"/>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投标人：</w:t>
      </w:r>
      <w:r>
        <w:rPr>
          <w:rFonts w:hint="eastAsia" w:ascii="宋体" w:hAnsi="宋体" w:eastAsia="宋体" w:cs="宋体"/>
          <w:bCs/>
          <w:color w:val="auto"/>
          <w:sz w:val="24"/>
          <w:highlight w:val="none"/>
          <w:u w:val="single"/>
        </w:rPr>
        <w:t>（全称并加盖单位公章）</w:t>
      </w:r>
    </w:p>
    <w:p w14:paraId="2B9DC49E">
      <w:pPr>
        <w:spacing w:line="440" w:lineRule="exact"/>
        <w:ind w:firstLine="480" w:firstLineChars="200"/>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投标人代表签字：</w:t>
      </w:r>
      <w:r>
        <w:rPr>
          <w:rFonts w:hint="eastAsia" w:ascii="宋体" w:hAnsi="宋体" w:eastAsia="宋体" w:cs="宋体"/>
          <w:bCs/>
          <w:color w:val="auto"/>
          <w:sz w:val="24"/>
          <w:highlight w:val="none"/>
          <w:u w:val="single"/>
        </w:rPr>
        <w:t xml:space="preserve">          </w:t>
      </w:r>
    </w:p>
    <w:p w14:paraId="7FA5D999">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日期：    年   月   日</w:t>
      </w:r>
    </w:p>
    <w:p w14:paraId="0333F3C0">
      <w:pPr>
        <w:pStyle w:val="19"/>
        <w:widowControl/>
        <w:rPr>
          <w:color w:val="auto"/>
          <w:highlight w:val="none"/>
        </w:rPr>
      </w:pPr>
    </w:p>
    <w:p w14:paraId="6B348005">
      <w:pPr>
        <w:pStyle w:val="19"/>
        <w:widowControl/>
        <w:rPr>
          <w:color w:val="auto"/>
          <w:highlight w:val="none"/>
        </w:rPr>
      </w:pPr>
    </w:p>
    <w:p w14:paraId="1DBC6FAF">
      <w:pPr>
        <w:pStyle w:val="19"/>
        <w:widowControl/>
        <w:jc w:val="center"/>
        <w:rPr>
          <w:color w:val="auto"/>
          <w:highlight w:val="none"/>
        </w:rPr>
      </w:pPr>
      <w:r>
        <w:rPr>
          <w:rStyle w:val="26"/>
          <w:rFonts w:hint="eastAsia" w:ascii="宋体" w:hAnsi="宋体" w:cs="宋体"/>
          <w:color w:val="auto"/>
          <w:sz w:val="28"/>
          <w:szCs w:val="28"/>
          <w:highlight w:val="none"/>
        </w:rPr>
        <w:t>封面格式</w:t>
      </w:r>
    </w:p>
    <w:p w14:paraId="641FFA8A">
      <w:pPr>
        <w:pStyle w:val="19"/>
        <w:widowControl/>
        <w:rPr>
          <w:color w:val="auto"/>
          <w:highlight w:val="none"/>
        </w:rPr>
      </w:pPr>
      <w:r>
        <w:rPr>
          <w:rFonts w:hint="eastAsia" w:ascii="宋体" w:hAnsi="宋体" w:cs="宋体"/>
          <w:color w:val="auto"/>
          <w:sz w:val="36"/>
          <w:szCs w:val="36"/>
          <w:highlight w:val="none"/>
        </w:rPr>
        <w:t>   </w:t>
      </w:r>
    </w:p>
    <w:p w14:paraId="0F543531">
      <w:pPr>
        <w:pStyle w:val="19"/>
        <w:widowControl/>
        <w:jc w:val="center"/>
        <w:rPr>
          <w:color w:val="auto"/>
          <w:highlight w:val="none"/>
        </w:rPr>
      </w:pPr>
      <w:r>
        <w:rPr>
          <w:rStyle w:val="26"/>
          <w:rFonts w:hint="eastAsia" w:ascii="宋体" w:hAnsi="宋体" w:cs="宋体"/>
          <w:color w:val="auto"/>
          <w:sz w:val="48"/>
          <w:szCs w:val="48"/>
          <w:highlight w:val="none"/>
        </w:rPr>
        <w:t>政府采购投标文件</w:t>
      </w:r>
    </w:p>
    <w:p w14:paraId="707900B6">
      <w:pPr>
        <w:pStyle w:val="19"/>
        <w:widowControl/>
        <w:jc w:val="center"/>
        <w:rPr>
          <w:color w:val="auto"/>
          <w:highlight w:val="none"/>
        </w:rPr>
      </w:pPr>
      <w:r>
        <w:rPr>
          <w:rStyle w:val="26"/>
          <w:rFonts w:hint="eastAsia" w:ascii="宋体" w:hAnsi="宋体" w:cs="宋体"/>
          <w:color w:val="auto"/>
          <w:sz w:val="48"/>
          <w:szCs w:val="48"/>
          <w:highlight w:val="none"/>
        </w:rPr>
        <w:t>（报价部分）</w:t>
      </w:r>
    </w:p>
    <w:p w14:paraId="13C38B4D">
      <w:pPr>
        <w:pStyle w:val="19"/>
        <w:widowControl/>
        <w:rPr>
          <w:color w:val="auto"/>
          <w:highlight w:val="none"/>
        </w:rPr>
      </w:pPr>
      <w:r>
        <w:rPr>
          <w:rFonts w:hint="eastAsia" w:ascii="宋体" w:hAnsi="宋体" w:cs="宋体"/>
          <w:color w:val="auto"/>
          <w:sz w:val="36"/>
          <w:szCs w:val="36"/>
          <w:highlight w:val="none"/>
        </w:rPr>
        <w:t> </w:t>
      </w:r>
    </w:p>
    <w:p w14:paraId="73FC6B1E">
      <w:pPr>
        <w:pStyle w:val="19"/>
        <w:widowControl/>
        <w:jc w:val="center"/>
        <w:rPr>
          <w:color w:val="auto"/>
          <w:highlight w:val="none"/>
        </w:rPr>
      </w:pPr>
      <w:r>
        <w:rPr>
          <w:rStyle w:val="26"/>
          <w:rFonts w:hint="eastAsia" w:ascii="宋体" w:hAnsi="宋体" w:cs="宋体"/>
          <w:color w:val="auto"/>
          <w:sz w:val="36"/>
          <w:szCs w:val="36"/>
          <w:highlight w:val="none"/>
          <w:u w:val="single"/>
        </w:rPr>
        <w:t>（填写正本或副本）</w:t>
      </w:r>
    </w:p>
    <w:p w14:paraId="36366856">
      <w:pPr>
        <w:pStyle w:val="19"/>
        <w:widowControl/>
        <w:rPr>
          <w:color w:val="auto"/>
          <w:highlight w:val="none"/>
        </w:rPr>
      </w:pPr>
      <w:r>
        <w:rPr>
          <w:rFonts w:hint="eastAsia" w:ascii="宋体" w:hAnsi="宋体" w:cs="宋体"/>
          <w:color w:val="auto"/>
          <w:sz w:val="36"/>
          <w:szCs w:val="36"/>
          <w:highlight w:val="none"/>
        </w:rPr>
        <w:t> </w:t>
      </w:r>
    </w:p>
    <w:p w14:paraId="65C6B8FD">
      <w:pPr>
        <w:pStyle w:val="19"/>
        <w:widowControl/>
        <w:ind w:firstLine="1920"/>
        <w:rPr>
          <w:color w:val="auto"/>
          <w:highlight w:val="none"/>
        </w:rPr>
      </w:pPr>
      <w:r>
        <w:rPr>
          <w:rStyle w:val="26"/>
          <w:rFonts w:hint="eastAsia" w:ascii="宋体" w:hAnsi="宋体" w:cs="宋体"/>
          <w:color w:val="auto"/>
          <w:sz w:val="31"/>
          <w:szCs w:val="31"/>
          <w:highlight w:val="none"/>
        </w:rPr>
        <w:t>项目名称：</w:t>
      </w:r>
      <w:r>
        <w:rPr>
          <w:rStyle w:val="26"/>
          <w:rFonts w:hint="eastAsia" w:ascii="宋体" w:hAnsi="宋体" w:cs="宋体"/>
          <w:color w:val="auto"/>
          <w:sz w:val="31"/>
          <w:szCs w:val="31"/>
          <w:highlight w:val="none"/>
          <w:u w:val="single"/>
        </w:rPr>
        <w:t>（由投标人填写）</w:t>
      </w:r>
    </w:p>
    <w:p w14:paraId="78986A80">
      <w:pPr>
        <w:pStyle w:val="19"/>
        <w:widowControl/>
        <w:ind w:firstLine="1920"/>
        <w:rPr>
          <w:color w:val="auto"/>
          <w:highlight w:val="none"/>
        </w:rPr>
      </w:pPr>
      <w:r>
        <w:rPr>
          <w:rStyle w:val="26"/>
          <w:rFonts w:hint="eastAsia" w:ascii="宋体" w:hAnsi="宋体" w:cs="宋体"/>
          <w:color w:val="auto"/>
          <w:sz w:val="31"/>
          <w:szCs w:val="31"/>
          <w:highlight w:val="none"/>
        </w:rPr>
        <w:t>项目编号：</w:t>
      </w:r>
      <w:r>
        <w:rPr>
          <w:rStyle w:val="26"/>
          <w:rFonts w:hint="eastAsia" w:ascii="宋体" w:hAnsi="宋体" w:cs="宋体"/>
          <w:color w:val="auto"/>
          <w:sz w:val="31"/>
          <w:szCs w:val="31"/>
          <w:highlight w:val="none"/>
          <w:u w:val="single"/>
        </w:rPr>
        <w:t>（由投标人填写）</w:t>
      </w:r>
    </w:p>
    <w:p w14:paraId="78D74EC6">
      <w:pPr>
        <w:pStyle w:val="19"/>
        <w:widowControl/>
        <w:ind w:firstLine="1920"/>
        <w:rPr>
          <w:color w:val="auto"/>
          <w:highlight w:val="none"/>
        </w:rPr>
      </w:pPr>
      <w:r>
        <w:rPr>
          <w:rStyle w:val="26"/>
          <w:rFonts w:hint="eastAsia" w:ascii="宋体" w:hAnsi="宋体" w:cs="宋体"/>
          <w:color w:val="auto"/>
          <w:sz w:val="31"/>
          <w:szCs w:val="31"/>
          <w:highlight w:val="none"/>
        </w:rPr>
        <w:t>所投采购包：</w:t>
      </w:r>
      <w:r>
        <w:rPr>
          <w:rStyle w:val="26"/>
          <w:rFonts w:hint="eastAsia" w:ascii="宋体" w:hAnsi="宋体" w:cs="宋体"/>
          <w:color w:val="auto"/>
          <w:sz w:val="31"/>
          <w:szCs w:val="31"/>
          <w:highlight w:val="none"/>
          <w:u w:val="single"/>
        </w:rPr>
        <w:t>（由投标人填写）</w:t>
      </w:r>
    </w:p>
    <w:p w14:paraId="4B854709">
      <w:pPr>
        <w:pStyle w:val="19"/>
        <w:widowControl/>
        <w:rPr>
          <w:color w:val="auto"/>
          <w:highlight w:val="none"/>
        </w:rPr>
      </w:pPr>
      <w:r>
        <w:rPr>
          <w:rFonts w:hint="eastAsia" w:ascii="宋体" w:hAnsi="宋体" w:cs="宋体"/>
          <w:color w:val="auto"/>
          <w:sz w:val="36"/>
          <w:szCs w:val="36"/>
          <w:highlight w:val="none"/>
        </w:rPr>
        <w:t> </w:t>
      </w:r>
    </w:p>
    <w:p w14:paraId="5B74F1DD">
      <w:pPr>
        <w:pStyle w:val="19"/>
        <w:widowControl/>
        <w:rPr>
          <w:color w:val="auto"/>
          <w:highlight w:val="none"/>
        </w:rPr>
      </w:pPr>
      <w:r>
        <w:rPr>
          <w:rFonts w:hint="eastAsia" w:ascii="宋体" w:hAnsi="宋体" w:cs="宋体"/>
          <w:color w:val="auto"/>
          <w:sz w:val="36"/>
          <w:szCs w:val="36"/>
          <w:highlight w:val="none"/>
        </w:rPr>
        <w:t> </w:t>
      </w:r>
    </w:p>
    <w:p w14:paraId="248D3EBA">
      <w:pPr>
        <w:pStyle w:val="19"/>
        <w:widowControl/>
        <w:jc w:val="center"/>
        <w:rPr>
          <w:color w:val="auto"/>
          <w:highlight w:val="none"/>
        </w:rPr>
      </w:pPr>
      <w:r>
        <w:rPr>
          <w:rStyle w:val="26"/>
          <w:rFonts w:hint="eastAsia" w:ascii="宋体" w:hAnsi="宋体" w:cs="宋体"/>
          <w:color w:val="auto"/>
          <w:sz w:val="31"/>
          <w:szCs w:val="31"/>
          <w:highlight w:val="none"/>
        </w:rPr>
        <w:t>投标人：</w:t>
      </w:r>
      <w:r>
        <w:rPr>
          <w:rStyle w:val="26"/>
          <w:rFonts w:hint="eastAsia" w:ascii="宋体" w:hAnsi="宋体" w:cs="宋体"/>
          <w:color w:val="auto"/>
          <w:sz w:val="31"/>
          <w:szCs w:val="31"/>
          <w:highlight w:val="none"/>
          <w:u w:val="single"/>
        </w:rPr>
        <w:t>（填写“全称”）</w:t>
      </w:r>
    </w:p>
    <w:p w14:paraId="113003CE">
      <w:pPr>
        <w:pStyle w:val="19"/>
        <w:widowControl/>
        <w:jc w:val="center"/>
        <w:rPr>
          <w:color w:val="auto"/>
          <w:highlight w:val="none"/>
        </w:rPr>
      </w:pPr>
      <w:r>
        <w:rPr>
          <w:rStyle w:val="26"/>
          <w:rFonts w:hint="eastAsia" w:ascii="宋体" w:hAnsi="宋体" w:cs="宋体"/>
          <w:color w:val="auto"/>
          <w:sz w:val="31"/>
          <w:szCs w:val="31"/>
          <w:highlight w:val="none"/>
          <w:u w:val="single"/>
        </w:rPr>
        <w:t>（由投标人填写）</w:t>
      </w:r>
      <w:r>
        <w:rPr>
          <w:rStyle w:val="26"/>
          <w:rFonts w:hint="eastAsia" w:ascii="宋体" w:hAnsi="宋体" w:cs="宋体"/>
          <w:color w:val="auto"/>
          <w:sz w:val="31"/>
          <w:szCs w:val="31"/>
          <w:highlight w:val="none"/>
        </w:rPr>
        <w:t>年</w:t>
      </w:r>
      <w:r>
        <w:rPr>
          <w:rStyle w:val="26"/>
          <w:rFonts w:hint="eastAsia" w:ascii="宋体" w:hAnsi="宋体" w:cs="宋体"/>
          <w:color w:val="auto"/>
          <w:sz w:val="31"/>
          <w:szCs w:val="31"/>
          <w:highlight w:val="none"/>
          <w:u w:val="single"/>
        </w:rPr>
        <w:t>（由投标人填写）</w:t>
      </w:r>
      <w:r>
        <w:rPr>
          <w:rStyle w:val="26"/>
          <w:rFonts w:hint="eastAsia" w:ascii="宋体" w:hAnsi="宋体" w:cs="宋体"/>
          <w:color w:val="auto"/>
          <w:sz w:val="31"/>
          <w:szCs w:val="31"/>
          <w:highlight w:val="none"/>
        </w:rPr>
        <w:t>月</w:t>
      </w:r>
    </w:p>
    <w:p w14:paraId="0AC6A674">
      <w:pPr>
        <w:pStyle w:val="19"/>
        <w:widowControl/>
        <w:rPr>
          <w:color w:val="auto"/>
          <w:highlight w:val="none"/>
        </w:rPr>
      </w:pPr>
      <w:r>
        <w:rPr>
          <w:rFonts w:hint="eastAsia" w:ascii="宋体" w:hAnsi="宋体" w:cs="宋体"/>
          <w:color w:val="auto"/>
          <w:sz w:val="21"/>
          <w:szCs w:val="21"/>
          <w:highlight w:val="none"/>
        </w:rPr>
        <w:t> </w:t>
      </w:r>
    </w:p>
    <w:p w14:paraId="1B74DBC1">
      <w:pPr>
        <w:pStyle w:val="19"/>
        <w:widowControl/>
        <w:rPr>
          <w:color w:val="auto"/>
          <w:highlight w:val="none"/>
        </w:rPr>
      </w:pPr>
      <w:r>
        <w:rPr>
          <w:rFonts w:hint="eastAsia" w:ascii="宋体" w:hAnsi="宋体" w:cs="宋体"/>
          <w:color w:val="auto"/>
          <w:sz w:val="21"/>
          <w:szCs w:val="21"/>
          <w:highlight w:val="none"/>
        </w:rPr>
        <w:t> </w:t>
      </w:r>
    </w:p>
    <w:p w14:paraId="7743E184">
      <w:pPr>
        <w:pStyle w:val="19"/>
        <w:widowControl/>
        <w:jc w:val="center"/>
        <w:rPr>
          <w:rStyle w:val="26"/>
          <w:rFonts w:ascii="宋体" w:hAnsi="宋体" w:cs="宋体"/>
          <w:color w:val="auto"/>
          <w:sz w:val="28"/>
          <w:szCs w:val="28"/>
          <w:highlight w:val="none"/>
        </w:rPr>
      </w:pPr>
    </w:p>
    <w:p w14:paraId="25F1B2E6">
      <w:pPr>
        <w:pStyle w:val="19"/>
        <w:widowControl/>
        <w:jc w:val="center"/>
        <w:rPr>
          <w:color w:val="auto"/>
          <w:highlight w:val="none"/>
        </w:rPr>
      </w:pPr>
      <w:r>
        <w:rPr>
          <w:rStyle w:val="26"/>
          <w:rFonts w:hint="eastAsia" w:ascii="宋体" w:hAnsi="宋体" w:cs="宋体"/>
          <w:color w:val="auto"/>
          <w:sz w:val="28"/>
          <w:szCs w:val="28"/>
          <w:highlight w:val="none"/>
        </w:rPr>
        <w:t>索引</w:t>
      </w:r>
    </w:p>
    <w:p w14:paraId="4C50A8A6">
      <w:pPr>
        <w:pStyle w:val="19"/>
        <w:widowControl/>
        <w:rPr>
          <w:color w:val="auto"/>
          <w:highlight w:val="none"/>
        </w:rPr>
      </w:pPr>
      <w:r>
        <w:rPr>
          <w:rFonts w:hint="eastAsia" w:ascii="宋体" w:hAnsi="宋体" w:cs="宋体"/>
          <w:color w:val="auto"/>
          <w:sz w:val="28"/>
          <w:szCs w:val="28"/>
          <w:highlight w:val="none"/>
        </w:rPr>
        <w:t>一、开标一览表</w:t>
      </w:r>
    </w:p>
    <w:p w14:paraId="62597FC5">
      <w:pPr>
        <w:pStyle w:val="19"/>
        <w:widowControl/>
        <w:rPr>
          <w:color w:val="auto"/>
          <w:highlight w:val="none"/>
        </w:rPr>
      </w:pPr>
      <w:r>
        <w:rPr>
          <w:rFonts w:hint="eastAsia" w:ascii="宋体" w:hAnsi="宋体" w:cs="宋体"/>
          <w:color w:val="auto"/>
          <w:sz w:val="28"/>
          <w:szCs w:val="28"/>
          <w:highlight w:val="none"/>
        </w:rPr>
        <w:t>二、投标分项报价表</w:t>
      </w:r>
    </w:p>
    <w:p w14:paraId="19B7065D">
      <w:pPr>
        <w:pStyle w:val="19"/>
        <w:widowControl/>
        <w:rPr>
          <w:color w:val="auto"/>
          <w:highlight w:val="none"/>
        </w:rPr>
      </w:pPr>
      <w:r>
        <w:rPr>
          <w:rFonts w:hint="eastAsia" w:ascii="宋体" w:hAnsi="宋体" w:cs="宋体"/>
          <w:color w:val="auto"/>
          <w:sz w:val="28"/>
          <w:szCs w:val="28"/>
          <w:highlight w:val="none"/>
        </w:rPr>
        <w:t>三、招标文件规定的价格扣除证明材料（若有）</w:t>
      </w:r>
    </w:p>
    <w:p w14:paraId="18C8AEAF">
      <w:pPr>
        <w:pStyle w:val="19"/>
        <w:widowControl/>
        <w:rPr>
          <w:color w:val="auto"/>
          <w:highlight w:val="none"/>
        </w:rPr>
      </w:pPr>
      <w:r>
        <w:rPr>
          <w:rFonts w:hint="eastAsia" w:ascii="宋体" w:hAnsi="宋体" w:cs="宋体"/>
          <w:color w:val="auto"/>
          <w:sz w:val="28"/>
          <w:szCs w:val="28"/>
          <w:highlight w:val="none"/>
        </w:rPr>
        <w:t>四、招标文件规定的加分证明材料（若有）</w:t>
      </w:r>
    </w:p>
    <w:p w14:paraId="011B567C">
      <w:pPr>
        <w:pStyle w:val="19"/>
        <w:widowControl/>
        <w:rPr>
          <w:color w:val="auto"/>
          <w:highlight w:val="none"/>
        </w:rPr>
      </w:pPr>
      <w:r>
        <w:rPr>
          <w:rFonts w:hint="eastAsia" w:ascii="宋体" w:hAnsi="宋体" w:cs="宋体"/>
          <w:color w:val="auto"/>
          <w:sz w:val="21"/>
          <w:szCs w:val="21"/>
          <w:highlight w:val="none"/>
        </w:rPr>
        <w:t> </w:t>
      </w:r>
    </w:p>
    <w:p w14:paraId="66C21672">
      <w:pPr>
        <w:pStyle w:val="19"/>
        <w:widowControl/>
        <w:rPr>
          <w:color w:val="auto"/>
          <w:highlight w:val="none"/>
        </w:rPr>
      </w:pPr>
      <w:r>
        <w:rPr>
          <w:rFonts w:hint="eastAsia" w:ascii="宋体" w:hAnsi="宋体" w:cs="宋体"/>
          <w:color w:val="auto"/>
          <w:sz w:val="21"/>
          <w:szCs w:val="21"/>
          <w:highlight w:val="none"/>
        </w:rPr>
        <w:t> </w:t>
      </w:r>
    </w:p>
    <w:p w14:paraId="460DBC90">
      <w:pPr>
        <w:pStyle w:val="19"/>
        <w:widowControl/>
        <w:jc w:val="center"/>
        <w:rPr>
          <w:rFonts w:ascii="Calibri" w:hAnsi="Calibri" w:cs="Calibri"/>
          <w:color w:val="auto"/>
          <w:sz w:val="21"/>
          <w:szCs w:val="21"/>
          <w:highlight w:val="none"/>
        </w:rPr>
      </w:pPr>
    </w:p>
    <w:p w14:paraId="522CA2ED">
      <w:pPr>
        <w:pStyle w:val="19"/>
        <w:widowControl/>
        <w:jc w:val="center"/>
        <w:rPr>
          <w:rFonts w:ascii="Calibri" w:hAnsi="Calibri" w:cs="Calibri"/>
          <w:color w:val="auto"/>
          <w:sz w:val="21"/>
          <w:szCs w:val="21"/>
          <w:highlight w:val="none"/>
        </w:rPr>
      </w:pPr>
    </w:p>
    <w:p w14:paraId="69A9ADDB">
      <w:pPr>
        <w:pStyle w:val="19"/>
        <w:widowControl/>
        <w:jc w:val="center"/>
        <w:rPr>
          <w:rFonts w:ascii="Calibri" w:hAnsi="Calibri" w:cs="Calibri"/>
          <w:color w:val="auto"/>
          <w:sz w:val="21"/>
          <w:szCs w:val="21"/>
          <w:highlight w:val="none"/>
        </w:rPr>
      </w:pPr>
    </w:p>
    <w:p w14:paraId="03C3F874">
      <w:pPr>
        <w:pStyle w:val="19"/>
        <w:widowControl/>
        <w:jc w:val="center"/>
        <w:rPr>
          <w:rFonts w:ascii="Calibri" w:hAnsi="Calibri" w:cs="Calibri"/>
          <w:color w:val="auto"/>
          <w:sz w:val="21"/>
          <w:szCs w:val="21"/>
          <w:highlight w:val="none"/>
        </w:rPr>
      </w:pPr>
    </w:p>
    <w:p w14:paraId="637E509D">
      <w:pPr>
        <w:pStyle w:val="19"/>
        <w:widowControl/>
        <w:jc w:val="center"/>
        <w:rPr>
          <w:rFonts w:ascii="Calibri" w:hAnsi="Calibri" w:cs="Calibri"/>
          <w:color w:val="auto"/>
          <w:sz w:val="21"/>
          <w:szCs w:val="21"/>
          <w:highlight w:val="none"/>
        </w:rPr>
      </w:pPr>
    </w:p>
    <w:p w14:paraId="6B78B433">
      <w:pPr>
        <w:pStyle w:val="19"/>
        <w:widowControl/>
        <w:jc w:val="center"/>
        <w:rPr>
          <w:rFonts w:ascii="Calibri" w:hAnsi="Calibri" w:cs="Calibri"/>
          <w:color w:val="auto"/>
          <w:sz w:val="21"/>
          <w:szCs w:val="21"/>
          <w:highlight w:val="none"/>
        </w:rPr>
      </w:pPr>
    </w:p>
    <w:p w14:paraId="3E44D6AA">
      <w:pPr>
        <w:pStyle w:val="19"/>
        <w:widowControl/>
        <w:jc w:val="center"/>
        <w:rPr>
          <w:rFonts w:ascii="Calibri" w:hAnsi="Calibri" w:cs="Calibri"/>
          <w:color w:val="auto"/>
          <w:sz w:val="21"/>
          <w:szCs w:val="21"/>
          <w:highlight w:val="none"/>
        </w:rPr>
      </w:pPr>
    </w:p>
    <w:p w14:paraId="2C50C29C">
      <w:pPr>
        <w:pStyle w:val="19"/>
        <w:widowControl/>
        <w:jc w:val="center"/>
        <w:rPr>
          <w:rFonts w:ascii="Calibri" w:hAnsi="Calibri" w:cs="Calibri"/>
          <w:color w:val="auto"/>
          <w:sz w:val="21"/>
          <w:szCs w:val="21"/>
          <w:highlight w:val="none"/>
        </w:rPr>
      </w:pPr>
    </w:p>
    <w:p w14:paraId="68FF8E8A">
      <w:pPr>
        <w:pStyle w:val="19"/>
        <w:widowControl/>
        <w:jc w:val="center"/>
        <w:rPr>
          <w:rFonts w:ascii="Calibri" w:hAnsi="Calibri" w:cs="Calibri"/>
          <w:color w:val="auto"/>
          <w:sz w:val="21"/>
          <w:szCs w:val="21"/>
          <w:highlight w:val="none"/>
        </w:rPr>
      </w:pPr>
    </w:p>
    <w:p w14:paraId="4AB53FCE">
      <w:pPr>
        <w:pStyle w:val="19"/>
        <w:widowControl/>
        <w:jc w:val="center"/>
        <w:rPr>
          <w:rFonts w:ascii="Calibri" w:hAnsi="Calibri" w:cs="Calibri"/>
          <w:color w:val="auto"/>
          <w:sz w:val="21"/>
          <w:szCs w:val="21"/>
          <w:highlight w:val="none"/>
        </w:rPr>
      </w:pPr>
    </w:p>
    <w:p w14:paraId="79848983">
      <w:pPr>
        <w:pStyle w:val="19"/>
        <w:widowControl/>
        <w:jc w:val="center"/>
        <w:rPr>
          <w:rFonts w:ascii="Calibri" w:hAnsi="Calibri" w:cs="Calibri"/>
          <w:color w:val="auto"/>
          <w:sz w:val="21"/>
          <w:szCs w:val="21"/>
          <w:highlight w:val="none"/>
        </w:rPr>
      </w:pPr>
    </w:p>
    <w:p w14:paraId="7F08A7FF">
      <w:pPr>
        <w:pStyle w:val="19"/>
        <w:widowControl/>
        <w:jc w:val="center"/>
        <w:rPr>
          <w:rStyle w:val="26"/>
          <w:rFonts w:hint="eastAsia" w:ascii="宋体" w:hAnsi="宋体" w:cs="宋体"/>
          <w:color w:val="auto"/>
          <w:sz w:val="21"/>
          <w:szCs w:val="21"/>
          <w:highlight w:val="none"/>
        </w:rPr>
      </w:pPr>
    </w:p>
    <w:p w14:paraId="6A586A92">
      <w:pPr>
        <w:pStyle w:val="19"/>
        <w:widowControl/>
        <w:jc w:val="center"/>
        <w:rPr>
          <w:rStyle w:val="26"/>
          <w:rFonts w:hint="eastAsia" w:ascii="宋体" w:hAnsi="宋体" w:cs="宋体"/>
          <w:color w:val="auto"/>
          <w:sz w:val="21"/>
          <w:szCs w:val="21"/>
          <w:highlight w:val="none"/>
        </w:rPr>
      </w:pPr>
    </w:p>
    <w:p w14:paraId="6810CE65">
      <w:pPr>
        <w:pStyle w:val="19"/>
        <w:widowControl/>
        <w:jc w:val="center"/>
        <w:rPr>
          <w:color w:val="auto"/>
          <w:sz w:val="32"/>
          <w:szCs w:val="32"/>
          <w:highlight w:val="none"/>
        </w:rPr>
      </w:pPr>
      <w:r>
        <w:rPr>
          <w:rStyle w:val="26"/>
          <w:rFonts w:hint="eastAsia" w:ascii="宋体" w:hAnsi="宋体" w:cs="宋体"/>
          <w:color w:val="auto"/>
          <w:sz w:val="24"/>
          <w:szCs w:val="24"/>
          <w:highlight w:val="none"/>
        </w:rPr>
        <w:t>一、开标一览表</w:t>
      </w:r>
    </w:p>
    <w:p w14:paraId="034FF77F">
      <w:pPr>
        <w:pStyle w:val="19"/>
        <w:widowControl/>
        <w:rPr>
          <w:color w:val="auto"/>
          <w:highlight w:val="none"/>
        </w:rPr>
      </w:pP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u w:val="single"/>
        </w:rPr>
        <w:t>                   </w:t>
      </w:r>
    </w:p>
    <w:p w14:paraId="06F4D8F3">
      <w:pPr>
        <w:pStyle w:val="19"/>
        <w:widowControl/>
        <w:jc w:val="right"/>
        <w:rPr>
          <w:color w:val="auto"/>
          <w:highlight w:val="none"/>
        </w:rPr>
      </w:pPr>
      <w:r>
        <w:rPr>
          <w:rFonts w:hint="eastAsia" w:ascii="宋体" w:hAnsi="宋体" w:cs="宋体"/>
          <w:color w:val="auto"/>
          <w:sz w:val="21"/>
          <w:szCs w:val="21"/>
          <w:highlight w:val="none"/>
        </w:rPr>
        <w:t>货币及单位：人民币元</w:t>
      </w:r>
    </w:p>
    <w:tbl>
      <w:tblPr>
        <w:tblStyle w:val="23"/>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842"/>
        <w:gridCol w:w="1664"/>
        <w:gridCol w:w="1275"/>
        <w:gridCol w:w="5141"/>
      </w:tblGrid>
      <w:tr w14:paraId="7C2E7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17C66CD1">
            <w:pPr>
              <w:tabs>
                <w:tab w:val="left" w:pos="900"/>
              </w:tabs>
              <w:spacing w:line="3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采购包</w:t>
            </w:r>
          </w:p>
        </w:tc>
        <w:tc>
          <w:tcPr>
            <w:tcW w:w="842" w:type="dxa"/>
            <w:tcBorders>
              <w:top w:val="single" w:color="auto" w:sz="4" w:space="0"/>
              <w:left w:val="single" w:color="auto" w:sz="4" w:space="0"/>
              <w:bottom w:val="single" w:color="auto" w:sz="4" w:space="0"/>
              <w:right w:val="single" w:color="auto" w:sz="4" w:space="0"/>
            </w:tcBorders>
            <w:vAlign w:val="center"/>
          </w:tcPr>
          <w:p w14:paraId="0A5C38C8">
            <w:pPr>
              <w:tabs>
                <w:tab w:val="left" w:pos="900"/>
              </w:tabs>
              <w:spacing w:line="300" w:lineRule="exact"/>
              <w:jc w:val="center"/>
              <w:rPr>
                <w:rFonts w:ascii="宋体" w:hAnsi="宋体" w:cs="宋体"/>
                <w:color w:val="auto"/>
                <w:sz w:val="24"/>
                <w:highlight w:val="none"/>
              </w:rPr>
            </w:pPr>
            <w:r>
              <w:rPr>
                <w:rFonts w:hint="eastAsia" w:ascii="宋体" w:hAnsi="宋体" w:cs="宋体"/>
                <w:color w:val="auto"/>
                <w:sz w:val="24"/>
                <w:highlight w:val="none"/>
              </w:rPr>
              <w:t>品目号</w:t>
            </w:r>
          </w:p>
        </w:tc>
        <w:tc>
          <w:tcPr>
            <w:tcW w:w="1664" w:type="dxa"/>
            <w:tcBorders>
              <w:top w:val="single" w:color="auto" w:sz="4" w:space="0"/>
              <w:left w:val="single" w:color="auto" w:sz="4" w:space="0"/>
              <w:bottom w:val="single" w:color="auto" w:sz="4" w:space="0"/>
              <w:right w:val="single" w:color="auto" w:sz="4" w:space="0"/>
            </w:tcBorders>
            <w:vAlign w:val="center"/>
          </w:tcPr>
          <w:p w14:paraId="7D638677">
            <w:pPr>
              <w:tabs>
                <w:tab w:val="left" w:pos="900"/>
              </w:tabs>
              <w:spacing w:line="30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标的名称</w:t>
            </w:r>
          </w:p>
        </w:tc>
        <w:tc>
          <w:tcPr>
            <w:tcW w:w="1275" w:type="dxa"/>
            <w:tcBorders>
              <w:top w:val="single" w:color="auto" w:sz="4" w:space="0"/>
              <w:left w:val="single" w:color="auto" w:sz="4" w:space="0"/>
              <w:bottom w:val="single" w:color="auto" w:sz="4" w:space="0"/>
              <w:right w:val="single" w:color="auto" w:sz="4" w:space="0"/>
            </w:tcBorders>
            <w:vAlign w:val="center"/>
          </w:tcPr>
          <w:p w14:paraId="5F19EB61">
            <w:pPr>
              <w:tabs>
                <w:tab w:val="left" w:pos="900"/>
              </w:tabs>
              <w:spacing w:line="300" w:lineRule="exact"/>
              <w:jc w:val="center"/>
              <w:rPr>
                <w:rFonts w:ascii="宋体" w:hAnsi="宋体" w:cs="宋体"/>
                <w:color w:val="auto"/>
                <w:sz w:val="24"/>
                <w:highlight w:val="none"/>
              </w:rPr>
            </w:pPr>
            <w:r>
              <w:rPr>
                <w:rFonts w:hint="eastAsia" w:ascii="宋体" w:hAnsi="宋体" w:cs="宋体"/>
                <w:color w:val="auto"/>
                <w:sz w:val="24"/>
                <w:highlight w:val="none"/>
              </w:rPr>
              <w:t>数量</w:t>
            </w:r>
          </w:p>
        </w:tc>
        <w:tc>
          <w:tcPr>
            <w:tcW w:w="5141" w:type="dxa"/>
            <w:tcBorders>
              <w:top w:val="single" w:color="auto" w:sz="4" w:space="0"/>
              <w:left w:val="single" w:color="auto" w:sz="4" w:space="0"/>
              <w:bottom w:val="single" w:color="auto" w:sz="4" w:space="0"/>
              <w:right w:val="single" w:color="auto" w:sz="4" w:space="0"/>
            </w:tcBorders>
            <w:vAlign w:val="center"/>
          </w:tcPr>
          <w:p w14:paraId="5884D990">
            <w:pPr>
              <w:tabs>
                <w:tab w:val="left" w:pos="900"/>
              </w:tabs>
              <w:spacing w:line="3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投标报价</w:t>
            </w:r>
          </w:p>
        </w:tc>
      </w:tr>
      <w:tr w14:paraId="03E31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377C5D2E">
            <w:pPr>
              <w:tabs>
                <w:tab w:val="left" w:pos="900"/>
              </w:tabs>
              <w:spacing w:line="320" w:lineRule="exact"/>
              <w:jc w:val="center"/>
              <w:rPr>
                <w:rFonts w:ascii="宋体" w:hAnsi="宋体" w:cs="宋体"/>
                <w:color w:val="auto"/>
                <w:sz w:val="24"/>
                <w:highlight w:val="none"/>
              </w:rPr>
            </w:pPr>
          </w:p>
        </w:tc>
        <w:tc>
          <w:tcPr>
            <w:tcW w:w="842" w:type="dxa"/>
            <w:tcBorders>
              <w:top w:val="single" w:color="auto" w:sz="4" w:space="0"/>
              <w:left w:val="single" w:color="auto" w:sz="4" w:space="0"/>
              <w:bottom w:val="single" w:color="auto" w:sz="4" w:space="0"/>
              <w:right w:val="single" w:color="auto" w:sz="4" w:space="0"/>
            </w:tcBorders>
            <w:vAlign w:val="center"/>
          </w:tcPr>
          <w:p w14:paraId="7F6BE109">
            <w:pPr>
              <w:tabs>
                <w:tab w:val="left" w:pos="900"/>
              </w:tabs>
              <w:spacing w:line="320" w:lineRule="exact"/>
              <w:jc w:val="center"/>
              <w:rPr>
                <w:rFonts w:ascii="宋体" w:hAnsi="宋体" w:cs="宋体"/>
                <w:color w:val="auto"/>
                <w:sz w:val="24"/>
                <w:highlight w:val="none"/>
              </w:rPr>
            </w:pPr>
          </w:p>
        </w:tc>
        <w:tc>
          <w:tcPr>
            <w:tcW w:w="1664" w:type="dxa"/>
            <w:tcBorders>
              <w:top w:val="single" w:color="auto" w:sz="4" w:space="0"/>
              <w:left w:val="single" w:color="auto" w:sz="4" w:space="0"/>
              <w:bottom w:val="single" w:color="auto" w:sz="4" w:space="0"/>
              <w:right w:val="single" w:color="auto" w:sz="4" w:space="0"/>
            </w:tcBorders>
            <w:vAlign w:val="center"/>
          </w:tcPr>
          <w:p w14:paraId="581A3520">
            <w:pPr>
              <w:tabs>
                <w:tab w:val="left" w:pos="900"/>
              </w:tabs>
              <w:spacing w:line="320" w:lineRule="exact"/>
              <w:jc w:val="center"/>
              <w:rPr>
                <w:rFonts w:ascii="宋体" w:hAnsi="宋体" w:cs="宋体"/>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553186FF">
            <w:pPr>
              <w:tabs>
                <w:tab w:val="left" w:pos="900"/>
              </w:tabs>
              <w:spacing w:line="320" w:lineRule="exact"/>
              <w:jc w:val="center"/>
              <w:rPr>
                <w:rFonts w:hint="eastAsia" w:ascii="宋体" w:hAnsi="宋体" w:eastAsia="宋体" w:cs="宋体"/>
                <w:color w:val="auto"/>
                <w:sz w:val="24"/>
                <w:highlight w:val="none"/>
                <w:lang w:val="en-US" w:eastAsia="zh-CN"/>
              </w:rPr>
            </w:pPr>
          </w:p>
        </w:tc>
        <w:tc>
          <w:tcPr>
            <w:tcW w:w="5141" w:type="dxa"/>
            <w:tcBorders>
              <w:top w:val="single" w:color="auto" w:sz="4" w:space="0"/>
              <w:left w:val="single" w:color="auto" w:sz="4" w:space="0"/>
              <w:bottom w:val="single" w:color="auto" w:sz="4" w:space="0"/>
              <w:right w:val="single" w:color="auto" w:sz="4" w:space="0"/>
            </w:tcBorders>
            <w:vAlign w:val="center"/>
          </w:tcPr>
          <w:p w14:paraId="138ABE20">
            <w:pPr>
              <w:tabs>
                <w:tab w:val="left" w:pos="900"/>
              </w:tabs>
              <w:spacing w:line="320" w:lineRule="exact"/>
              <w:jc w:val="center"/>
              <w:rPr>
                <w:rFonts w:hint="default" w:ascii="宋体" w:hAnsi="宋体" w:eastAsia="宋体" w:cs="宋体"/>
                <w:color w:val="auto"/>
                <w:sz w:val="24"/>
                <w:highlight w:val="none"/>
                <w:lang w:val="en-US" w:eastAsia="zh-CN"/>
              </w:rPr>
            </w:pPr>
            <w:r>
              <w:rPr>
                <w:rFonts w:hint="eastAsia" w:ascii="宋体" w:hAnsi="宋体" w:eastAsia="宋体" w:cs="宋体"/>
                <w:b/>
                <w:bCs/>
                <w:color w:val="auto"/>
                <w:highlight w:val="none"/>
                <w:u w:val="single"/>
                <w:lang w:val="en-US" w:eastAsia="zh-CN"/>
              </w:rPr>
              <w:t xml:space="preserve">         </w:t>
            </w:r>
            <w:r>
              <w:rPr>
                <w:rFonts w:hint="eastAsia" w:ascii="宋体" w:hAnsi="宋体" w:eastAsia="宋体" w:cs="宋体"/>
                <w:b/>
                <w:bCs/>
                <w:color w:val="auto"/>
                <w:highlight w:val="none"/>
                <w:lang w:eastAsia="zh-CN"/>
              </w:rPr>
              <w:t>元/月（</w:t>
            </w:r>
            <w:r>
              <w:rPr>
                <w:rFonts w:hint="eastAsia" w:ascii="宋体" w:hAnsi="宋体" w:eastAsia="宋体" w:cs="宋体"/>
                <w:b/>
                <w:bCs/>
                <w:color w:val="auto"/>
                <w:highlight w:val="none"/>
                <w:lang w:val="en-US" w:eastAsia="zh-CN"/>
              </w:rPr>
              <w:t>报价为每月</w:t>
            </w:r>
            <w:r>
              <w:rPr>
                <w:rFonts w:hint="eastAsia" w:ascii="宋体" w:hAnsi="宋体" w:eastAsia="宋体" w:cs="宋体"/>
                <w:b/>
                <w:bCs/>
                <w:color w:val="auto"/>
                <w:highlight w:val="none"/>
                <w:lang w:eastAsia="zh-CN"/>
              </w:rPr>
              <w:t>基本</w:t>
            </w:r>
            <w:r>
              <w:rPr>
                <w:rFonts w:hint="eastAsia" w:ascii="宋体" w:hAnsi="宋体" w:eastAsia="宋体" w:cs="宋体"/>
                <w:b/>
                <w:bCs/>
                <w:color w:val="auto"/>
                <w:highlight w:val="none"/>
                <w:lang w:val="en-US" w:eastAsia="zh-CN"/>
              </w:rPr>
              <w:t>费用</w:t>
            </w:r>
            <w:r>
              <w:rPr>
                <w:rFonts w:hint="eastAsia" w:ascii="宋体" w:hAnsi="宋体" w:eastAsia="宋体" w:cs="宋体"/>
                <w:b/>
                <w:bCs/>
                <w:color w:val="auto"/>
                <w:highlight w:val="none"/>
                <w:lang w:eastAsia="zh-CN"/>
              </w:rPr>
              <w:t>，不</w:t>
            </w:r>
            <w:r>
              <w:rPr>
                <w:rFonts w:hint="eastAsia" w:ascii="宋体" w:hAnsi="宋体" w:eastAsia="宋体" w:cs="宋体"/>
                <w:b/>
                <w:bCs/>
                <w:color w:val="auto"/>
                <w:highlight w:val="none"/>
                <w:lang w:val="en-US" w:eastAsia="zh-CN"/>
              </w:rPr>
              <w:t>包括</w:t>
            </w:r>
            <w:r>
              <w:rPr>
                <w:rFonts w:hint="eastAsia" w:ascii="宋体" w:hAnsi="宋体" w:eastAsia="宋体" w:cs="宋体"/>
                <w:b/>
                <w:bCs/>
                <w:color w:val="auto"/>
                <w:highlight w:val="none"/>
                <w:lang w:eastAsia="zh-CN"/>
              </w:rPr>
              <w:t>其它奖励性费用）</w:t>
            </w:r>
          </w:p>
        </w:tc>
      </w:tr>
    </w:tbl>
    <w:p w14:paraId="78014C72">
      <w:pPr>
        <w:rPr>
          <w:color w:val="auto"/>
          <w:sz w:val="24"/>
          <w:szCs w:val="24"/>
          <w:highlight w:val="none"/>
        </w:rPr>
      </w:pPr>
      <w:r>
        <w:rPr>
          <w:rFonts w:hint="eastAsia"/>
          <w:color w:val="auto"/>
          <w:sz w:val="24"/>
          <w:szCs w:val="24"/>
          <w:highlight w:val="none"/>
        </w:rPr>
        <w:t>※注意：</w:t>
      </w:r>
    </w:p>
    <w:p w14:paraId="01BAD11A">
      <w:pPr>
        <w:rPr>
          <w:color w:val="auto"/>
          <w:sz w:val="24"/>
          <w:szCs w:val="24"/>
          <w:highlight w:val="none"/>
        </w:rPr>
      </w:pPr>
      <w:r>
        <w:rPr>
          <w:rFonts w:hint="eastAsia"/>
          <w:color w:val="auto"/>
          <w:sz w:val="24"/>
          <w:szCs w:val="24"/>
          <w:highlight w:val="none"/>
        </w:rPr>
        <w:t>1、本表应按照下列规定填写：</w:t>
      </w:r>
    </w:p>
    <w:p w14:paraId="6D2C25BB">
      <w:pPr>
        <w:rPr>
          <w:color w:val="auto"/>
          <w:sz w:val="24"/>
          <w:szCs w:val="24"/>
          <w:highlight w:val="none"/>
        </w:rPr>
      </w:pPr>
      <w:r>
        <w:rPr>
          <w:rFonts w:hint="eastAsia"/>
          <w:color w:val="auto"/>
          <w:sz w:val="24"/>
          <w:szCs w:val="24"/>
          <w:highlight w:val="none"/>
        </w:rPr>
        <w:t>1.1投标人应按照本表格式填写所投的采购包的“投标报价”。</w:t>
      </w:r>
    </w:p>
    <w:p w14:paraId="6C2550B6">
      <w:pPr>
        <w:rPr>
          <w:color w:val="auto"/>
          <w:sz w:val="24"/>
          <w:szCs w:val="24"/>
          <w:highlight w:val="none"/>
        </w:rPr>
      </w:pPr>
      <w:r>
        <w:rPr>
          <w:rFonts w:hint="eastAsia"/>
          <w:color w:val="auto"/>
          <w:sz w:val="24"/>
          <w:szCs w:val="24"/>
          <w:highlight w:val="none"/>
        </w:rPr>
        <w:t>1.2本表中列示的“采购包”应与《投标分项报价表》中列示的“采购包”保持一致，即：若本表中列示的“采购包”为“</w:t>
      </w:r>
      <w:r>
        <w:rPr>
          <w:color w:val="auto"/>
          <w:sz w:val="24"/>
          <w:szCs w:val="24"/>
          <w:highlight w:val="none"/>
        </w:rPr>
        <w:t>1</w:t>
      </w:r>
      <w:r>
        <w:rPr>
          <w:rFonts w:hint="eastAsia"/>
          <w:color w:val="auto"/>
          <w:sz w:val="24"/>
          <w:szCs w:val="24"/>
          <w:highlight w:val="none"/>
        </w:rPr>
        <w:t>”时，《投标分项报价表》中列示的“采购包”亦应为“</w:t>
      </w:r>
      <w:r>
        <w:rPr>
          <w:color w:val="auto"/>
          <w:sz w:val="24"/>
          <w:szCs w:val="24"/>
          <w:highlight w:val="none"/>
        </w:rPr>
        <w:t>1</w:t>
      </w:r>
      <w:r>
        <w:rPr>
          <w:rFonts w:hint="eastAsia"/>
          <w:color w:val="auto"/>
          <w:sz w:val="24"/>
          <w:szCs w:val="24"/>
          <w:highlight w:val="none"/>
        </w:rPr>
        <w:t>”，以此类推。</w:t>
      </w:r>
    </w:p>
    <w:p w14:paraId="0D853C30">
      <w:pPr>
        <w:rPr>
          <w:rFonts w:hint="eastAsia"/>
          <w:color w:val="auto"/>
          <w:sz w:val="24"/>
          <w:szCs w:val="24"/>
          <w:highlight w:val="none"/>
        </w:rPr>
      </w:pPr>
      <w:r>
        <w:rPr>
          <w:rFonts w:hint="eastAsia"/>
          <w:color w:val="auto"/>
          <w:sz w:val="24"/>
          <w:szCs w:val="24"/>
          <w:highlight w:val="none"/>
        </w:rPr>
        <w:t>1.3“大写金额”指“投标报价”应用“壹、贰、叁、肆、伍、陆、柒、捌、玖、拾、佰、仟、万、亿、元、角、分、零”等进行填写。</w:t>
      </w:r>
    </w:p>
    <w:p w14:paraId="2A508671">
      <w:pPr>
        <w:pStyle w:val="22"/>
        <w:rPr>
          <w:color w:val="auto"/>
          <w:highlight w:val="none"/>
        </w:rPr>
      </w:pPr>
    </w:p>
    <w:p w14:paraId="68CB520B">
      <w:pPr>
        <w:rPr>
          <w:color w:val="auto"/>
          <w:sz w:val="24"/>
          <w:szCs w:val="32"/>
          <w:highlight w:val="none"/>
          <w:u w:val="single"/>
        </w:rPr>
      </w:pPr>
      <w:r>
        <w:rPr>
          <w:rFonts w:hint="eastAsia"/>
          <w:color w:val="auto"/>
          <w:sz w:val="24"/>
          <w:szCs w:val="32"/>
          <w:highlight w:val="none"/>
        </w:rPr>
        <w:t>投标人：</w:t>
      </w:r>
      <w:r>
        <w:rPr>
          <w:rFonts w:hint="eastAsia"/>
          <w:color w:val="auto"/>
          <w:sz w:val="24"/>
          <w:szCs w:val="32"/>
          <w:highlight w:val="none"/>
          <w:u w:val="single"/>
        </w:rPr>
        <w:t>（全称并加盖单位公章）</w:t>
      </w:r>
    </w:p>
    <w:p w14:paraId="77509758">
      <w:pPr>
        <w:rPr>
          <w:color w:val="auto"/>
          <w:sz w:val="24"/>
          <w:szCs w:val="32"/>
          <w:highlight w:val="none"/>
          <w:u w:val="single"/>
        </w:rPr>
      </w:pPr>
      <w:r>
        <w:rPr>
          <w:rFonts w:hint="eastAsia"/>
          <w:color w:val="auto"/>
          <w:sz w:val="24"/>
          <w:szCs w:val="32"/>
          <w:highlight w:val="none"/>
        </w:rPr>
        <w:t>投标人代表签字：</w:t>
      </w:r>
      <w:r>
        <w:rPr>
          <w:rFonts w:hint="eastAsia"/>
          <w:color w:val="auto"/>
          <w:sz w:val="24"/>
          <w:szCs w:val="32"/>
          <w:highlight w:val="none"/>
          <w:u w:val="single"/>
        </w:rPr>
        <w:t xml:space="preserve">         </w:t>
      </w:r>
      <w:r>
        <w:rPr>
          <w:rFonts w:hint="eastAsia"/>
          <w:color w:val="auto"/>
          <w:sz w:val="24"/>
          <w:szCs w:val="32"/>
          <w:highlight w:val="none"/>
          <w:u w:val="single"/>
          <w:lang w:val="en-US" w:eastAsia="zh-CN"/>
        </w:rPr>
        <w:t xml:space="preserve">    </w:t>
      </w:r>
      <w:r>
        <w:rPr>
          <w:rFonts w:hint="eastAsia"/>
          <w:color w:val="auto"/>
          <w:sz w:val="24"/>
          <w:szCs w:val="32"/>
          <w:highlight w:val="none"/>
          <w:u w:val="single"/>
        </w:rPr>
        <w:t xml:space="preserve"> </w:t>
      </w:r>
    </w:p>
    <w:p w14:paraId="48D89419">
      <w:pPr>
        <w:rPr>
          <w:color w:val="auto"/>
          <w:sz w:val="24"/>
          <w:szCs w:val="32"/>
          <w:highlight w:val="none"/>
        </w:rPr>
      </w:pPr>
      <w:r>
        <w:rPr>
          <w:rFonts w:hint="eastAsia"/>
          <w:color w:val="auto"/>
          <w:sz w:val="24"/>
          <w:szCs w:val="32"/>
          <w:highlight w:val="none"/>
        </w:rPr>
        <w:t>日期：    年   月   日</w:t>
      </w:r>
    </w:p>
    <w:p w14:paraId="629E7F9C">
      <w:pPr>
        <w:pStyle w:val="19"/>
        <w:widowControl/>
        <w:jc w:val="center"/>
        <w:rPr>
          <w:rStyle w:val="26"/>
          <w:rFonts w:hint="eastAsia" w:ascii="宋体" w:hAnsi="宋体" w:cs="宋体"/>
          <w:color w:val="auto"/>
          <w:sz w:val="21"/>
          <w:szCs w:val="21"/>
          <w:highlight w:val="none"/>
        </w:rPr>
      </w:pPr>
    </w:p>
    <w:p w14:paraId="2C6D6D46">
      <w:pPr>
        <w:pStyle w:val="19"/>
        <w:widowControl/>
        <w:jc w:val="center"/>
        <w:rPr>
          <w:rStyle w:val="26"/>
          <w:rFonts w:hint="eastAsia" w:ascii="宋体" w:hAnsi="宋体" w:cs="宋体"/>
          <w:color w:val="auto"/>
          <w:sz w:val="21"/>
          <w:szCs w:val="21"/>
          <w:highlight w:val="none"/>
        </w:rPr>
      </w:pPr>
    </w:p>
    <w:p w14:paraId="21B66F7A">
      <w:pPr>
        <w:pStyle w:val="19"/>
        <w:widowControl/>
        <w:jc w:val="center"/>
        <w:rPr>
          <w:rStyle w:val="26"/>
          <w:rFonts w:hint="eastAsia" w:ascii="宋体" w:hAnsi="宋体" w:cs="宋体"/>
          <w:color w:val="auto"/>
          <w:sz w:val="21"/>
          <w:szCs w:val="21"/>
          <w:highlight w:val="none"/>
        </w:rPr>
      </w:pPr>
    </w:p>
    <w:p w14:paraId="289860CC">
      <w:pPr>
        <w:pStyle w:val="19"/>
        <w:widowControl/>
        <w:jc w:val="center"/>
        <w:rPr>
          <w:rStyle w:val="26"/>
          <w:rFonts w:hint="eastAsia" w:ascii="宋体" w:hAnsi="宋体" w:cs="宋体"/>
          <w:color w:val="auto"/>
          <w:sz w:val="21"/>
          <w:szCs w:val="21"/>
          <w:highlight w:val="none"/>
        </w:rPr>
      </w:pPr>
    </w:p>
    <w:p w14:paraId="57001CA1">
      <w:pPr>
        <w:pStyle w:val="19"/>
        <w:widowControl/>
        <w:jc w:val="center"/>
        <w:rPr>
          <w:rStyle w:val="26"/>
          <w:rFonts w:hint="eastAsia" w:ascii="宋体" w:hAnsi="宋体" w:cs="宋体"/>
          <w:color w:val="auto"/>
          <w:sz w:val="21"/>
          <w:szCs w:val="21"/>
          <w:highlight w:val="none"/>
        </w:rPr>
      </w:pPr>
    </w:p>
    <w:p w14:paraId="1267C849">
      <w:pPr>
        <w:pStyle w:val="19"/>
        <w:widowControl/>
        <w:jc w:val="center"/>
        <w:rPr>
          <w:rStyle w:val="26"/>
          <w:rFonts w:hint="eastAsia" w:ascii="宋体" w:hAnsi="宋体" w:cs="宋体"/>
          <w:color w:val="auto"/>
          <w:sz w:val="21"/>
          <w:szCs w:val="21"/>
          <w:highlight w:val="none"/>
        </w:rPr>
      </w:pPr>
    </w:p>
    <w:p w14:paraId="5DA52302">
      <w:pPr>
        <w:pStyle w:val="19"/>
        <w:widowControl/>
        <w:jc w:val="center"/>
        <w:rPr>
          <w:rStyle w:val="26"/>
          <w:rFonts w:hint="eastAsia" w:ascii="宋体" w:hAnsi="宋体" w:cs="宋体"/>
          <w:color w:val="auto"/>
          <w:sz w:val="21"/>
          <w:szCs w:val="21"/>
          <w:highlight w:val="none"/>
        </w:rPr>
      </w:pPr>
    </w:p>
    <w:p w14:paraId="6BDD0622">
      <w:pPr>
        <w:pStyle w:val="19"/>
        <w:widowControl/>
        <w:jc w:val="center"/>
        <w:rPr>
          <w:rStyle w:val="26"/>
          <w:rFonts w:hint="eastAsia" w:ascii="宋体" w:hAnsi="宋体" w:cs="宋体"/>
          <w:color w:val="auto"/>
          <w:sz w:val="21"/>
          <w:szCs w:val="21"/>
          <w:highlight w:val="none"/>
        </w:rPr>
      </w:pPr>
    </w:p>
    <w:p w14:paraId="4D830A2A">
      <w:pPr>
        <w:pStyle w:val="19"/>
        <w:widowControl/>
        <w:jc w:val="center"/>
        <w:rPr>
          <w:rStyle w:val="26"/>
          <w:rFonts w:hint="eastAsia" w:ascii="宋体" w:hAnsi="宋体" w:cs="宋体"/>
          <w:color w:val="auto"/>
          <w:sz w:val="21"/>
          <w:szCs w:val="21"/>
          <w:highlight w:val="none"/>
        </w:rPr>
      </w:pPr>
    </w:p>
    <w:p w14:paraId="4599BF6F">
      <w:pPr>
        <w:pStyle w:val="19"/>
        <w:widowControl/>
        <w:jc w:val="center"/>
        <w:rPr>
          <w:rStyle w:val="26"/>
          <w:rFonts w:hint="eastAsia" w:ascii="宋体" w:hAnsi="宋体" w:cs="宋体"/>
          <w:color w:val="auto"/>
          <w:sz w:val="21"/>
          <w:szCs w:val="21"/>
          <w:highlight w:val="none"/>
        </w:rPr>
      </w:pPr>
    </w:p>
    <w:p w14:paraId="4F7C8FE5">
      <w:pPr>
        <w:pStyle w:val="19"/>
        <w:widowControl/>
        <w:jc w:val="center"/>
        <w:rPr>
          <w:rStyle w:val="26"/>
          <w:rFonts w:hint="eastAsia" w:ascii="宋体" w:hAnsi="宋体" w:cs="宋体"/>
          <w:color w:val="auto"/>
          <w:sz w:val="21"/>
          <w:szCs w:val="21"/>
          <w:highlight w:val="none"/>
        </w:rPr>
      </w:pPr>
    </w:p>
    <w:p w14:paraId="05D9723C">
      <w:pPr>
        <w:pStyle w:val="19"/>
        <w:widowControl/>
        <w:jc w:val="center"/>
        <w:rPr>
          <w:rStyle w:val="26"/>
          <w:rFonts w:hint="eastAsia" w:ascii="宋体" w:hAnsi="宋体" w:cs="宋体"/>
          <w:color w:val="auto"/>
          <w:sz w:val="21"/>
          <w:szCs w:val="21"/>
          <w:highlight w:val="none"/>
        </w:rPr>
      </w:pPr>
    </w:p>
    <w:p w14:paraId="40A7E308">
      <w:pPr>
        <w:pStyle w:val="19"/>
        <w:widowControl/>
        <w:jc w:val="center"/>
        <w:rPr>
          <w:color w:val="auto"/>
          <w:highlight w:val="none"/>
        </w:rPr>
      </w:pPr>
      <w:r>
        <w:rPr>
          <w:rStyle w:val="26"/>
          <w:rFonts w:hint="eastAsia" w:ascii="宋体" w:hAnsi="宋体" w:cs="宋体"/>
          <w:color w:val="auto"/>
          <w:sz w:val="21"/>
          <w:szCs w:val="21"/>
          <w:highlight w:val="none"/>
        </w:rPr>
        <w:t>二、投标分项报价表</w:t>
      </w:r>
    </w:p>
    <w:p w14:paraId="52F459EA">
      <w:pPr>
        <w:pStyle w:val="19"/>
        <w:widowControl/>
        <w:rPr>
          <w:color w:val="auto"/>
          <w:highlight w:val="none"/>
        </w:rPr>
      </w:pPr>
      <w:r>
        <w:rPr>
          <w:rFonts w:hint="eastAsia" w:ascii="宋体" w:hAnsi="宋体" w:cs="宋体"/>
          <w:color w:val="auto"/>
          <w:sz w:val="21"/>
          <w:szCs w:val="21"/>
          <w:highlight w:val="none"/>
        </w:rPr>
        <w:t> 项目编号：</w:t>
      </w:r>
      <w:r>
        <w:rPr>
          <w:rFonts w:hint="eastAsia" w:ascii="宋体" w:hAnsi="宋体" w:cs="宋体"/>
          <w:color w:val="auto"/>
          <w:sz w:val="21"/>
          <w:szCs w:val="21"/>
          <w:highlight w:val="none"/>
          <w:u w:val="single"/>
        </w:rPr>
        <w:t>                   </w:t>
      </w:r>
    </w:p>
    <w:p w14:paraId="72B025FD">
      <w:pPr>
        <w:pStyle w:val="19"/>
        <w:widowControl/>
        <w:jc w:val="right"/>
        <w:rPr>
          <w:color w:val="auto"/>
          <w:highlight w:val="none"/>
        </w:rPr>
      </w:pPr>
      <w:r>
        <w:rPr>
          <w:rFonts w:hint="eastAsia" w:ascii="宋体" w:hAnsi="宋体" w:cs="宋体"/>
          <w:color w:val="auto"/>
          <w:sz w:val="21"/>
          <w:szCs w:val="21"/>
          <w:highlight w:val="none"/>
        </w:rPr>
        <w:t>货币及单位：人民币元</w:t>
      </w:r>
    </w:p>
    <w:tbl>
      <w:tblPr>
        <w:tblStyle w:val="23"/>
        <w:tblW w:w="9320" w:type="dxa"/>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53"/>
        <w:gridCol w:w="956"/>
        <w:gridCol w:w="1498"/>
        <w:gridCol w:w="784"/>
        <w:gridCol w:w="1140"/>
        <w:gridCol w:w="1155"/>
        <w:gridCol w:w="589"/>
        <w:gridCol w:w="1088"/>
        <w:gridCol w:w="1257"/>
      </w:tblGrid>
      <w:tr w14:paraId="4A404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853" w:type="dxa"/>
            <w:shd w:val="clear" w:color="auto" w:fill="auto"/>
            <w:tcMar>
              <w:top w:w="0" w:type="dxa"/>
              <w:left w:w="105" w:type="dxa"/>
              <w:bottom w:w="0" w:type="dxa"/>
              <w:right w:w="105" w:type="dxa"/>
            </w:tcMar>
            <w:vAlign w:val="center"/>
          </w:tcPr>
          <w:p w14:paraId="18023167">
            <w:pPr>
              <w:pStyle w:val="19"/>
              <w:widowControl/>
              <w:jc w:val="center"/>
              <w:rPr>
                <w:color w:val="auto"/>
                <w:highlight w:val="none"/>
              </w:rPr>
            </w:pPr>
            <w:r>
              <w:rPr>
                <w:rFonts w:hint="eastAsia" w:ascii="宋体" w:hAnsi="宋体" w:cs="宋体"/>
                <w:color w:val="auto"/>
                <w:sz w:val="21"/>
                <w:szCs w:val="21"/>
                <w:highlight w:val="none"/>
              </w:rPr>
              <w:t>采购包</w:t>
            </w:r>
          </w:p>
        </w:tc>
        <w:tc>
          <w:tcPr>
            <w:tcW w:w="956" w:type="dxa"/>
            <w:shd w:val="clear" w:color="auto" w:fill="auto"/>
            <w:tcMar>
              <w:top w:w="0" w:type="dxa"/>
              <w:left w:w="105" w:type="dxa"/>
              <w:bottom w:w="0" w:type="dxa"/>
              <w:right w:w="105" w:type="dxa"/>
            </w:tcMar>
            <w:vAlign w:val="center"/>
          </w:tcPr>
          <w:p w14:paraId="0AFBBA20">
            <w:pPr>
              <w:pStyle w:val="19"/>
              <w:widowControl/>
              <w:jc w:val="center"/>
              <w:rPr>
                <w:color w:val="auto"/>
                <w:highlight w:val="none"/>
              </w:rPr>
            </w:pPr>
            <w:r>
              <w:rPr>
                <w:rFonts w:hint="eastAsia" w:ascii="宋体" w:hAnsi="宋体" w:cs="宋体"/>
                <w:color w:val="auto"/>
                <w:sz w:val="21"/>
                <w:szCs w:val="21"/>
                <w:highlight w:val="none"/>
              </w:rPr>
              <w:t>品目号</w:t>
            </w:r>
          </w:p>
        </w:tc>
        <w:tc>
          <w:tcPr>
            <w:tcW w:w="1498" w:type="dxa"/>
            <w:shd w:val="clear" w:color="auto" w:fill="auto"/>
            <w:tcMar>
              <w:top w:w="0" w:type="dxa"/>
              <w:left w:w="105" w:type="dxa"/>
              <w:bottom w:w="0" w:type="dxa"/>
              <w:right w:w="105" w:type="dxa"/>
            </w:tcMar>
            <w:vAlign w:val="center"/>
          </w:tcPr>
          <w:p w14:paraId="65C91CD1">
            <w:pPr>
              <w:pStyle w:val="19"/>
              <w:widowControl/>
              <w:jc w:val="center"/>
              <w:rPr>
                <w:color w:val="auto"/>
                <w:highlight w:val="none"/>
              </w:rPr>
            </w:pPr>
            <w:r>
              <w:rPr>
                <w:rFonts w:hint="eastAsia" w:ascii="宋体" w:hAnsi="宋体" w:cs="宋体"/>
                <w:color w:val="auto"/>
                <w:sz w:val="21"/>
                <w:szCs w:val="21"/>
                <w:highlight w:val="none"/>
              </w:rPr>
              <w:t>投标标的</w:t>
            </w:r>
          </w:p>
        </w:tc>
        <w:tc>
          <w:tcPr>
            <w:tcW w:w="784" w:type="dxa"/>
            <w:shd w:val="clear" w:color="auto" w:fill="auto"/>
            <w:tcMar>
              <w:top w:w="0" w:type="dxa"/>
              <w:left w:w="105" w:type="dxa"/>
              <w:bottom w:w="0" w:type="dxa"/>
              <w:right w:w="105" w:type="dxa"/>
            </w:tcMar>
            <w:vAlign w:val="center"/>
          </w:tcPr>
          <w:p w14:paraId="74C37A28">
            <w:pPr>
              <w:pStyle w:val="19"/>
              <w:widowControl/>
              <w:jc w:val="center"/>
              <w:rPr>
                <w:color w:val="auto"/>
                <w:highlight w:val="none"/>
              </w:rPr>
            </w:pPr>
            <w:r>
              <w:rPr>
                <w:rFonts w:hint="eastAsia" w:ascii="宋体" w:hAnsi="宋体" w:cs="宋体"/>
                <w:color w:val="auto"/>
                <w:sz w:val="21"/>
                <w:szCs w:val="21"/>
                <w:highlight w:val="none"/>
              </w:rPr>
              <w:t>规格</w:t>
            </w:r>
          </w:p>
        </w:tc>
        <w:tc>
          <w:tcPr>
            <w:tcW w:w="1140" w:type="dxa"/>
            <w:shd w:val="clear" w:color="auto" w:fill="auto"/>
            <w:tcMar>
              <w:top w:w="0" w:type="dxa"/>
              <w:left w:w="105" w:type="dxa"/>
              <w:bottom w:w="0" w:type="dxa"/>
              <w:right w:w="105" w:type="dxa"/>
            </w:tcMar>
            <w:vAlign w:val="center"/>
          </w:tcPr>
          <w:p w14:paraId="21812413">
            <w:pPr>
              <w:pStyle w:val="19"/>
              <w:widowControl/>
              <w:jc w:val="center"/>
              <w:rPr>
                <w:color w:val="auto"/>
                <w:highlight w:val="none"/>
              </w:rPr>
            </w:pPr>
            <w:r>
              <w:rPr>
                <w:rFonts w:hint="eastAsia" w:ascii="宋体" w:hAnsi="宋体" w:cs="宋体"/>
                <w:color w:val="auto"/>
                <w:sz w:val="21"/>
                <w:szCs w:val="21"/>
                <w:highlight w:val="none"/>
              </w:rPr>
              <w:t>来源地</w:t>
            </w:r>
          </w:p>
        </w:tc>
        <w:tc>
          <w:tcPr>
            <w:tcW w:w="1155" w:type="dxa"/>
            <w:shd w:val="clear" w:color="auto" w:fill="auto"/>
            <w:tcMar>
              <w:top w:w="0" w:type="dxa"/>
              <w:left w:w="105" w:type="dxa"/>
              <w:bottom w:w="0" w:type="dxa"/>
              <w:right w:w="105" w:type="dxa"/>
            </w:tcMar>
            <w:vAlign w:val="center"/>
          </w:tcPr>
          <w:p w14:paraId="2BF2A8C1">
            <w:pPr>
              <w:pStyle w:val="19"/>
              <w:widowControl/>
              <w:jc w:val="center"/>
              <w:rPr>
                <w:color w:val="auto"/>
                <w:highlight w:val="none"/>
              </w:rPr>
            </w:pPr>
            <w:r>
              <w:rPr>
                <w:rFonts w:hint="eastAsia" w:ascii="宋体" w:hAnsi="宋体" w:cs="宋体"/>
                <w:color w:val="auto"/>
                <w:sz w:val="21"/>
                <w:szCs w:val="21"/>
                <w:highlight w:val="none"/>
              </w:rPr>
              <w:t>单价</w:t>
            </w:r>
          </w:p>
          <w:p w14:paraId="18C18BA2">
            <w:pPr>
              <w:pStyle w:val="19"/>
              <w:widowControl/>
              <w:jc w:val="center"/>
              <w:rPr>
                <w:color w:val="auto"/>
                <w:highlight w:val="none"/>
              </w:rPr>
            </w:pPr>
            <w:r>
              <w:rPr>
                <w:rFonts w:hint="eastAsia" w:ascii="宋体" w:hAnsi="宋体" w:cs="宋体"/>
                <w:color w:val="auto"/>
                <w:sz w:val="21"/>
                <w:szCs w:val="21"/>
                <w:highlight w:val="none"/>
              </w:rPr>
              <w:t>（现场）</w:t>
            </w:r>
          </w:p>
        </w:tc>
        <w:tc>
          <w:tcPr>
            <w:tcW w:w="589" w:type="dxa"/>
            <w:shd w:val="clear" w:color="auto" w:fill="auto"/>
            <w:tcMar>
              <w:top w:w="0" w:type="dxa"/>
              <w:left w:w="105" w:type="dxa"/>
              <w:bottom w:w="0" w:type="dxa"/>
              <w:right w:w="105" w:type="dxa"/>
            </w:tcMar>
            <w:vAlign w:val="center"/>
          </w:tcPr>
          <w:p w14:paraId="2313A2E8">
            <w:pPr>
              <w:pStyle w:val="19"/>
              <w:widowControl/>
              <w:jc w:val="center"/>
              <w:rPr>
                <w:color w:val="auto"/>
                <w:highlight w:val="none"/>
              </w:rPr>
            </w:pPr>
            <w:r>
              <w:rPr>
                <w:rFonts w:hint="eastAsia" w:ascii="宋体" w:hAnsi="宋体" w:cs="宋体"/>
                <w:color w:val="auto"/>
                <w:sz w:val="21"/>
                <w:szCs w:val="21"/>
                <w:highlight w:val="none"/>
              </w:rPr>
              <w:t>数量</w:t>
            </w:r>
          </w:p>
        </w:tc>
        <w:tc>
          <w:tcPr>
            <w:tcW w:w="1088" w:type="dxa"/>
            <w:shd w:val="clear" w:color="auto" w:fill="auto"/>
            <w:tcMar>
              <w:top w:w="0" w:type="dxa"/>
              <w:left w:w="105" w:type="dxa"/>
              <w:bottom w:w="0" w:type="dxa"/>
              <w:right w:w="105" w:type="dxa"/>
            </w:tcMar>
            <w:vAlign w:val="center"/>
          </w:tcPr>
          <w:p w14:paraId="61F92AC7">
            <w:pPr>
              <w:pStyle w:val="19"/>
              <w:widowControl/>
              <w:jc w:val="center"/>
              <w:rPr>
                <w:color w:val="auto"/>
                <w:highlight w:val="none"/>
              </w:rPr>
            </w:pPr>
            <w:r>
              <w:rPr>
                <w:rFonts w:hint="eastAsia" w:ascii="宋体" w:hAnsi="宋体" w:cs="宋体"/>
                <w:color w:val="auto"/>
                <w:sz w:val="21"/>
                <w:szCs w:val="21"/>
                <w:highlight w:val="none"/>
              </w:rPr>
              <w:t>总价</w:t>
            </w:r>
          </w:p>
          <w:p w14:paraId="49F3A3B4">
            <w:pPr>
              <w:pStyle w:val="19"/>
              <w:widowControl/>
              <w:jc w:val="center"/>
              <w:rPr>
                <w:color w:val="auto"/>
                <w:highlight w:val="none"/>
              </w:rPr>
            </w:pPr>
            <w:r>
              <w:rPr>
                <w:rFonts w:hint="eastAsia" w:ascii="宋体" w:hAnsi="宋体" w:cs="宋体"/>
                <w:color w:val="auto"/>
                <w:sz w:val="21"/>
                <w:szCs w:val="21"/>
                <w:highlight w:val="none"/>
              </w:rPr>
              <w:t>（现场）</w:t>
            </w:r>
          </w:p>
        </w:tc>
        <w:tc>
          <w:tcPr>
            <w:tcW w:w="1257" w:type="dxa"/>
            <w:shd w:val="clear" w:color="auto" w:fill="auto"/>
            <w:tcMar>
              <w:top w:w="0" w:type="dxa"/>
              <w:left w:w="105" w:type="dxa"/>
              <w:bottom w:w="0" w:type="dxa"/>
              <w:right w:w="105" w:type="dxa"/>
            </w:tcMar>
            <w:vAlign w:val="center"/>
          </w:tcPr>
          <w:p w14:paraId="3B419753">
            <w:pPr>
              <w:pStyle w:val="19"/>
              <w:widowControl/>
              <w:jc w:val="center"/>
              <w:rPr>
                <w:rFonts w:hint="eastAsia" w:eastAsia="宋体"/>
                <w:color w:val="auto"/>
                <w:highlight w:val="none"/>
                <w:lang w:val="en-US" w:eastAsia="zh-CN"/>
              </w:rPr>
            </w:pPr>
            <w:r>
              <w:rPr>
                <w:rFonts w:hint="eastAsia"/>
                <w:color w:val="auto"/>
                <w:highlight w:val="none"/>
                <w:lang w:val="en-US" w:eastAsia="zh-CN"/>
              </w:rPr>
              <w:t>备注</w:t>
            </w:r>
          </w:p>
        </w:tc>
      </w:tr>
      <w:tr w14:paraId="1BBED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853" w:type="dxa"/>
            <w:vMerge w:val="restart"/>
            <w:shd w:val="clear" w:color="auto" w:fill="auto"/>
            <w:tcMar>
              <w:top w:w="0" w:type="dxa"/>
              <w:left w:w="105" w:type="dxa"/>
              <w:bottom w:w="0" w:type="dxa"/>
              <w:right w:w="105" w:type="dxa"/>
            </w:tcMar>
            <w:vAlign w:val="center"/>
          </w:tcPr>
          <w:p w14:paraId="1534A67F">
            <w:pPr>
              <w:pStyle w:val="19"/>
              <w:widowControl/>
              <w:jc w:val="center"/>
              <w:rPr>
                <w:color w:val="auto"/>
                <w:highlight w:val="none"/>
              </w:rPr>
            </w:pPr>
            <w:r>
              <w:rPr>
                <w:rFonts w:hint="eastAsia" w:ascii="宋体" w:hAnsi="宋体" w:cs="宋体"/>
                <w:color w:val="auto"/>
                <w:sz w:val="21"/>
                <w:szCs w:val="21"/>
                <w:highlight w:val="none"/>
              </w:rPr>
              <w:t>1</w:t>
            </w:r>
          </w:p>
        </w:tc>
        <w:tc>
          <w:tcPr>
            <w:tcW w:w="956" w:type="dxa"/>
            <w:shd w:val="clear" w:color="auto" w:fill="auto"/>
            <w:tcMar>
              <w:top w:w="0" w:type="dxa"/>
              <w:left w:w="105" w:type="dxa"/>
              <w:bottom w:w="0" w:type="dxa"/>
              <w:right w:w="105" w:type="dxa"/>
            </w:tcMar>
            <w:vAlign w:val="center"/>
          </w:tcPr>
          <w:p w14:paraId="020B6878">
            <w:pPr>
              <w:pStyle w:val="19"/>
              <w:widowControl/>
              <w:jc w:val="center"/>
              <w:rPr>
                <w:color w:val="auto"/>
                <w:highlight w:val="none"/>
              </w:rPr>
            </w:pPr>
          </w:p>
        </w:tc>
        <w:tc>
          <w:tcPr>
            <w:tcW w:w="1498" w:type="dxa"/>
            <w:shd w:val="clear" w:color="auto" w:fill="auto"/>
            <w:tcMar>
              <w:top w:w="0" w:type="dxa"/>
              <w:left w:w="105" w:type="dxa"/>
              <w:bottom w:w="0" w:type="dxa"/>
              <w:right w:w="105" w:type="dxa"/>
            </w:tcMar>
            <w:vAlign w:val="center"/>
          </w:tcPr>
          <w:p w14:paraId="5C72A7CB">
            <w:pPr>
              <w:autoSpaceDN w:val="0"/>
              <w:jc w:val="center"/>
              <w:textAlignment w:val="center"/>
              <w:rPr>
                <w:color w:val="auto"/>
                <w:highlight w:val="none"/>
              </w:rPr>
            </w:pPr>
          </w:p>
        </w:tc>
        <w:tc>
          <w:tcPr>
            <w:tcW w:w="784" w:type="dxa"/>
            <w:shd w:val="clear" w:color="auto" w:fill="auto"/>
            <w:tcMar>
              <w:top w:w="0" w:type="dxa"/>
              <w:left w:w="105" w:type="dxa"/>
              <w:bottom w:w="0" w:type="dxa"/>
              <w:right w:w="105" w:type="dxa"/>
            </w:tcMar>
            <w:vAlign w:val="center"/>
          </w:tcPr>
          <w:p w14:paraId="5BB6EEDB">
            <w:pPr>
              <w:widowControl/>
              <w:jc w:val="left"/>
              <w:rPr>
                <w:rFonts w:ascii="宋体" w:hAnsi="宋体" w:cs="宋体"/>
                <w:color w:val="auto"/>
                <w:sz w:val="24"/>
                <w:highlight w:val="none"/>
              </w:rPr>
            </w:pPr>
          </w:p>
        </w:tc>
        <w:tc>
          <w:tcPr>
            <w:tcW w:w="1140" w:type="dxa"/>
            <w:shd w:val="clear" w:color="auto" w:fill="auto"/>
            <w:tcMar>
              <w:top w:w="0" w:type="dxa"/>
              <w:left w:w="105" w:type="dxa"/>
              <w:bottom w:w="0" w:type="dxa"/>
              <w:right w:w="105" w:type="dxa"/>
            </w:tcMar>
          </w:tcPr>
          <w:p w14:paraId="1291FC5A">
            <w:pPr>
              <w:widowControl/>
              <w:jc w:val="left"/>
              <w:rPr>
                <w:color w:val="auto"/>
                <w:highlight w:val="none"/>
              </w:rPr>
            </w:pPr>
          </w:p>
        </w:tc>
        <w:tc>
          <w:tcPr>
            <w:tcW w:w="1155" w:type="dxa"/>
            <w:shd w:val="clear" w:color="auto" w:fill="auto"/>
            <w:tcMar>
              <w:top w:w="0" w:type="dxa"/>
              <w:left w:w="105" w:type="dxa"/>
              <w:bottom w:w="0" w:type="dxa"/>
              <w:right w:w="105" w:type="dxa"/>
            </w:tcMar>
          </w:tcPr>
          <w:p w14:paraId="117BB9F3">
            <w:pPr>
              <w:widowControl/>
              <w:jc w:val="left"/>
              <w:rPr>
                <w:color w:val="auto"/>
                <w:highlight w:val="none"/>
              </w:rPr>
            </w:pPr>
          </w:p>
        </w:tc>
        <w:tc>
          <w:tcPr>
            <w:tcW w:w="589" w:type="dxa"/>
            <w:shd w:val="clear" w:color="auto" w:fill="auto"/>
            <w:tcMar>
              <w:top w:w="0" w:type="dxa"/>
              <w:left w:w="105" w:type="dxa"/>
              <w:bottom w:w="0" w:type="dxa"/>
              <w:right w:w="105" w:type="dxa"/>
            </w:tcMar>
          </w:tcPr>
          <w:p w14:paraId="3B46A586">
            <w:pPr>
              <w:widowControl/>
              <w:jc w:val="left"/>
              <w:rPr>
                <w:color w:val="auto"/>
                <w:highlight w:val="none"/>
              </w:rPr>
            </w:pPr>
          </w:p>
        </w:tc>
        <w:tc>
          <w:tcPr>
            <w:tcW w:w="1088" w:type="dxa"/>
            <w:shd w:val="clear" w:color="auto" w:fill="auto"/>
            <w:tcMar>
              <w:top w:w="0" w:type="dxa"/>
              <w:left w:w="105" w:type="dxa"/>
              <w:bottom w:w="0" w:type="dxa"/>
              <w:right w:w="105" w:type="dxa"/>
            </w:tcMar>
          </w:tcPr>
          <w:p w14:paraId="31CF1F32">
            <w:pPr>
              <w:widowControl/>
              <w:jc w:val="left"/>
              <w:rPr>
                <w:color w:val="auto"/>
                <w:highlight w:val="none"/>
              </w:rPr>
            </w:pPr>
          </w:p>
        </w:tc>
        <w:tc>
          <w:tcPr>
            <w:tcW w:w="1257" w:type="dxa"/>
            <w:shd w:val="clear" w:color="auto" w:fill="auto"/>
            <w:tcMar>
              <w:top w:w="0" w:type="dxa"/>
              <w:left w:w="105" w:type="dxa"/>
              <w:bottom w:w="0" w:type="dxa"/>
              <w:right w:w="105" w:type="dxa"/>
            </w:tcMar>
          </w:tcPr>
          <w:p w14:paraId="3DDEF698">
            <w:pPr>
              <w:widowControl/>
              <w:jc w:val="left"/>
              <w:rPr>
                <w:color w:val="auto"/>
                <w:highlight w:val="none"/>
              </w:rPr>
            </w:pPr>
          </w:p>
        </w:tc>
      </w:tr>
      <w:tr w14:paraId="68BED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853" w:type="dxa"/>
            <w:vMerge w:val="continue"/>
            <w:shd w:val="clear" w:color="auto" w:fill="auto"/>
            <w:tcMar>
              <w:top w:w="0" w:type="dxa"/>
              <w:left w:w="105" w:type="dxa"/>
              <w:bottom w:w="0" w:type="dxa"/>
              <w:right w:w="105" w:type="dxa"/>
            </w:tcMar>
            <w:vAlign w:val="center"/>
          </w:tcPr>
          <w:p w14:paraId="71CB79AA">
            <w:pPr>
              <w:rPr>
                <w:rFonts w:ascii="宋体"/>
                <w:color w:val="auto"/>
                <w:sz w:val="24"/>
                <w:highlight w:val="none"/>
              </w:rPr>
            </w:pPr>
          </w:p>
        </w:tc>
        <w:tc>
          <w:tcPr>
            <w:tcW w:w="956" w:type="dxa"/>
            <w:shd w:val="clear" w:color="auto" w:fill="auto"/>
            <w:tcMar>
              <w:top w:w="0" w:type="dxa"/>
              <w:left w:w="105" w:type="dxa"/>
              <w:bottom w:w="0" w:type="dxa"/>
              <w:right w:w="105" w:type="dxa"/>
            </w:tcMar>
            <w:vAlign w:val="center"/>
          </w:tcPr>
          <w:p w14:paraId="71AF36D3">
            <w:pPr>
              <w:widowControl/>
              <w:jc w:val="center"/>
              <w:rPr>
                <w:color w:val="auto"/>
                <w:highlight w:val="none"/>
              </w:rPr>
            </w:pPr>
          </w:p>
        </w:tc>
        <w:tc>
          <w:tcPr>
            <w:tcW w:w="1498" w:type="dxa"/>
            <w:shd w:val="clear" w:color="auto" w:fill="auto"/>
            <w:tcMar>
              <w:top w:w="0" w:type="dxa"/>
              <w:left w:w="105" w:type="dxa"/>
              <w:bottom w:w="0" w:type="dxa"/>
              <w:right w:w="105" w:type="dxa"/>
            </w:tcMar>
            <w:vAlign w:val="center"/>
          </w:tcPr>
          <w:p w14:paraId="18D2A003">
            <w:pPr>
              <w:autoSpaceDN w:val="0"/>
              <w:jc w:val="center"/>
              <w:textAlignment w:val="center"/>
              <w:rPr>
                <w:color w:val="auto"/>
                <w:highlight w:val="none"/>
              </w:rPr>
            </w:pPr>
          </w:p>
        </w:tc>
        <w:tc>
          <w:tcPr>
            <w:tcW w:w="784" w:type="dxa"/>
            <w:shd w:val="clear" w:color="auto" w:fill="auto"/>
            <w:tcMar>
              <w:top w:w="0" w:type="dxa"/>
              <w:left w:w="105" w:type="dxa"/>
              <w:bottom w:w="0" w:type="dxa"/>
              <w:right w:w="105" w:type="dxa"/>
            </w:tcMar>
            <w:vAlign w:val="center"/>
          </w:tcPr>
          <w:p w14:paraId="191B90BD">
            <w:pPr>
              <w:widowControl/>
              <w:jc w:val="left"/>
              <w:rPr>
                <w:rFonts w:ascii="宋体" w:hAnsi="宋体" w:cs="宋体"/>
                <w:color w:val="auto"/>
                <w:sz w:val="24"/>
                <w:highlight w:val="none"/>
              </w:rPr>
            </w:pPr>
          </w:p>
        </w:tc>
        <w:tc>
          <w:tcPr>
            <w:tcW w:w="1140" w:type="dxa"/>
            <w:shd w:val="clear" w:color="auto" w:fill="auto"/>
            <w:tcMar>
              <w:top w:w="0" w:type="dxa"/>
              <w:left w:w="105" w:type="dxa"/>
              <w:bottom w:w="0" w:type="dxa"/>
              <w:right w:w="105" w:type="dxa"/>
            </w:tcMar>
          </w:tcPr>
          <w:p w14:paraId="58118528">
            <w:pPr>
              <w:widowControl/>
              <w:jc w:val="left"/>
              <w:rPr>
                <w:color w:val="auto"/>
                <w:highlight w:val="none"/>
              </w:rPr>
            </w:pPr>
          </w:p>
        </w:tc>
        <w:tc>
          <w:tcPr>
            <w:tcW w:w="1155" w:type="dxa"/>
            <w:shd w:val="clear" w:color="auto" w:fill="auto"/>
            <w:tcMar>
              <w:top w:w="0" w:type="dxa"/>
              <w:left w:w="105" w:type="dxa"/>
              <w:bottom w:w="0" w:type="dxa"/>
              <w:right w:w="105" w:type="dxa"/>
            </w:tcMar>
          </w:tcPr>
          <w:p w14:paraId="1AA1AB86">
            <w:pPr>
              <w:widowControl/>
              <w:jc w:val="left"/>
              <w:rPr>
                <w:color w:val="auto"/>
                <w:highlight w:val="none"/>
              </w:rPr>
            </w:pPr>
          </w:p>
        </w:tc>
        <w:tc>
          <w:tcPr>
            <w:tcW w:w="589" w:type="dxa"/>
            <w:shd w:val="clear" w:color="auto" w:fill="auto"/>
            <w:tcMar>
              <w:top w:w="0" w:type="dxa"/>
              <w:left w:w="105" w:type="dxa"/>
              <w:bottom w:w="0" w:type="dxa"/>
              <w:right w:w="105" w:type="dxa"/>
            </w:tcMar>
          </w:tcPr>
          <w:p w14:paraId="1B017D01">
            <w:pPr>
              <w:widowControl/>
              <w:jc w:val="left"/>
              <w:rPr>
                <w:color w:val="auto"/>
                <w:highlight w:val="none"/>
              </w:rPr>
            </w:pPr>
          </w:p>
        </w:tc>
        <w:tc>
          <w:tcPr>
            <w:tcW w:w="1088" w:type="dxa"/>
            <w:shd w:val="clear" w:color="auto" w:fill="auto"/>
            <w:tcMar>
              <w:top w:w="0" w:type="dxa"/>
              <w:left w:w="105" w:type="dxa"/>
              <w:bottom w:w="0" w:type="dxa"/>
              <w:right w:w="105" w:type="dxa"/>
            </w:tcMar>
          </w:tcPr>
          <w:p w14:paraId="18D84326">
            <w:pPr>
              <w:widowControl/>
              <w:jc w:val="left"/>
              <w:rPr>
                <w:color w:val="auto"/>
                <w:highlight w:val="none"/>
              </w:rPr>
            </w:pPr>
          </w:p>
        </w:tc>
        <w:tc>
          <w:tcPr>
            <w:tcW w:w="1257" w:type="dxa"/>
            <w:shd w:val="clear" w:color="auto" w:fill="auto"/>
            <w:tcMar>
              <w:top w:w="0" w:type="dxa"/>
              <w:left w:w="105" w:type="dxa"/>
              <w:bottom w:w="0" w:type="dxa"/>
              <w:right w:w="105" w:type="dxa"/>
            </w:tcMar>
          </w:tcPr>
          <w:p w14:paraId="24714E3C">
            <w:pPr>
              <w:widowControl/>
              <w:jc w:val="left"/>
              <w:rPr>
                <w:color w:val="auto"/>
                <w:highlight w:val="none"/>
              </w:rPr>
            </w:pPr>
          </w:p>
        </w:tc>
      </w:tr>
      <w:tr w14:paraId="6748D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853" w:type="dxa"/>
            <w:shd w:val="clear" w:color="auto" w:fill="auto"/>
            <w:tcMar>
              <w:top w:w="0" w:type="dxa"/>
              <w:left w:w="105" w:type="dxa"/>
              <w:bottom w:w="0" w:type="dxa"/>
              <w:right w:w="105" w:type="dxa"/>
            </w:tcMar>
            <w:vAlign w:val="center"/>
          </w:tcPr>
          <w:p w14:paraId="4357711A">
            <w:pPr>
              <w:pStyle w:val="19"/>
              <w:widowControl/>
              <w:jc w:val="center"/>
              <w:rPr>
                <w:color w:val="auto"/>
                <w:highlight w:val="none"/>
              </w:rPr>
            </w:pPr>
            <w:r>
              <w:rPr>
                <w:rFonts w:ascii="Calibri" w:hAnsi="Calibri" w:cs="Calibri"/>
                <w:color w:val="auto"/>
                <w:sz w:val="21"/>
                <w:szCs w:val="21"/>
                <w:highlight w:val="none"/>
              </w:rPr>
              <w:t>…</w:t>
            </w:r>
          </w:p>
        </w:tc>
        <w:tc>
          <w:tcPr>
            <w:tcW w:w="956" w:type="dxa"/>
            <w:shd w:val="clear" w:color="auto" w:fill="auto"/>
            <w:tcMar>
              <w:top w:w="0" w:type="dxa"/>
              <w:left w:w="105" w:type="dxa"/>
              <w:bottom w:w="0" w:type="dxa"/>
              <w:right w:w="105" w:type="dxa"/>
            </w:tcMar>
            <w:vAlign w:val="center"/>
          </w:tcPr>
          <w:p w14:paraId="17C9942C">
            <w:pPr>
              <w:widowControl/>
              <w:jc w:val="left"/>
              <w:rPr>
                <w:color w:val="auto"/>
                <w:highlight w:val="none"/>
              </w:rPr>
            </w:pPr>
          </w:p>
        </w:tc>
        <w:tc>
          <w:tcPr>
            <w:tcW w:w="1498" w:type="dxa"/>
            <w:shd w:val="clear" w:color="auto" w:fill="auto"/>
            <w:tcMar>
              <w:top w:w="0" w:type="dxa"/>
              <w:left w:w="105" w:type="dxa"/>
              <w:bottom w:w="0" w:type="dxa"/>
              <w:right w:w="105" w:type="dxa"/>
            </w:tcMar>
          </w:tcPr>
          <w:p w14:paraId="09137FC8">
            <w:pPr>
              <w:widowControl/>
              <w:jc w:val="left"/>
              <w:rPr>
                <w:color w:val="auto"/>
                <w:highlight w:val="none"/>
              </w:rPr>
            </w:pPr>
          </w:p>
        </w:tc>
        <w:tc>
          <w:tcPr>
            <w:tcW w:w="784" w:type="dxa"/>
            <w:shd w:val="clear" w:color="auto" w:fill="auto"/>
            <w:tcMar>
              <w:top w:w="0" w:type="dxa"/>
              <w:left w:w="105" w:type="dxa"/>
              <w:bottom w:w="0" w:type="dxa"/>
              <w:right w:w="105" w:type="dxa"/>
            </w:tcMar>
            <w:vAlign w:val="center"/>
          </w:tcPr>
          <w:p w14:paraId="0AE93DAE">
            <w:pPr>
              <w:widowControl/>
              <w:jc w:val="left"/>
              <w:rPr>
                <w:color w:val="auto"/>
                <w:highlight w:val="none"/>
              </w:rPr>
            </w:pPr>
          </w:p>
        </w:tc>
        <w:tc>
          <w:tcPr>
            <w:tcW w:w="1140" w:type="dxa"/>
            <w:shd w:val="clear" w:color="auto" w:fill="auto"/>
            <w:tcMar>
              <w:top w:w="0" w:type="dxa"/>
              <w:left w:w="105" w:type="dxa"/>
              <w:bottom w:w="0" w:type="dxa"/>
              <w:right w:w="105" w:type="dxa"/>
            </w:tcMar>
          </w:tcPr>
          <w:p w14:paraId="6A6FB50E">
            <w:pPr>
              <w:widowControl/>
              <w:jc w:val="left"/>
              <w:rPr>
                <w:color w:val="auto"/>
                <w:highlight w:val="none"/>
              </w:rPr>
            </w:pPr>
          </w:p>
        </w:tc>
        <w:tc>
          <w:tcPr>
            <w:tcW w:w="1155" w:type="dxa"/>
            <w:shd w:val="clear" w:color="auto" w:fill="auto"/>
            <w:tcMar>
              <w:top w:w="0" w:type="dxa"/>
              <w:left w:w="105" w:type="dxa"/>
              <w:bottom w:w="0" w:type="dxa"/>
              <w:right w:w="105" w:type="dxa"/>
            </w:tcMar>
          </w:tcPr>
          <w:p w14:paraId="53B40ADC">
            <w:pPr>
              <w:widowControl/>
              <w:jc w:val="left"/>
              <w:rPr>
                <w:color w:val="auto"/>
                <w:highlight w:val="none"/>
              </w:rPr>
            </w:pPr>
          </w:p>
        </w:tc>
        <w:tc>
          <w:tcPr>
            <w:tcW w:w="589" w:type="dxa"/>
            <w:shd w:val="clear" w:color="auto" w:fill="auto"/>
            <w:tcMar>
              <w:top w:w="0" w:type="dxa"/>
              <w:left w:w="105" w:type="dxa"/>
              <w:bottom w:w="0" w:type="dxa"/>
              <w:right w:w="105" w:type="dxa"/>
            </w:tcMar>
          </w:tcPr>
          <w:p w14:paraId="5D2E1CA1">
            <w:pPr>
              <w:widowControl/>
              <w:jc w:val="left"/>
              <w:rPr>
                <w:color w:val="auto"/>
                <w:highlight w:val="none"/>
              </w:rPr>
            </w:pPr>
          </w:p>
        </w:tc>
        <w:tc>
          <w:tcPr>
            <w:tcW w:w="1088" w:type="dxa"/>
            <w:shd w:val="clear" w:color="auto" w:fill="auto"/>
            <w:tcMar>
              <w:top w:w="0" w:type="dxa"/>
              <w:left w:w="105" w:type="dxa"/>
              <w:bottom w:w="0" w:type="dxa"/>
              <w:right w:w="105" w:type="dxa"/>
            </w:tcMar>
          </w:tcPr>
          <w:p w14:paraId="15AA3BEF">
            <w:pPr>
              <w:widowControl/>
              <w:jc w:val="left"/>
              <w:rPr>
                <w:color w:val="auto"/>
                <w:highlight w:val="none"/>
              </w:rPr>
            </w:pPr>
          </w:p>
        </w:tc>
        <w:tc>
          <w:tcPr>
            <w:tcW w:w="1257" w:type="dxa"/>
            <w:shd w:val="clear" w:color="auto" w:fill="auto"/>
            <w:tcMar>
              <w:top w:w="0" w:type="dxa"/>
              <w:left w:w="105" w:type="dxa"/>
              <w:bottom w:w="0" w:type="dxa"/>
              <w:right w:w="105" w:type="dxa"/>
            </w:tcMar>
          </w:tcPr>
          <w:p w14:paraId="0E856343">
            <w:pPr>
              <w:widowControl/>
              <w:jc w:val="left"/>
              <w:rPr>
                <w:color w:val="auto"/>
                <w:highlight w:val="none"/>
              </w:rPr>
            </w:pPr>
          </w:p>
        </w:tc>
      </w:tr>
    </w:tbl>
    <w:p w14:paraId="342C657D">
      <w:pPr>
        <w:pStyle w:val="19"/>
        <w:widowControl/>
        <w:rPr>
          <w:color w:val="auto"/>
          <w:highlight w:val="none"/>
        </w:rPr>
      </w:pPr>
      <w:r>
        <w:rPr>
          <w:rFonts w:hint="eastAsia" w:ascii="宋体" w:hAnsi="宋体" w:cs="宋体"/>
          <w:color w:val="auto"/>
          <w:sz w:val="21"/>
          <w:szCs w:val="21"/>
          <w:highlight w:val="none"/>
        </w:rPr>
        <w:t>※注意：</w:t>
      </w:r>
    </w:p>
    <w:p w14:paraId="0DEED1BD">
      <w:pPr>
        <w:pStyle w:val="19"/>
        <w:widowControl/>
        <w:rPr>
          <w:color w:val="auto"/>
          <w:highlight w:val="none"/>
        </w:rPr>
      </w:pPr>
      <w:r>
        <w:rPr>
          <w:rFonts w:hint="eastAsia" w:ascii="宋体" w:hAnsi="宋体" w:cs="宋体"/>
          <w:color w:val="auto"/>
          <w:sz w:val="21"/>
          <w:szCs w:val="21"/>
          <w:highlight w:val="none"/>
        </w:rPr>
        <w:t>1、本表应按照下列规定填写：</w:t>
      </w:r>
    </w:p>
    <w:p w14:paraId="5F20BA73">
      <w:pPr>
        <w:pStyle w:val="19"/>
        <w:widowControl/>
        <w:rPr>
          <w:color w:val="auto"/>
          <w:highlight w:val="none"/>
        </w:rPr>
      </w:pPr>
      <w:r>
        <w:rPr>
          <w:rFonts w:hint="eastAsia" w:ascii="宋体" w:hAnsi="宋体" w:cs="宋体"/>
          <w:color w:val="auto"/>
          <w:sz w:val="21"/>
          <w:szCs w:val="21"/>
          <w:highlight w:val="none"/>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w:t>
      </w:r>
      <w:r>
        <w:rPr>
          <w:rFonts w:ascii="Calibri" w:hAnsi="Calibri" w:cs="Calibri"/>
          <w:color w:val="auto"/>
          <w:sz w:val="21"/>
          <w:szCs w:val="21"/>
          <w:highlight w:val="none"/>
        </w:rPr>
        <w:t>1</w:t>
      </w:r>
      <w:r>
        <w:rPr>
          <w:rFonts w:hint="eastAsia" w:ascii="宋体" w:hAnsi="宋体" w:cs="宋体"/>
          <w:color w:val="auto"/>
          <w:sz w:val="21"/>
          <w:szCs w:val="21"/>
          <w:highlight w:val="none"/>
        </w:rPr>
        <w:t>”时，本表中列示的“采购包”亦应为“</w:t>
      </w:r>
      <w:r>
        <w:rPr>
          <w:rFonts w:ascii="Calibri" w:hAnsi="Calibri" w:cs="Calibri"/>
          <w:color w:val="auto"/>
          <w:sz w:val="21"/>
          <w:szCs w:val="21"/>
          <w:highlight w:val="none"/>
        </w:rPr>
        <w:t>1</w:t>
      </w:r>
      <w:r>
        <w:rPr>
          <w:rFonts w:hint="eastAsia" w:ascii="宋体" w:hAnsi="宋体" w:cs="宋体"/>
          <w:color w:val="auto"/>
          <w:sz w:val="21"/>
          <w:szCs w:val="21"/>
          <w:highlight w:val="none"/>
        </w:rPr>
        <w:t>”，以此类推。</w:t>
      </w:r>
    </w:p>
    <w:p w14:paraId="2A6F4E85">
      <w:pPr>
        <w:pStyle w:val="19"/>
        <w:widowControl/>
        <w:rPr>
          <w:color w:val="auto"/>
          <w:highlight w:val="none"/>
        </w:rPr>
      </w:pPr>
      <w:r>
        <w:rPr>
          <w:rFonts w:hint="eastAsia" w:ascii="宋体" w:hAnsi="宋体" w:cs="宋体"/>
          <w:color w:val="auto"/>
          <w:sz w:val="21"/>
          <w:szCs w:val="21"/>
          <w:highlight w:val="none"/>
        </w:rPr>
        <w:t>1.2“投标标的”为货物的：</w:t>
      </w:r>
      <w:r>
        <w:rPr>
          <w:rStyle w:val="26"/>
          <w:rFonts w:hint="eastAsia" w:ascii="宋体" w:hAnsi="宋体" w:cs="宋体"/>
          <w:color w:val="auto"/>
          <w:sz w:val="21"/>
          <w:szCs w:val="21"/>
          <w:highlight w:val="none"/>
        </w:rPr>
        <w:t>“规格”</w:t>
      </w:r>
      <w:r>
        <w:rPr>
          <w:rFonts w:hint="eastAsia" w:ascii="宋体" w:hAnsi="宋体" w:cs="宋体"/>
          <w:color w:val="auto"/>
          <w:sz w:val="21"/>
          <w:szCs w:val="21"/>
          <w:highlight w:val="none"/>
        </w:rPr>
        <w:t>项下应填写货物制造厂商赋予的品牌（属于节能、环保清单产品的货物，填写的品牌名称应与清单载明的品牌名称保持一致）及具体型号。</w:t>
      </w:r>
      <w:r>
        <w:rPr>
          <w:rStyle w:val="26"/>
          <w:rFonts w:hint="eastAsia" w:ascii="宋体" w:hAnsi="宋体" w:cs="宋体"/>
          <w:color w:val="auto"/>
          <w:sz w:val="21"/>
          <w:szCs w:val="21"/>
          <w:highlight w:val="none"/>
        </w:rPr>
        <w:t>“来源地”</w:t>
      </w:r>
      <w:r>
        <w:rPr>
          <w:rFonts w:hint="eastAsia" w:ascii="宋体" w:hAnsi="宋体" w:cs="宋体"/>
          <w:color w:val="auto"/>
          <w:sz w:val="21"/>
          <w:szCs w:val="21"/>
          <w:highlight w:val="none"/>
        </w:rPr>
        <w:t>应填写货物的原产地。</w:t>
      </w:r>
    </w:p>
    <w:p w14:paraId="1067AC2A">
      <w:pPr>
        <w:pStyle w:val="19"/>
        <w:widowControl/>
        <w:rPr>
          <w:color w:val="auto"/>
          <w:highlight w:val="none"/>
        </w:rPr>
      </w:pPr>
      <w:r>
        <w:rPr>
          <w:rFonts w:hint="eastAsia" w:ascii="宋体" w:hAnsi="宋体" w:cs="宋体"/>
          <w:color w:val="auto"/>
          <w:sz w:val="21"/>
          <w:szCs w:val="21"/>
          <w:highlight w:val="none"/>
        </w:rPr>
        <w:t>1.3“投标标的”为服务的：</w:t>
      </w:r>
      <w:r>
        <w:rPr>
          <w:rStyle w:val="26"/>
          <w:rFonts w:hint="eastAsia" w:ascii="宋体" w:hAnsi="宋体" w:cs="宋体"/>
          <w:color w:val="auto"/>
          <w:sz w:val="21"/>
          <w:szCs w:val="21"/>
          <w:highlight w:val="none"/>
        </w:rPr>
        <w:t>“规格”</w:t>
      </w:r>
      <w:r>
        <w:rPr>
          <w:rFonts w:hint="eastAsia" w:ascii="宋体" w:hAnsi="宋体" w:cs="宋体"/>
          <w:color w:val="auto"/>
          <w:sz w:val="21"/>
          <w:szCs w:val="21"/>
          <w:highlight w:val="none"/>
        </w:rPr>
        <w:t>项下应填写服务提供者提供的服务标准及品牌（若有）。</w:t>
      </w:r>
      <w:r>
        <w:rPr>
          <w:rStyle w:val="26"/>
          <w:rFonts w:hint="eastAsia" w:ascii="宋体" w:hAnsi="宋体" w:cs="宋体"/>
          <w:color w:val="auto"/>
          <w:sz w:val="21"/>
          <w:szCs w:val="21"/>
          <w:highlight w:val="none"/>
        </w:rPr>
        <w:t>“来源地”</w:t>
      </w:r>
      <w:r>
        <w:rPr>
          <w:rFonts w:hint="eastAsia" w:ascii="宋体" w:hAnsi="宋体" w:cs="宋体"/>
          <w:color w:val="auto"/>
          <w:sz w:val="21"/>
          <w:szCs w:val="21"/>
          <w:highlight w:val="none"/>
        </w:rPr>
        <w:t>应填写服务提供者的所在地。</w:t>
      </w:r>
    </w:p>
    <w:p w14:paraId="41731525">
      <w:pPr>
        <w:pStyle w:val="19"/>
        <w:widowControl/>
        <w:rPr>
          <w:color w:val="auto"/>
          <w:highlight w:val="none"/>
        </w:rPr>
      </w:pPr>
      <w:r>
        <w:rPr>
          <w:rFonts w:hint="eastAsia" w:ascii="宋体" w:hAnsi="宋体" w:cs="宋体"/>
          <w:color w:val="auto"/>
          <w:sz w:val="21"/>
          <w:szCs w:val="21"/>
          <w:highlight w:val="none"/>
        </w:rPr>
        <w:t>1.4同一采购包中，</w:t>
      </w:r>
      <w:r>
        <w:rPr>
          <w:rStyle w:val="26"/>
          <w:rFonts w:hint="eastAsia" w:ascii="宋体" w:hAnsi="宋体" w:cs="宋体"/>
          <w:color w:val="auto"/>
          <w:sz w:val="21"/>
          <w:szCs w:val="21"/>
          <w:highlight w:val="none"/>
        </w:rPr>
        <w:t>“单价（现场）”</w:t>
      </w:r>
      <w:r>
        <w:rPr>
          <w:rFonts w:hint="eastAsia" w:ascii="宋体" w:hAnsi="宋体" w:cs="宋体"/>
          <w:color w:val="auto"/>
          <w:sz w:val="21"/>
          <w:szCs w:val="21"/>
          <w:highlight w:val="none"/>
        </w:rPr>
        <w:t>×</w:t>
      </w:r>
      <w:r>
        <w:rPr>
          <w:rStyle w:val="26"/>
          <w:rFonts w:hint="eastAsia" w:ascii="宋体" w:hAnsi="宋体" w:cs="宋体"/>
          <w:color w:val="auto"/>
          <w:sz w:val="21"/>
          <w:szCs w:val="21"/>
          <w:highlight w:val="none"/>
        </w:rPr>
        <w:t>“数量”</w:t>
      </w:r>
      <w:r>
        <w:rPr>
          <w:rFonts w:hint="eastAsia" w:ascii="宋体" w:hAnsi="宋体" w:cs="宋体"/>
          <w:color w:val="auto"/>
          <w:sz w:val="21"/>
          <w:szCs w:val="21"/>
          <w:highlight w:val="none"/>
        </w:rPr>
        <w:t>=</w:t>
      </w:r>
      <w:r>
        <w:rPr>
          <w:rStyle w:val="26"/>
          <w:rFonts w:hint="eastAsia" w:ascii="宋体" w:hAnsi="宋体" w:cs="宋体"/>
          <w:color w:val="auto"/>
          <w:sz w:val="21"/>
          <w:szCs w:val="21"/>
          <w:highlight w:val="none"/>
        </w:rPr>
        <w:t>“总价（现场）”</w:t>
      </w:r>
      <w:r>
        <w:rPr>
          <w:rFonts w:hint="eastAsia" w:ascii="宋体" w:hAnsi="宋体" w:cs="宋体"/>
          <w:color w:val="auto"/>
          <w:sz w:val="21"/>
          <w:szCs w:val="21"/>
          <w:highlight w:val="none"/>
        </w:rPr>
        <w:t>，全部品目号</w:t>
      </w:r>
      <w:r>
        <w:rPr>
          <w:rStyle w:val="26"/>
          <w:rFonts w:hint="eastAsia" w:ascii="宋体" w:hAnsi="宋体" w:cs="宋体"/>
          <w:color w:val="auto"/>
          <w:sz w:val="21"/>
          <w:szCs w:val="21"/>
          <w:highlight w:val="none"/>
        </w:rPr>
        <w:t>“总价（现场）”</w:t>
      </w:r>
      <w:r>
        <w:rPr>
          <w:rFonts w:hint="eastAsia" w:ascii="宋体" w:hAnsi="宋体" w:cs="宋体"/>
          <w:color w:val="auto"/>
          <w:sz w:val="21"/>
          <w:szCs w:val="21"/>
          <w:highlight w:val="none"/>
        </w:rPr>
        <w:t>的合计金额应与《开标一览表》中相应采购包列示的</w:t>
      </w:r>
      <w:r>
        <w:rPr>
          <w:rStyle w:val="26"/>
          <w:rFonts w:hint="eastAsia" w:ascii="宋体" w:hAnsi="宋体" w:cs="宋体"/>
          <w:color w:val="auto"/>
          <w:sz w:val="21"/>
          <w:szCs w:val="21"/>
          <w:highlight w:val="none"/>
        </w:rPr>
        <w:t>“投标总价”</w:t>
      </w:r>
      <w:r>
        <w:rPr>
          <w:rFonts w:hint="eastAsia" w:ascii="宋体" w:hAnsi="宋体" w:cs="宋体"/>
          <w:color w:val="auto"/>
          <w:sz w:val="21"/>
          <w:szCs w:val="21"/>
          <w:highlight w:val="none"/>
        </w:rPr>
        <w:t>保持一致。</w:t>
      </w:r>
    </w:p>
    <w:p w14:paraId="473DBB87">
      <w:pPr>
        <w:pStyle w:val="19"/>
        <w:widowControl/>
        <w:rPr>
          <w:color w:val="auto"/>
          <w:highlight w:val="none"/>
        </w:rPr>
      </w:pPr>
      <w:r>
        <w:rPr>
          <w:rFonts w:hint="eastAsia" w:ascii="宋体" w:hAnsi="宋体" w:cs="宋体"/>
          <w:color w:val="auto"/>
          <w:sz w:val="21"/>
          <w:szCs w:val="21"/>
          <w:highlight w:val="none"/>
        </w:rPr>
        <w:t>1.5若招标文件要求投标人对“备品备件价格、专用工具价格、技术服务费、安装调试费、检验培训费、运输费、保险费、税收”等进行报价的，请在本表的</w:t>
      </w:r>
      <w:r>
        <w:rPr>
          <w:rStyle w:val="26"/>
          <w:rFonts w:hint="eastAsia" w:ascii="宋体" w:hAnsi="宋体" w:cs="宋体"/>
          <w:color w:val="auto"/>
          <w:sz w:val="21"/>
          <w:szCs w:val="21"/>
          <w:highlight w:val="none"/>
        </w:rPr>
        <w:t>“备注”</w:t>
      </w:r>
      <w:r>
        <w:rPr>
          <w:rFonts w:hint="eastAsia" w:ascii="宋体" w:hAnsi="宋体" w:cs="宋体"/>
          <w:color w:val="auto"/>
          <w:sz w:val="21"/>
          <w:szCs w:val="21"/>
          <w:highlight w:val="none"/>
        </w:rPr>
        <w:t>项下填写。</w:t>
      </w:r>
    </w:p>
    <w:p w14:paraId="5B5A4BA7">
      <w:pPr>
        <w:spacing w:line="440" w:lineRule="exact"/>
        <w:ind w:firstLine="480" w:firstLineChars="200"/>
        <w:rPr>
          <w:rFonts w:ascii="宋体" w:hAnsi="宋体" w:cs="宋体"/>
          <w:bCs/>
          <w:color w:val="auto"/>
          <w:sz w:val="24"/>
          <w:highlight w:val="none"/>
          <w:u w:val="single"/>
        </w:rPr>
      </w:pPr>
      <w:r>
        <w:rPr>
          <w:rFonts w:hint="eastAsia" w:ascii="宋体" w:hAnsi="宋体" w:cs="宋体"/>
          <w:bCs/>
          <w:color w:val="auto"/>
          <w:sz w:val="24"/>
          <w:highlight w:val="none"/>
        </w:rPr>
        <w:t>投标人：</w:t>
      </w:r>
      <w:r>
        <w:rPr>
          <w:rFonts w:hint="eastAsia" w:ascii="宋体" w:hAnsi="宋体" w:cs="宋体"/>
          <w:bCs/>
          <w:color w:val="auto"/>
          <w:sz w:val="24"/>
          <w:highlight w:val="none"/>
          <w:u w:val="single"/>
        </w:rPr>
        <w:t>（全称并加盖单位公章）</w:t>
      </w:r>
    </w:p>
    <w:p w14:paraId="252B01CB">
      <w:pPr>
        <w:spacing w:line="440" w:lineRule="exact"/>
        <w:ind w:firstLine="480" w:firstLineChars="200"/>
        <w:rPr>
          <w:rFonts w:ascii="宋体" w:hAnsi="宋体" w:cs="宋体"/>
          <w:bCs/>
          <w:color w:val="auto"/>
          <w:sz w:val="24"/>
          <w:highlight w:val="none"/>
          <w:u w:val="single"/>
        </w:rPr>
      </w:pPr>
      <w:r>
        <w:rPr>
          <w:rFonts w:hint="eastAsia" w:ascii="宋体" w:hAnsi="宋体" w:cs="宋体"/>
          <w:bCs/>
          <w:color w:val="auto"/>
          <w:sz w:val="24"/>
          <w:highlight w:val="none"/>
        </w:rPr>
        <w:t>投标人代表签字：</w:t>
      </w:r>
      <w:r>
        <w:rPr>
          <w:rFonts w:hint="eastAsia" w:ascii="宋体" w:hAnsi="宋体" w:cs="宋体"/>
          <w:bCs/>
          <w:color w:val="auto"/>
          <w:sz w:val="24"/>
          <w:highlight w:val="none"/>
          <w:u w:val="single"/>
        </w:rPr>
        <w:t xml:space="preserve">          </w:t>
      </w:r>
    </w:p>
    <w:p w14:paraId="4622FAB2">
      <w:pPr>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日期：    年   月   日</w:t>
      </w:r>
    </w:p>
    <w:p w14:paraId="02415AD8">
      <w:pPr>
        <w:pStyle w:val="19"/>
        <w:widowControl/>
        <w:jc w:val="center"/>
        <w:rPr>
          <w:rStyle w:val="26"/>
          <w:rFonts w:hint="eastAsia" w:ascii="宋体" w:hAnsi="宋体" w:cs="宋体"/>
          <w:color w:val="auto"/>
          <w:sz w:val="21"/>
          <w:szCs w:val="21"/>
          <w:highlight w:val="none"/>
        </w:rPr>
      </w:pPr>
    </w:p>
    <w:p w14:paraId="72C3BCD0">
      <w:pPr>
        <w:pStyle w:val="19"/>
        <w:widowControl/>
        <w:jc w:val="center"/>
        <w:rPr>
          <w:rStyle w:val="26"/>
          <w:rFonts w:hint="eastAsia" w:ascii="宋体" w:hAnsi="宋体" w:cs="宋体"/>
          <w:color w:val="auto"/>
          <w:sz w:val="21"/>
          <w:szCs w:val="21"/>
          <w:highlight w:val="none"/>
        </w:rPr>
      </w:pPr>
    </w:p>
    <w:p w14:paraId="4577A11B">
      <w:pPr>
        <w:pStyle w:val="19"/>
        <w:widowControl/>
        <w:jc w:val="center"/>
        <w:rPr>
          <w:color w:val="auto"/>
          <w:highlight w:val="none"/>
        </w:rPr>
      </w:pPr>
      <w:r>
        <w:rPr>
          <w:rStyle w:val="26"/>
          <w:rFonts w:hint="eastAsia" w:ascii="宋体" w:hAnsi="宋体" w:cs="宋体"/>
          <w:color w:val="auto"/>
          <w:sz w:val="21"/>
          <w:szCs w:val="21"/>
          <w:highlight w:val="none"/>
        </w:rPr>
        <w:t>三、招标文件规定的价格扣除证明材料（若有）</w:t>
      </w:r>
    </w:p>
    <w:p w14:paraId="447BA3B1">
      <w:pPr>
        <w:pStyle w:val="19"/>
        <w:widowControl/>
        <w:jc w:val="center"/>
        <w:rPr>
          <w:color w:val="auto"/>
          <w:highlight w:val="none"/>
        </w:rPr>
      </w:pPr>
      <w:r>
        <w:rPr>
          <w:rStyle w:val="26"/>
          <w:rFonts w:hint="eastAsia" w:ascii="宋体" w:hAnsi="宋体" w:cs="宋体"/>
          <w:color w:val="auto"/>
          <w:sz w:val="21"/>
          <w:szCs w:val="21"/>
          <w:highlight w:val="none"/>
        </w:rPr>
        <w:t>三-1优先类节能产品、环境标志产品价格扣除证明材料（若有）</w:t>
      </w:r>
    </w:p>
    <w:p w14:paraId="7EC184E5">
      <w:pPr>
        <w:pStyle w:val="19"/>
        <w:widowControl/>
        <w:jc w:val="center"/>
        <w:rPr>
          <w:color w:val="auto"/>
          <w:highlight w:val="none"/>
        </w:rPr>
      </w:pPr>
      <w:r>
        <w:rPr>
          <w:rStyle w:val="26"/>
          <w:rFonts w:hint="eastAsia" w:ascii="宋体" w:hAnsi="宋体" w:cs="宋体"/>
          <w:color w:val="auto"/>
          <w:sz w:val="21"/>
          <w:szCs w:val="21"/>
          <w:highlight w:val="none"/>
        </w:rPr>
        <w:t> 三-1-①优先类节能产品、环境标志产品统计表（价格扣除适用，若有）</w:t>
      </w:r>
    </w:p>
    <w:p w14:paraId="759DB09D">
      <w:pPr>
        <w:pStyle w:val="19"/>
        <w:widowControl/>
        <w:rPr>
          <w:color w:val="auto"/>
          <w:highlight w:val="none"/>
        </w:rPr>
      </w:pP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u w:val="single"/>
        </w:rPr>
        <w:t>                   </w:t>
      </w:r>
    </w:p>
    <w:p w14:paraId="5E68FD6D">
      <w:pPr>
        <w:pStyle w:val="19"/>
        <w:widowControl/>
        <w:jc w:val="right"/>
        <w:rPr>
          <w:color w:val="auto"/>
          <w:highlight w:val="none"/>
        </w:rPr>
      </w:pPr>
      <w:r>
        <w:rPr>
          <w:rFonts w:hint="eastAsia" w:ascii="宋体" w:hAnsi="宋体" w:cs="宋体"/>
          <w:color w:val="auto"/>
          <w:sz w:val="21"/>
          <w:szCs w:val="21"/>
          <w:highlight w:val="none"/>
        </w:rPr>
        <w:t>货币及单位：人民币元</w:t>
      </w:r>
    </w:p>
    <w:tbl>
      <w:tblPr>
        <w:tblStyle w:val="23"/>
        <w:tblW w:w="852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220"/>
        <w:gridCol w:w="1215"/>
        <w:gridCol w:w="1209"/>
        <w:gridCol w:w="1221"/>
        <w:gridCol w:w="1209"/>
        <w:gridCol w:w="1221"/>
        <w:gridCol w:w="1225"/>
      </w:tblGrid>
      <w:tr w14:paraId="65CAF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20" w:type="dxa"/>
            <w:shd w:val="clear" w:color="auto" w:fill="auto"/>
            <w:tcMar>
              <w:top w:w="0" w:type="dxa"/>
              <w:left w:w="105" w:type="dxa"/>
              <w:bottom w:w="0" w:type="dxa"/>
              <w:right w:w="105" w:type="dxa"/>
            </w:tcMar>
            <w:vAlign w:val="center"/>
          </w:tcPr>
          <w:p w14:paraId="79508AD2">
            <w:pPr>
              <w:widowControl/>
              <w:jc w:val="left"/>
              <w:rPr>
                <w:color w:val="auto"/>
                <w:highlight w:val="none"/>
              </w:rPr>
            </w:pPr>
          </w:p>
        </w:tc>
        <w:tc>
          <w:tcPr>
            <w:tcW w:w="7300" w:type="dxa"/>
            <w:gridSpan w:val="6"/>
            <w:shd w:val="clear" w:color="auto" w:fill="auto"/>
            <w:tcMar>
              <w:top w:w="0" w:type="dxa"/>
              <w:left w:w="105" w:type="dxa"/>
              <w:bottom w:w="0" w:type="dxa"/>
              <w:right w:w="105" w:type="dxa"/>
            </w:tcMar>
            <w:vAlign w:val="center"/>
          </w:tcPr>
          <w:p w14:paraId="39A6EE80">
            <w:pPr>
              <w:pStyle w:val="19"/>
              <w:widowControl/>
              <w:jc w:val="center"/>
              <w:rPr>
                <w:color w:val="auto"/>
                <w:highlight w:val="none"/>
              </w:rPr>
            </w:pPr>
            <w:r>
              <w:rPr>
                <w:rFonts w:hint="eastAsia" w:ascii="宋体" w:hAnsi="宋体" w:cs="宋体"/>
                <w:color w:val="auto"/>
                <w:sz w:val="21"/>
                <w:szCs w:val="21"/>
                <w:highlight w:val="none"/>
              </w:rPr>
              <w:t>本采购包内属于节能、环境标志产品的情况</w:t>
            </w:r>
          </w:p>
        </w:tc>
      </w:tr>
      <w:tr w14:paraId="69890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20" w:type="dxa"/>
            <w:shd w:val="clear" w:color="auto" w:fill="auto"/>
            <w:tcMar>
              <w:top w:w="0" w:type="dxa"/>
              <w:left w:w="105" w:type="dxa"/>
              <w:bottom w:w="0" w:type="dxa"/>
              <w:right w:w="105" w:type="dxa"/>
            </w:tcMar>
            <w:vAlign w:val="center"/>
          </w:tcPr>
          <w:p w14:paraId="22032022">
            <w:pPr>
              <w:jc w:val="center"/>
              <w:rPr>
                <w:color w:val="auto"/>
                <w:highlight w:val="none"/>
              </w:rPr>
            </w:pPr>
            <w:r>
              <w:rPr>
                <w:rFonts w:hint="eastAsia"/>
                <w:color w:val="auto"/>
                <w:highlight w:val="none"/>
              </w:rPr>
              <w:t>采购包</w:t>
            </w:r>
          </w:p>
        </w:tc>
        <w:tc>
          <w:tcPr>
            <w:tcW w:w="1215" w:type="dxa"/>
            <w:shd w:val="clear" w:color="auto" w:fill="auto"/>
            <w:tcMar>
              <w:top w:w="0" w:type="dxa"/>
              <w:left w:w="105" w:type="dxa"/>
              <w:bottom w:w="0" w:type="dxa"/>
              <w:right w:w="105" w:type="dxa"/>
            </w:tcMar>
            <w:vAlign w:val="center"/>
          </w:tcPr>
          <w:p w14:paraId="12BEADBC">
            <w:pPr>
              <w:jc w:val="center"/>
              <w:rPr>
                <w:color w:val="auto"/>
                <w:highlight w:val="none"/>
              </w:rPr>
            </w:pPr>
            <w:r>
              <w:rPr>
                <w:rFonts w:hint="eastAsia"/>
                <w:color w:val="auto"/>
                <w:highlight w:val="none"/>
              </w:rPr>
              <w:t>品目号</w:t>
            </w:r>
          </w:p>
        </w:tc>
        <w:tc>
          <w:tcPr>
            <w:tcW w:w="1209" w:type="dxa"/>
            <w:shd w:val="clear" w:color="auto" w:fill="auto"/>
            <w:tcMar>
              <w:top w:w="0" w:type="dxa"/>
              <w:left w:w="105" w:type="dxa"/>
              <w:bottom w:w="0" w:type="dxa"/>
              <w:right w:w="105" w:type="dxa"/>
            </w:tcMar>
            <w:vAlign w:val="center"/>
          </w:tcPr>
          <w:p w14:paraId="6D209686">
            <w:pPr>
              <w:jc w:val="center"/>
              <w:rPr>
                <w:color w:val="auto"/>
                <w:highlight w:val="none"/>
              </w:rPr>
            </w:pPr>
            <w:r>
              <w:rPr>
                <w:rFonts w:hint="eastAsia"/>
                <w:color w:val="auto"/>
                <w:highlight w:val="none"/>
              </w:rPr>
              <w:t>货物名称</w:t>
            </w:r>
          </w:p>
        </w:tc>
        <w:tc>
          <w:tcPr>
            <w:tcW w:w="1221" w:type="dxa"/>
            <w:shd w:val="clear" w:color="auto" w:fill="auto"/>
            <w:tcMar>
              <w:top w:w="0" w:type="dxa"/>
              <w:left w:w="105" w:type="dxa"/>
              <w:bottom w:w="0" w:type="dxa"/>
              <w:right w:w="105" w:type="dxa"/>
            </w:tcMar>
            <w:vAlign w:val="center"/>
          </w:tcPr>
          <w:p w14:paraId="14A902B7">
            <w:pPr>
              <w:jc w:val="center"/>
              <w:rPr>
                <w:color w:val="auto"/>
                <w:highlight w:val="none"/>
              </w:rPr>
            </w:pPr>
            <w:r>
              <w:rPr>
                <w:rFonts w:hint="eastAsia"/>
                <w:color w:val="auto"/>
                <w:highlight w:val="none"/>
              </w:rPr>
              <w:t>单价</w:t>
            </w:r>
          </w:p>
          <w:p w14:paraId="6089647F">
            <w:pPr>
              <w:jc w:val="center"/>
              <w:rPr>
                <w:color w:val="auto"/>
                <w:highlight w:val="none"/>
              </w:rPr>
            </w:pPr>
            <w:r>
              <w:rPr>
                <w:rFonts w:hint="eastAsia"/>
                <w:color w:val="auto"/>
                <w:highlight w:val="none"/>
              </w:rPr>
              <w:t>（现场）</w:t>
            </w:r>
          </w:p>
        </w:tc>
        <w:tc>
          <w:tcPr>
            <w:tcW w:w="1209" w:type="dxa"/>
            <w:shd w:val="clear" w:color="auto" w:fill="auto"/>
            <w:tcMar>
              <w:top w:w="0" w:type="dxa"/>
              <w:left w:w="105" w:type="dxa"/>
              <w:bottom w:w="0" w:type="dxa"/>
              <w:right w:w="105" w:type="dxa"/>
            </w:tcMar>
            <w:vAlign w:val="center"/>
          </w:tcPr>
          <w:p w14:paraId="7CA9BB5F">
            <w:pPr>
              <w:jc w:val="center"/>
              <w:rPr>
                <w:color w:val="auto"/>
                <w:highlight w:val="none"/>
              </w:rPr>
            </w:pPr>
            <w:r>
              <w:rPr>
                <w:rFonts w:hint="eastAsia"/>
                <w:color w:val="auto"/>
                <w:highlight w:val="none"/>
              </w:rPr>
              <w:t>数量</w:t>
            </w:r>
          </w:p>
        </w:tc>
        <w:tc>
          <w:tcPr>
            <w:tcW w:w="1221" w:type="dxa"/>
            <w:shd w:val="clear" w:color="auto" w:fill="auto"/>
            <w:tcMar>
              <w:top w:w="0" w:type="dxa"/>
              <w:left w:w="105" w:type="dxa"/>
              <w:bottom w:w="0" w:type="dxa"/>
              <w:right w:w="105" w:type="dxa"/>
            </w:tcMar>
            <w:vAlign w:val="center"/>
          </w:tcPr>
          <w:p w14:paraId="2C5211CD">
            <w:pPr>
              <w:jc w:val="center"/>
              <w:rPr>
                <w:color w:val="auto"/>
                <w:highlight w:val="none"/>
              </w:rPr>
            </w:pPr>
            <w:r>
              <w:rPr>
                <w:rFonts w:hint="eastAsia"/>
                <w:color w:val="auto"/>
                <w:highlight w:val="none"/>
              </w:rPr>
              <w:t>总价</w:t>
            </w:r>
          </w:p>
          <w:p w14:paraId="36D934F8">
            <w:pPr>
              <w:jc w:val="center"/>
              <w:rPr>
                <w:color w:val="auto"/>
                <w:highlight w:val="none"/>
              </w:rPr>
            </w:pPr>
            <w:r>
              <w:rPr>
                <w:rFonts w:hint="eastAsia"/>
                <w:color w:val="auto"/>
                <w:highlight w:val="none"/>
              </w:rPr>
              <w:t>（现场）</w:t>
            </w:r>
          </w:p>
        </w:tc>
        <w:tc>
          <w:tcPr>
            <w:tcW w:w="1225" w:type="dxa"/>
            <w:shd w:val="clear" w:color="auto" w:fill="auto"/>
            <w:tcMar>
              <w:top w:w="0" w:type="dxa"/>
              <w:left w:w="105" w:type="dxa"/>
              <w:bottom w:w="0" w:type="dxa"/>
              <w:right w:w="105" w:type="dxa"/>
            </w:tcMar>
            <w:vAlign w:val="center"/>
          </w:tcPr>
          <w:p w14:paraId="33AFD122">
            <w:pPr>
              <w:jc w:val="center"/>
              <w:rPr>
                <w:color w:val="auto"/>
                <w:highlight w:val="none"/>
              </w:rPr>
            </w:pPr>
            <w:r>
              <w:rPr>
                <w:rFonts w:hint="eastAsia"/>
                <w:color w:val="auto"/>
                <w:highlight w:val="none"/>
              </w:rPr>
              <w:t>认证种类</w:t>
            </w:r>
          </w:p>
        </w:tc>
      </w:tr>
      <w:tr w14:paraId="3F2E0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20" w:type="dxa"/>
            <w:vMerge w:val="restart"/>
            <w:shd w:val="clear" w:color="auto" w:fill="auto"/>
            <w:tcMar>
              <w:top w:w="0" w:type="dxa"/>
              <w:left w:w="105" w:type="dxa"/>
              <w:bottom w:w="0" w:type="dxa"/>
              <w:right w:w="105" w:type="dxa"/>
            </w:tcMar>
            <w:vAlign w:val="center"/>
          </w:tcPr>
          <w:p w14:paraId="2ABEFBA8">
            <w:pPr>
              <w:pStyle w:val="19"/>
              <w:widowControl/>
              <w:jc w:val="center"/>
              <w:rPr>
                <w:color w:val="auto"/>
                <w:highlight w:val="none"/>
              </w:rPr>
            </w:pPr>
            <w:r>
              <w:rPr>
                <w:rFonts w:hint="eastAsia" w:ascii="宋体" w:hAnsi="宋体" w:cs="宋体"/>
                <w:color w:val="auto"/>
                <w:sz w:val="21"/>
                <w:szCs w:val="21"/>
                <w:highlight w:val="none"/>
              </w:rPr>
              <w:t>*</w:t>
            </w:r>
          </w:p>
        </w:tc>
        <w:tc>
          <w:tcPr>
            <w:tcW w:w="1215" w:type="dxa"/>
            <w:shd w:val="clear" w:color="auto" w:fill="auto"/>
            <w:tcMar>
              <w:top w:w="0" w:type="dxa"/>
              <w:left w:w="105" w:type="dxa"/>
              <w:bottom w:w="0" w:type="dxa"/>
              <w:right w:w="105" w:type="dxa"/>
            </w:tcMar>
            <w:vAlign w:val="center"/>
          </w:tcPr>
          <w:p w14:paraId="23B2ECF1">
            <w:pPr>
              <w:pStyle w:val="19"/>
              <w:widowControl/>
              <w:jc w:val="center"/>
              <w:rPr>
                <w:color w:val="auto"/>
                <w:highlight w:val="none"/>
              </w:rPr>
            </w:pPr>
            <w:r>
              <w:rPr>
                <w:rFonts w:hint="eastAsia" w:ascii="宋体" w:hAnsi="宋体" w:cs="宋体"/>
                <w:color w:val="auto"/>
                <w:sz w:val="21"/>
                <w:szCs w:val="21"/>
                <w:highlight w:val="none"/>
              </w:rPr>
              <w:t>*-1</w:t>
            </w:r>
          </w:p>
        </w:tc>
        <w:tc>
          <w:tcPr>
            <w:tcW w:w="1209" w:type="dxa"/>
            <w:shd w:val="clear" w:color="auto" w:fill="auto"/>
            <w:tcMar>
              <w:top w:w="0" w:type="dxa"/>
              <w:left w:w="105" w:type="dxa"/>
              <w:bottom w:w="0" w:type="dxa"/>
              <w:right w:w="105" w:type="dxa"/>
            </w:tcMar>
            <w:vAlign w:val="center"/>
          </w:tcPr>
          <w:p w14:paraId="237065A3">
            <w:pPr>
              <w:widowControl/>
              <w:jc w:val="left"/>
              <w:rPr>
                <w:color w:val="auto"/>
                <w:highlight w:val="none"/>
              </w:rPr>
            </w:pPr>
          </w:p>
        </w:tc>
        <w:tc>
          <w:tcPr>
            <w:tcW w:w="1221" w:type="dxa"/>
            <w:shd w:val="clear" w:color="auto" w:fill="auto"/>
            <w:tcMar>
              <w:top w:w="0" w:type="dxa"/>
              <w:left w:w="105" w:type="dxa"/>
              <w:bottom w:w="0" w:type="dxa"/>
              <w:right w:w="105" w:type="dxa"/>
            </w:tcMar>
            <w:vAlign w:val="center"/>
          </w:tcPr>
          <w:p w14:paraId="53EBB92A">
            <w:pPr>
              <w:widowControl/>
              <w:jc w:val="left"/>
              <w:rPr>
                <w:color w:val="auto"/>
                <w:highlight w:val="none"/>
              </w:rPr>
            </w:pPr>
          </w:p>
        </w:tc>
        <w:tc>
          <w:tcPr>
            <w:tcW w:w="1209" w:type="dxa"/>
            <w:shd w:val="clear" w:color="auto" w:fill="auto"/>
            <w:tcMar>
              <w:top w:w="0" w:type="dxa"/>
              <w:left w:w="105" w:type="dxa"/>
              <w:bottom w:w="0" w:type="dxa"/>
              <w:right w:w="105" w:type="dxa"/>
            </w:tcMar>
            <w:vAlign w:val="center"/>
          </w:tcPr>
          <w:p w14:paraId="6B2DF1E5">
            <w:pPr>
              <w:widowControl/>
              <w:jc w:val="left"/>
              <w:rPr>
                <w:color w:val="auto"/>
                <w:highlight w:val="none"/>
              </w:rPr>
            </w:pPr>
          </w:p>
        </w:tc>
        <w:tc>
          <w:tcPr>
            <w:tcW w:w="1221" w:type="dxa"/>
            <w:shd w:val="clear" w:color="auto" w:fill="auto"/>
            <w:tcMar>
              <w:top w:w="0" w:type="dxa"/>
              <w:left w:w="105" w:type="dxa"/>
              <w:bottom w:w="0" w:type="dxa"/>
              <w:right w:w="105" w:type="dxa"/>
            </w:tcMar>
            <w:vAlign w:val="center"/>
          </w:tcPr>
          <w:p w14:paraId="6159894E">
            <w:pPr>
              <w:widowControl/>
              <w:jc w:val="left"/>
              <w:rPr>
                <w:color w:val="auto"/>
                <w:highlight w:val="none"/>
              </w:rPr>
            </w:pPr>
          </w:p>
        </w:tc>
        <w:tc>
          <w:tcPr>
            <w:tcW w:w="1225" w:type="dxa"/>
            <w:shd w:val="clear" w:color="auto" w:fill="auto"/>
            <w:tcMar>
              <w:top w:w="0" w:type="dxa"/>
              <w:left w:w="105" w:type="dxa"/>
              <w:bottom w:w="0" w:type="dxa"/>
              <w:right w:w="105" w:type="dxa"/>
            </w:tcMar>
            <w:vAlign w:val="center"/>
          </w:tcPr>
          <w:p w14:paraId="39A50350">
            <w:pPr>
              <w:widowControl/>
              <w:jc w:val="left"/>
              <w:rPr>
                <w:color w:val="auto"/>
                <w:highlight w:val="none"/>
              </w:rPr>
            </w:pPr>
          </w:p>
        </w:tc>
      </w:tr>
      <w:tr w14:paraId="596AB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20" w:type="dxa"/>
            <w:vMerge w:val="continue"/>
            <w:shd w:val="clear" w:color="auto" w:fill="auto"/>
            <w:tcMar>
              <w:top w:w="0" w:type="dxa"/>
              <w:left w:w="105" w:type="dxa"/>
              <w:bottom w:w="0" w:type="dxa"/>
              <w:right w:w="105" w:type="dxa"/>
            </w:tcMar>
            <w:vAlign w:val="center"/>
          </w:tcPr>
          <w:p w14:paraId="7DC22339">
            <w:pPr>
              <w:rPr>
                <w:rFonts w:ascii="宋体"/>
                <w:color w:val="auto"/>
                <w:sz w:val="24"/>
                <w:highlight w:val="none"/>
              </w:rPr>
            </w:pPr>
          </w:p>
        </w:tc>
        <w:tc>
          <w:tcPr>
            <w:tcW w:w="1215" w:type="dxa"/>
            <w:shd w:val="clear" w:color="auto" w:fill="auto"/>
            <w:tcMar>
              <w:top w:w="0" w:type="dxa"/>
              <w:left w:w="105" w:type="dxa"/>
              <w:bottom w:w="0" w:type="dxa"/>
              <w:right w:w="105" w:type="dxa"/>
            </w:tcMar>
            <w:vAlign w:val="center"/>
          </w:tcPr>
          <w:p w14:paraId="69CF4FB8">
            <w:pPr>
              <w:pStyle w:val="19"/>
              <w:widowControl/>
              <w:jc w:val="center"/>
              <w:rPr>
                <w:color w:val="auto"/>
                <w:highlight w:val="none"/>
              </w:rPr>
            </w:pPr>
            <w:r>
              <w:rPr>
                <w:rFonts w:ascii="Calibri" w:hAnsi="Calibri" w:cs="Calibri"/>
                <w:color w:val="auto"/>
                <w:sz w:val="21"/>
                <w:szCs w:val="21"/>
                <w:highlight w:val="none"/>
              </w:rPr>
              <w:t>…</w:t>
            </w:r>
          </w:p>
        </w:tc>
        <w:tc>
          <w:tcPr>
            <w:tcW w:w="1209" w:type="dxa"/>
            <w:shd w:val="clear" w:color="auto" w:fill="auto"/>
            <w:tcMar>
              <w:top w:w="0" w:type="dxa"/>
              <w:left w:w="105" w:type="dxa"/>
              <w:bottom w:w="0" w:type="dxa"/>
              <w:right w:w="105" w:type="dxa"/>
            </w:tcMar>
            <w:vAlign w:val="center"/>
          </w:tcPr>
          <w:p w14:paraId="7DB94898">
            <w:pPr>
              <w:widowControl/>
              <w:jc w:val="left"/>
              <w:rPr>
                <w:color w:val="auto"/>
                <w:highlight w:val="none"/>
              </w:rPr>
            </w:pPr>
          </w:p>
        </w:tc>
        <w:tc>
          <w:tcPr>
            <w:tcW w:w="1221" w:type="dxa"/>
            <w:shd w:val="clear" w:color="auto" w:fill="auto"/>
            <w:tcMar>
              <w:top w:w="0" w:type="dxa"/>
              <w:left w:w="105" w:type="dxa"/>
              <w:bottom w:w="0" w:type="dxa"/>
              <w:right w:w="105" w:type="dxa"/>
            </w:tcMar>
            <w:vAlign w:val="center"/>
          </w:tcPr>
          <w:p w14:paraId="7D79247D">
            <w:pPr>
              <w:widowControl/>
              <w:jc w:val="left"/>
              <w:rPr>
                <w:color w:val="auto"/>
                <w:highlight w:val="none"/>
              </w:rPr>
            </w:pPr>
          </w:p>
        </w:tc>
        <w:tc>
          <w:tcPr>
            <w:tcW w:w="1209" w:type="dxa"/>
            <w:shd w:val="clear" w:color="auto" w:fill="auto"/>
            <w:tcMar>
              <w:top w:w="0" w:type="dxa"/>
              <w:left w:w="105" w:type="dxa"/>
              <w:bottom w:w="0" w:type="dxa"/>
              <w:right w:w="105" w:type="dxa"/>
            </w:tcMar>
            <w:vAlign w:val="center"/>
          </w:tcPr>
          <w:p w14:paraId="1E6666E3">
            <w:pPr>
              <w:widowControl/>
              <w:jc w:val="left"/>
              <w:rPr>
                <w:color w:val="auto"/>
                <w:highlight w:val="none"/>
              </w:rPr>
            </w:pPr>
          </w:p>
        </w:tc>
        <w:tc>
          <w:tcPr>
            <w:tcW w:w="1221" w:type="dxa"/>
            <w:shd w:val="clear" w:color="auto" w:fill="auto"/>
            <w:tcMar>
              <w:top w:w="0" w:type="dxa"/>
              <w:left w:w="105" w:type="dxa"/>
              <w:bottom w:w="0" w:type="dxa"/>
              <w:right w:w="105" w:type="dxa"/>
            </w:tcMar>
            <w:vAlign w:val="center"/>
          </w:tcPr>
          <w:p w14:paraId="41628136">
            <w:pPr>
              <w:widowControl/>
              <w:jc w:val="left"/>
              <w:rPr>
                <w:color w:val="auto"/>
                <w:highlight w:val="none"/>
              </w:rPr>
            </w:pPr>
          </w:p>
        </w:tc>
        <w:tc>
          <w:tcPr>
            <w:tcW w:w="1225" w:type="dxa"/>
            <w:shd w:val="clear" w:color="auto" w:fill="auto"/>
            <w:tcMar>
              <w:top w:w="0" w:type="dxa"/>
              <w:left w:w="105" w:type="dxa"/>
              <w:bottom w:w="0" w:type="dxa"/>
              <w:right w:w="105" w:type="dxa"/>
            </w:tcMar>
            <w:vAlign w:val="center"/>
          </w:tcPr>
          <w:p w14:paraId="5233F37A">
            <w:pPr>
              <w:widowControl/>
              <w:jc w:val="left"/>
              <w:rPr>
                <w:color w:val="auto"/>
                <w:highlight w:val="none"/>
              </w:rPr>
            </w:pPr>
          </w:p>
        </w:tc>
      </w:tr>
      <w:tr w14:paraId="7AED3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20" w:type="dxa"/>
            <w:shd w:val="clear" w:color="auto" w:fill="auto"/>
            <w:tcMar>
              <w:top w:w="0" w:type="dxa"/>
              <w:left w:w="105" w:type="dxa"/>
              <w:bottom w:w="0" w:type="dxa"/>
              <w:right w:w="105" w:type="dxa"/>
            </w:tcMar>
            <w:vAlign w:val="center"/>
          </w:tcPr>
          <w:p w14:paraId="40210031">
            <w:pPr>
              <w:pStyle w:val="19"/>
              <w:widowControl/>
              <w:jc w:val="center"/>
              <w:rPr>
                <w:color w:val="auto"/>
                <w:highlight w:val="none"/>
              </w:rPr>
            </w:pPr>
            <w:r>
              <w:rPr>
                <w:rFonts w:hint="eastAsia" w:ascii="宋体" w:hAnsi="宋体" w:cs="宋体"/>
                <w:color w:val="auto"/>
                <w:sz w:val="21"/>
                <w:szCs w:val="21"/>
                <w:highlight w:val="none"/>
              </w:rPr>
              <w:t>备注</w:t>
            </w:r>
          </w:p>
        </w:tc>
        <w:tc>
          <w:tcPr>
            <w:tcW w:w="7300" w:type="dxa"/>
            <w:gridSpan w:val="6"/>
            <w:shd w:val="clear" w:color="auto" w:fill="auto"/>
            <w:tcMar>
              <w:top w:w="0" w:type="dxa"/>
              <w:left w:w="105" w:type="dxa"/>
              <w:bottom w:w="0" w:type="dxa"/>
              <w:right w:w="105" w:type="dxa"/>
            </w:tcMar>
          </w:tcPr>
          <w:p w14:paraId="632AB838">
            <w:pPr>
              <w:pStyle w:val="19"/>
              <w:widowControl/>
              <w:rPr>
                <w:color w:val="auto"/>
                <w:highlight w:val="none"/>
              </w:rPr>
            </w:pPr>
            <w:r>
              <w:rPr>
                <w:rFonts w:hint="eastAsia" w:ascii="宋体" w:hAnsi="宋体" w:cs="宋体"/>
                <w:color w:val="auto"/>
                <w:sz w:val="21"/>
                <w:szCs w:val="21"/>
                <w:highlight w:val="none"/>
              </w:rPr>
              <w:t>a.采购包内属于节能、环境标志产品的报价总金额：</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w:t>
            </w:r>
          </w:p>
          <w:p w14:paraId="16DACB9E">
            <w:pPr>
              <w:pStyle w:val="19"/>
              <w:widowControl/>
              <w:rPr>
                <w:color w:val="auto"/>
                <w:highlight w:val="none"/>
              </w:rPr>
            </w:pPr>
            <w:r>
              <w:rPr>
                <w:rFonts w:hint="eastAsia" w:ascii="宋体" w:hAnsi="宋体" w:cs="宋体"/>
                <w:color w:val="auto"/>
                <w:sz w:val="21"/>
                <w:szCs w:val="21"/>
                <w:highlight w:val="none"/>
              </w:rPr>
              <w:t>b.采购包投标总价（报价总金额）：</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w:t>
            </w:r>
          </w:p>
          <w:p w14:paraId="56084994">
            <w:pPr>
              <w:pStyle w:val="19"/>
              <w:widowControl/>
              <w:rPr>
                <w:color w:val="auto"/>
                <w:highlight w:val="none"/>
              </w:rPr>
            </w:pPr>
            <w:r>
              <w:rPr>
                <w:rFonts w:hint="eastAsia" w:ascii="宋体" w:hAnsi="宋体" w:cs="宋体"/>
                <w:color w:val="auto"/>
                <w:sz w:val="21"/>
                <w:szCs w:val="21"/>
                <w:highlight w:val="none"/>
              </w:rPr>
              <w:t>c.“采购包内属于节能、环境标志产品的报价总金额”占“采购包投标总价（报价总金额）”的比例（以</w:t>
            </w:r>
            <w:r>
              <w:rPr>
                <w:rFonts w:ascii="Calibri" w:hAnsi="Calibri" w:cs="Calibri"/>
                <w:color w:val="auto"/>
                <w:sz w:val="21"/>
                <w:szCs w:val="21"/>
                <w:highlight w:val="none"/>
              </w:rPr>
              <w:t>%</w:t>
            </w:r>
            <w:r>
              <w:rPr>
                <w:rFonts w:hint="eastAsia" w:ascii="宋体" w:hAnsi="宋体" w:cs="宋体"/>
                <w:color w:val="auto"/>
                <w:sz w:val="21"/>
                <w:szCs w:val="21"/>
                <w:highlight w:val="none"/>
              </w:rPr>
              <w:t>列示）：</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w:t>
            </w:r>
          </w:p>
        </w:tc>
      </w:tr>
    </w:tbl>
    <w:p w14:paraId="6CC042F1">
      <w:pPr>
        <w:pStyle w:val="19"/>
        <w:widowControl/>
        <w:rPr>
          <w:color w:val="auto"/>
          <w:highlight w:val="none"/>
        </w:rPr>
      </w:pPr>
      <w:r>
        <w:rPr>
          <w:rFonts w:hint="eastAsia" w:ascii="宋体" w:hAnsi="宋体" w:cs="宋体"/>
          <w:color w:val="auto"/>
          <w:sz w:val="21"/>
          <w:szCs w:val="21"/>
          <w:highlight w:val="none"/>
        </w:rPr>
        <w:t>※注意：</w:t>
      </w:r>
    </w:p>
    <w:p w14:paraId="1DD9DF10">
      <w:pPr>
        <w:pStyle w:val="19"/>
        <w:widowControl/>
        <w:rPr>
          <w:color w:val="auto"/>
          <w:highlight w:val="none"/>
        </w:rPr>
      </w:pPr>
      <w:r>
        <w:rPr>
          <w:rFonts w:hint="eastAsia" w:ascii="宋体" w:hAnsi="宋体" w:cs="宋体"/>
          <w:color w:val="auto"/>
          <w:sz w:val="21"/>
          <w:szCs w:val="21"/>
          <w:highlight w:val="none"/>
        </w:rPr>
        <w:t>1、对节能、环境标志产品计算价格扣除时，只依据投标文件</w:t>
      </w:r>
      <w:r>
        <w:rPr>
          <w:rStyle w:val="26"/>
          <w:rFonts w:hint="eastAsia" w:ascii="宋体" w:hAnsi="宋体" w:cs="宋体"/>
          <w:color w:val="auto"/>
          <w:sz w:val="21"/>
          <w:szCs w:val="21"/>
          <w:highlight w:val="none"/>
        </w:rPr>
        <w:t>“三</w:t>
      </w:r>
      <w:r>
        <w:rPr>
          <w:rStyle w:val="26"/>
          <w:rFonts w:ascii="Calibri" w:hAnsi="Calibri" w:cs="Calibri"/>
          <w:color w:val="auto"/>
          <w:sz w:val="21"/>
          <w:szCs w:val="21"/>
          <w:highlight w:val="none"/>
        </w:rPr>
        <w:t>-1-</w:t>
      </w:r>
      <w:r>
        <w:rPr>
          <w:rStyle w:val="26"/>
          <w:rFonts w:hint="eastAsia" w:ascii="宋体" w:hAnsi="宋体" w:cs="宋体"/>
          <w:color w:val="auto"/>
          <w:sz w:val="21"/>
          <w:szCs w:val="21"/>
          <w:highlight w:val="none"/>
        </w:rPr>
        <w:t>②优先类节能产品、环境标志产品证明材料（价格扣除适用，若有）”。</w:t>
      </w:r>
    </w:p>
    <w:p w14:paraId="390E24E7">
      <w:pPr>
        <w:pStyle w:val="19"/>
        <w:widowControl/>
        <w:rPr>
          <w:color w:val="auto"/>
          <w:highlight w:val="none"/>
        </w:rPr>
      </w:pPr>
      <w:r>
        <w:rPr>
          <w:rFonts w:hint="eastAsia" w:ascii="宋体" w:hAnsi="宋体" w:cs="宋体"/>
          <w:color w:val="auto"/>
          <w:sz w:val="21"/>
          <w:szCs w:val="21"/>
          <w:highlight w:val="none"/>
        </w:rPr>
        <w:t>2、本表以采购包为单位，不同采购包请分别填写；同一采购包请按照其品目号顺序分别填写。</w:t>
      </w:r>
    </w:p>
    <w:p w14:paraId="0B017F91">
      <w:pPr>
        <w:pStyle w:val="19"/>
        <w:widowControl/>
        <w:rPr>
          <w:color w:val="auto"/>
          <w:highlight w:val="none"/>
        </w:rPr>
      </w:pPr>
      <w:r>
        <w:rPr>
          <w:rFonts w:hint="eastAsia" w:ascii="宋体" w:hAnsi="宋体" w:cs="宋体"/>
          <w:color w:val="auto"/>
          <w:sz w:val="21"/>
          <w:szCs w:val="21"/>
          <w:highlight w:val="none"/>
        </w:rPr>
        <w:t>3、具体统计、计算：</w:t>
      </w:r>
    </w:p>
    <w:p w14:paraId="5DAE352F">
      <w:pPr>
        <w:pStyle w:val="19"/>
        <w:widowControl/>
        <w:rPr>
          <w:color w:val="auto"/>
          <w:highlight w:val="none"/>
        </w:rPr>
      </w:pPr>
      <w:r>
        <w:rPr>
          <w:rFonts w:hint="eastAsia" w:ascii="宋体" w:hAnsi="宋体" w:cs="宋体"/>
          <w:color w:val="auto"/>
          <w:sz w:val="21"/>
          <w:szCs w:val="21"/>
          <w:highlight w:val="none"/>
        </w:rPr>
        <w:t>3.1若节能、环境标志产品仅是构成投标产品的部件、组件或零件，则该投标产品不享受鼓励优惠政策。同一品目中各认证证书不重复计算价格扣除。强制类节能产品不享受价格扣除。</w:t>
      </w:r>
    </w:p>
    <w:p w14:paraId="3B89C380">
      <w:pPr>
        <w:pStyle w:val="19"/>
        <w:widowControl/>
        <w:rPr>
          <w:color w:val="auto"/>
          <w:highlight w:val="none"/>
        </w:rPr>
      </w:pPr>
      <w:r>
        <w:rPr>
          <w:rFonts w:hint="eastAsia" w:ascii="宋体" w:hAnsi="宋体" w:cs="宋体"/>
          <w:color w:val="auto"/>
          <w:sz w:val="21"/>
          <w:szCs w:val="21"/>
          <w:highlight w:val="none"/>
        </w:rPr>
        <w:t>3.2计算结果若除不尽，可四舍五入保留到小数点后两位。</w:t>
      </w:r>
    </w:p>
    <w:p w14:paraId="6A81CB0B">
      <w:pPr>
        <w:pStyle w:val="19"/>
        <w:widowControl/>
        <w:rPr>
          <w:color w:val="auto"/>
          <w:highlight w:val="none"/>
        </w:rPr>
      </w:pPr>
      <w:r>
        <w:rPr>
          <w:rFonts w:hint="eastAsia" w:ascii="宋体" w:hAnsi="宋体" w:cs="宋体"/>
          <w:color w:val="auto"/>
          <w:sz w:val="21"/>
          <w:szCs w:val="21"/>
          <w:highlight w:val="none"/>
        </w:rPr>
        <w:t>3.3投标人应按照招标文件要求认真统计、计算，否则评标委员会不予认定。</w:t>
      </w:r>
    </w:p>
    <w:p w14:paraId="09EF37B6">
      <w:pPr>
        <w:pStyle w:val="19"/>
        <w:widowControl/>
        <w:rPr>
          <w:color w:val="auto"/>
          <w:highlight w:val="none"/>
        </w:rPr>
      </w:pPr>
      <w:r>
        <w:rPr>
          <w:rFonts w:hint="eastAsia" w:ascii="宋体" w:hAnsi="宋体" w:cs="宋体"/>
          <w:color w:val="auto"/>
          <w:sz w:val="21"/>
          <w:szCs w:val="21"/>
          <w:highlight w:val="none"/>
        </w:rPr>
        <w:t>3.4若无节能、环境标志产品，不填写本表，否则，</w:t>
      </w:r>
      <w:r>
        <w:rPr>
          <w:rStyle w:val="26"/>
          <w:rFonts w:hint="eastAsia" w:ascii="宋体" w:hAnsi="宋体" w:cs="宋体"/>
          <w:color w:val="auto"/>
          <w:sz w:val="21"/>
          <w:szCs w:val="21"/>
          <w:highlight w:val="none"/>
        </w:rPr>
        <w:t>视为提供虚假材料。</w:t>
      </w:r>
    </w:p>
    <w:p w14:paraId="21C97EE0">
      <w:pPr>
        <w:spacing w:line="440" w:lineRule="exact"/>
        <w:ind w:firstLine="480" w:firstLineChars="200"/>
        <w:rPr>
          <w:rFonts w:ascii="宋体" w:hAnsi="宋体" w:cs="宋体"/>
          <w:bCs/>
          <w:color w:val="auto"/>
          <w:sz w:val="24"/>
          <w:highlight w:val="none"/>
          <w:u w:val="single"/>
        </w:rPr>
      </w:pPr>
      <w:r>
        <w:rPr>
          <w:rFonts w:hint="eastAsia" w:ascii="宋体" w:hAnsi="宋体" w:cs="宋体"/>
          <w:bCs/>
          <w:color w:val="auto"/>
          <w:sz w:val="24"/>
          <w:highlight w:val="none"/>
        </w:rPr>
        <w:t>投标人：</w:t>
      </w:r>
      <w:r>
        <w:rPr>
          <w:rFonts w:hint="eastAsia" w:ascii="宋体" w:hAnsi="宋体" w:cs="宋体"/>
          <w:bCs/>
          <w:color w:val="auto"/>
          <w:sz w:val="24"/>
          <w:highlight w:val="none"/>
          <w:u w:val="single"/>
        </w:rPr>
        <w:t>（全称并加盖单位公章）</w:t>
      </w:r>
    </w:p>
    <w:p w14:paraId="7F2B7286">
      <w:pPr>
        <w:spacing w:line="440" w:lineRule="exact"/>
        <w:ind w:firstLine="480" w:firstLineChars="200"/>
        <w:rPr>
          <w:rFonts w:ascii="宋体" w:hAnsi="宋体" w:cs="宋体"/>
          <w:bCs/>
          <w:color w:val="auto"/>
          <w:sz w:val="24"/>
          <w:highlight w:val="none"/>
          <w:u w:val="single"/>
        </w:rPr>
      </w:pPr>
      <w:r>
        <w:rPr>
          <w:rFonts w:hint="eastAsia" w:ascii="宋体" w:hAnsi="宋体" w:cs="宋体"/>
          <w:bCs/>
          <w:color w:val="auto"/>
          <w:sz w:val="24"/>
          <w:highlight w:val="none"/>
        </w:rPr>
        <w:t>投标人代表签字：</w:t>
      </w:r>
      <w:r>
        <w:rPr>
          <w:rFonts w:hint="eastAsia" w:ascii="宋体" w:hAnsi="宋体" w:cs="宋体"/>
          <w:bCs/>
          <w:color w:val="auto"/>
          <w:sz w:val="24"/>
          <w:highlight w:val="none"/>
          <w:u w:val="single"/>
        </w:rPr>
        <w:t xml:space="preserve">          </w:t>
      </w:r>
    </w:p>
    <w:p w14:paraId="51919B0F">
      <w:pPr>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日期：    年   月   日</w:t>
      </w:r>
    </w:p>
    <w:p w14:paraId="2B9263EE">
      <w:pPr>
        <w:pStyle w:val="19"/>
        <w:widowControl/>
        <w:jc w:val="center"/>
        <w:rPr>
          <w:color w:val="auto"/>
          <w:highlight w:val="none"/>
        </w:rPr>
      </w:pPr>
      <w:r>
        <w:rPr>
          <w:rStyle w:val="26"/>
          <w:rFonts w:hint="eastAsia" w:ascii="宋体" w:hAnsi="宋体" w:cs="宋体"/>
          <w:color w:val="auto"/>
          <w:sz w:val="21"/>
          <w:szCs w:val="21"/>
          <w:highlight w:val="none"/>
        </w:rPr>
        <w:t>三-1-②优先类节能产品、环境标志产品证明材料（价格扣除适用，若有）</w:t>
      </w:r>
    </w:p>
    <w:p w14:paraId="1734222C">
      <w:pPr>
        <w:pStyle w:val="19"/>
        <w:widowControl/>
        <w:jc w:val="center"/>
        <w:rPr>
          <w:color w:val="auto"/>
          <w:highlight w:val="none"/>
        </w:rPr>
      </w:pPr>
      <w:r>
        <w:rPr>
          <w:rStyle w:val="26"/>
          <w:rFonts w:hint="eastAsia" w:ascii="宋体" w:hAnsi="宋体" w:cs="宋体"/>
          <w:color w:val="auto"/>
          <w:sz w:val="21"/>
          <w:szCs w:val="21"/>
          <w:highlight w:val="none"/>
        </w:rPr>
        <w:t>三-2小型、微型企业产品等价格扣除证明材料（若有）</w:t>
      </w:r>
    </w:p>
    <w:p w14:paraId="291A9BB6">
      <w:pPr>
        <w:pStyle w:val="19"/>
        <w:widowControl/>
        <w:jc w:val="center"/>
        <w:rPr>
          <w:color w:val="auto"/>
          <w:highlight w:val="none"/>
        </w:rPr>
      </w:pPr>
      <w:r>
        <w:rPr>
          <w:rStyle w:val="26"/>
          <w:rFonts w:hint="eastAsia" w:ascii="宋体" w:hAnsi="宋体" w:cs="宋体"/>
          <w:color w:val="auto"/>
          <w:sz w:val="21"/>
          <w:szCs w:val="21"/>
          <w:highlight w:val="none"/>
        </w:rPr>
        <w:t>三-2-①中小企业声明函（价格扣除适用，若有）</w:t>
      </w:r>
    </w:p>
    <w:p w14:paraId="78CE4BFE">
      <w:pPr>
        <w:pStyle w:val="19"/>
        <w:widowControl/>
        <w:rPr>
          <w:color w:val="auto"/>
          <w:highlight w:val="none"/>
        </w:rPr>
      </w:pPr>
    </w:p>
    <w:p w14:paraId="5DB00A81">
      <w:pPr>
        <w:pStyle w:val="8"/>
        <w:widowControl/>
        <w:spacing w:before="150" w:beforeAutospacing="0" w:after="150" w:afterAutospacing="0"/>
        <w:jc w:val="center"/>
        <w:rPr>
          <w:rFonts w:hint="default"/>
          <w:color w:val="auto"/>
          <w:highlight w:val="none"/>
        </w:rPr>
      </w:pPr>
      <w:r>
        <w:rPr>
          <w:rStyle w:val="26"/>
          <w:b/>
          <w:color w:val="auto"/>
          <w:sz w:val="24"/>
          <w:szCs w:val="24"/>
          <w:highlight w:val="none"/>
        </w:rPr>
        <w:t>中小企业声明函（货物）</w:t>
      </w:r>
    </w:p>
    <w:p w14:paraId="5F110143">
      <w:pPr>
        <w:pStyle w:val="19"/>
        <w:widowControl/>
        <w:spacing w:before="75" w:beforeAutospacing="0" w:after="75" w:afterAutospacing="0"/>
        <w:ind w:firstLine="420"/>
        <w:rPr>
          <w:color w:val="auto"/>
          <w:highlight w:val="none"/>
        </w:rPr>
      </w:pPr>
      <w:r>
        <w:rPr>
          <w:rFonts w:hint="eastAsia" w:ascii="宋体" w:hAnsi="宋体" w:cs="宋体"/>
          <w:color w:val="auto"/>
          <w:sz w:val="21"/>
          <w:szCs w:val="21"/>
          <w:highlight w:val="none"/>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14:paraId="279EF4D4">
      <w:pPr>
        <w:pStyle w:val="19"/>
        <w:widowControl/>
        <w:spacing w:before="75" w:beforeAutospacing="0" w:after="75" w:afterAutospacing="0"/>
        <w:ind w:firstLine="420"/>
        <w:rPr>
          <w:color w:val="auto"/>
          <w:highlight w:val="none"/>
        </w:rPr>
      </w:pPr>
      <w:r>
        <w:rPr>
          <w:rFonts w:hint="eastAsia" w:ascii="宋体" w:hAnsi="宋体" w:cs="宋体"/>
          <w:color w:val="auto"/>
          <w:sz w:val="21"/>
          <w:szCs w:val="21"/>
          <w:highlight w:val="none"/>
        </w:rPr>
        <w:t>1. </w:t>
      </w:r>
      <w:r>
        <w:rPr>
          <w:rFonts w:hint="eastAsia" w:ascii="宋体" w:hAnsi="宋体" w:cs="宋体"/>
          <w:color w:val="auto"/>
          <w:sz w:val="21"/>
          <w:szCs w:val="21"/>
          <w:highlight w:val="none"/>
          <w:u w:val="single"/>
        </w:rPr>
        <w:t> （标的名称） </w:t>
      </w:r>
      <w:r>
        <w:rPr>
          <w:rFonts w:hint="eastAsia" w:ascii="宋体" w:hAnsi="宋体" w:cs="宋体"/>
          <w:color w:val="auto"/>
          <w:sz w:val="21"/>
          <w:szCs w:val="21"/>
          <w:highlight w:val="none"/>
        </w:rPr>
        <w:t>，属于</w:t>
      </w:r>
      <w:r>
        <w:rPr>
          <w:rFonts w:hint="eastAsia" w:ascii="宋体" w:hAnsi="宋体" w:cs="宋体"/>
          <w:color w:val="auto"/>
          <w:sz w:val="21"/>
          <w:szCs w:val="21"/>
          <w:highlight w:val="none"/>
          <w:u w:val="single"/>
        </w:rPr>
        <w:t>（采购文件中明确的所属行业）</w:t>
      </w:r>
      <w:r>
        <w:rPr>
          <w:rFonts w:hint="eastAsia" w:ascii="宋体" w:hAnsi="宋体" w:cs="宋体"/>
          <w:color w:val="auto"/>
          <w:sz w:val="21"/>
          <w:szCs w:val="21"/>
          <w:highlight w:val="none"/>
        </w:rPr>
        <w:t>行业；制造商为（企业名称），从业人员</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人，营业收入为</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万元，资产总额为</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万元</w:t>
      </w:r>
      <w:r>
        <w:rPr>
          <w:rFonts w:hint="eastAsia" w:ascii="宋体" w:hAnsi="宋体" w:cs="宋体"/>
          <w:color w:val="auto"/>
          <w:sz w:val="21"/>
          <w:szCs w:val="21"/>
          <w:highlight w:val="none"/>
          <w:vertAlign w:val="superscript"/>
        </w:rPr>
        <w:t>1</w:t>
      </w:r>
      <w:r>
        <w:rPr>
          <w:rFonts w:hint="eastAsia" w:ascii="宋体" w:hAnsi="宋体" w:cs="宋体"/>
          <w:color w:val="auto"/>
          <w:sz w:val="21"/>
          <w:szCs w:val="21"/>
          <w:highlight w:val="none"/>
        </w:rPr>
        <w:t>，属于</w:t>
      </w:r>
      <w:r>
        <w:rPr>
          <w:rFonts w:hint="eastAsia" w:ascii="宋体" w:hAnsi="宋体" w:cs="宋体"/>
          <w:color w:val="auto"/>
          <w:sz w:val="21"/>
          <w:szCs w:val="21"/>
          <w:highlight w:val="none"/>
          <w:u w:val="single"/>
        </w:rPr>
        <w:t>（中型企业、小型企业、微型企业）</w:t>
      </w:r>
      <w:r>
        <w:rPr>
          <w:rFonts w:hint="eastAsia" w:ascii="宋体" w:hAnsi="宋体" w:cs="宋体"/>
          <w:color w:val="auto"/>
          <w:sz w:val="21"/>
          <w:szCs w:val="21"/>
          <w:highlight w:val="none"/>
        </w:rPr>
        <w:t>；</w:t>
      </w:r>
    </w:p>
    <w:p w14:paraId="3F22D906">
      <w:pPr>
        <w:pStyle w:val="19"/>
        <w:widowControl/>
        <w:spacing w:before="75" w:beforeAutospacing="0" w:after="75" w:afterAutospacing="0"/>
        <w:ind w:firstLine="420"/>
        <w:rPr>
          <w:color w:val="auto"/>
          <w:highlight w:val="none"/>
        </w:rPr>
      </w:pPr>
      <w:r>
        <w:rPr>
          <w:rFonts w:hint="eastAsia" w:ascii="宋体" w:hAnsi="宋体" w:cs="宋体"/>
          <w:color w:val="auto"/>
          <w:sz w:val="21"/>
          <w:szCs w:val="21"/>
          <w:highlight w:val="none"/>
        </w:rPr>
        <w:t>2. </w:t>
      </w:r>
      <w:r>
        <w:rPr>
          <w:rFonts w:hint="eastAsia" w:ascii="宋体" w:hAnsi="宋体" w:cs="宋体"/>
          <w:color w:val="auto"/>
          <w:sz w:val="21"/>
          <w:szCs w:val="21"/>
          <w:highlight w:val="none"/>
          <w:u w:val="single"/>
        </w:rPr>
        <w:t> （标的名称） </w:t>
      </w:r>
      <w:r>
        <w:rPr>
          <w:rFonts w:hint="eastAsia" w:ascii="宋体" w:hAnsi="宋体" w:cs="宋体"/>
          <w:color w:val="auto"/>
          <w:sz w:val="21"/>
          <w:szCs w:val="21"/>
          <w:highlight w:val="none"/>
        </w:rPr>
        <w:t>， 属于</w:t>
      </w:r>
      <w:r>
        <w:rPr>
          <w:rFonts w:hint="eastAsia" w:ascii="宋体" w:hAnsi="宋体" w:cs="宋体"/>
          <w:color w:val="auto"/>
          <w:sz w:val="21"/>
          <w:szCs w:val="21"/>
          <w:highlight w:val="none"/>
          <w:u w:val="single"/>
        </w:rPr>
        <w:t> （采购文件中明确的所属行业 ）</w:t>
      </w:r>
      <w:r>
        <w:rPr>
          <w:rFonts w:hint="eastAsia" w:ascii="宋体" w:hAnsi="宋体" w:cs="宋体"/>
          <w:color w:val="auto"/>
          <w:sz w:val="21"/>
          <w:szCs w:val="21"/>
          <w:highlight w:val="none"/>
        </w:rPr>
        <w:t>行业；制造商为</w:t>
      </w:r>
      <w:r>
        <w:rPr>
          <w:rFonts w:hint="eastAsia" w:ascii="宋体" w:hAnsi="宋体" w:cs="宋体"/>
          <w:color w:val="auto"/>
          <w:sz w:val="21"/>
          <w:szCs w:val="21"/>
          <w:highlight w:val="none"/>
          <w:u w:val="single"/>
        </w:rPr>
        <w:t>（企业名称）</w:t>
      </w:r>
      <w:r>
        <w:rPr>
          <w:rFonts w:hint="eastAsia" w:ascii="宋体" w:hAnsi="宋体" w:cs="宋体"/>
          <w:color w:val="auto"/>
          <w:sz w:val="21"/>
          <w:szCs w:val="21"/>
          <w:highlight w:val="none"/>
        </w:rPr>
        <w:t>，从业人员</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人，营业收入为</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万元，资产总额为</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万元，属于</w:t>
      </w:r>
      <w:r>
        <w:rPr>
          <w:rFonts w:hint="eastAsia" w:ascii="宋体" w:hAnsi="宋体" w:cs="宋体"/>
          <w:color w:val="auto"/>
          <w:sz w:val="21"/>
          <w:szCs w:val="21"/>
          <w:highlight w:val="none"/>
          <w:u w:val="single"/>
        </w:rPr>
        <w:t>（中型企业、小型企业、微型企业）</w:t>
      </w:r>
      <w:r>
        <w:rPr>
          <w:rFonts w:hint="eastAsia" w:ascii="宋体" w:hAnsi="宋体" w:cs="宋体"/>
          <w:color w:val="auto"/>
          <w:sz w:val="21"/>
          <w:szCs w:val="21"/>
          <w:highlight w:val="none"/>
        </w:rPr>
        <w:t>；</w:t>
      </w:r>
    </w:p>
    <w:p w14:paraId="1B0F26C3">
      <w:pPr>
        <w:pStyle w:val="19"/>
        <w:widowControl/>
        <w:spacing w:before="75" w:beforeAutospacing="0" w:after="75" w:afterAutospacing="0"/>
        <w:ind w:firstLine="420"/>
        <w:rPr>
          <w:color w:val="auto"/>
          <w:highlight w:val="none"/>
        </w:rPr>
      </w:pPr>
      <w:r>
        <w:rPr>
          <w:rFonts w:ascii="Calibri" w:hAnsi="Calibri" w:cs="Calibri"/>
          <w:color w:val="auto"/>
          <w:highlight w:val="none"/>
        </w:rPr>
        <w:t>  </w:t>
      </w:r>
    </w:p>
    <w:p w14:paraId="11224278">
      <w:pPr>
        <w:pStyle w:val="19"/>
        <w:widowControl/>
        <w:spacing w:before="75" w:beforeAutospacing="0" w:after="75" w:afterAutospacing="0"/>
        <w:ind w:firstLine="420"/>
        <w:rPr>
          <w:color w:val="auto"/>
          <w:highlight w:val="none"/>
        </w:rPr>
      </w:pPr>
      <w:r>
        <w:rPr>
          <w:rFonts w:hint="eastAsia" w:ascii="宋体" w:hAnsi="宋体" w:cs="宋体"/>
          <w:color w:val="auto"/>
          <w:sz w:val="21"/>
          <w:szCs w:val="21"/>
          <w:highlight w:val="none"/>
        </w:rPr>
        <w:t>……</w:t>
      </w:r>
    </w:p>
    <w:p w14:paraId="43094345">
      <w:pPr>
        <w:pStyle w:val="19"/>
        <w:widowControl/>
        <w:spacing w:before="75" w:beforeAutospacing="0" w:after="75" w:afterAutospacing="0"/>
        <w:ind w:firstLine="420"/>
        <w:rPr>
          <w:color w:val="auto"/>
          <w:highlight w:val="none"/>
        </w:rPr>
      </w:pPr>
      <w:r>
        <w:rPr>
          <w:rFonts w:hint="eastAsia" w:ascii="宋体" w:hAnsi="宋体" w:cs="宋体"/>
          <w:color w:val="auto"/>
          <w:sz w:val="21"/>
          <w:szCs w:val="21"/>
          <w:highlight w:val="none"/>
        </w:rPr>
        <w:t> </w:t>
      </w:r>
    </w:p>
    <w:p w14:paraId="17E835AC">
      <w:pPr>
        <w:pStyle w:val="19"/>
        <w:widowControl/>
        <w:spacing w:before="75" w:beforeAutospacing="0" w:after="75" w:afterAutospacing="0"/>
        <w:ind w:firstLine="420"/>
        <w:rPr>
          <w:color w:val="auto"/>
          <w:highlight w:val="none"/>
        </w:rPr>
      </w:pPr>
      <w:r>
        <w:rPr>
          <w:rFonts w:hint="eastAsia" w:ascii="宋体" w:hAnsi="宋体" w:cs="宋体"/>
          <w:color w:val="auto"/>
          <w:sz w:val="21"/>
          <w:szCs w:val="21"/>
          <w:highlight w:val="none"/>
        </w:rPr>
        <w:t>以上企业，不属于大企业的分支机构，不存在控股股东为大企业的情形，也不存在与大企业的负责人为同一人的情形。</w:t>
      </w:r>
    </w:p>
    <w:p w14:paraId="4EFFB5FC">
      <w:pPr>
        <w:pStyle w:val="19"/>
        <w:widowControl/>
        <w:spacing w:before="75" w:beforeAutospacing="0" w:after="75" w:afterAutospacing="0"/>
        <w:ind w:firstLine="420"/>
        <w:rPr>
          <w:color w:val="auto"/>
          <w:highlight w:val="none"/>
        </w:rPr>
      </w:pPr>
      <w:r>
        <w:rPr>
          <w:rFonts w:hint="eastAsia" w:ascii="宋体" w:hAnsi="宋体" w:cs="宋体"/>
          <w:color w:val="auto"/>
          <w:sz w:val="21"/>
          <w:szCs w:val="21"/>
          <w:highlight w:val="none"/>
        </w:rPr>
        <w:t> </w:t>
      </w:r>
    </w:p>
    <w:p w14:paraId="2B0D7AC5">
      <w:pPr>
        <w:pStyle w:val="19"/>
        <w:widowControl/>
        <w:spacing w:before="75" w:beforeAutospacing="0" w:after="75" w:afterAutospacing="0"/>
        <w:ind w:firstLine="420"/>
        <w:rPr>
          <w:color w:val="auto"/>
          <w:highlight w:val="none"/>
        </w:rPr>
      </w:pPr>
      <w:r>
        <w:rPr>
          <w:rFonts w:hint="eastAsia" w:ascii="宋体" w:hAnsi="宋体" w:cs="宋体"/>
          <w:color w:val="auto"/>
          <w:sz w:val="21"/>
          <w:szCs w:val="21"/>
          <w:highlight w:val="none"/>
        </w:rPr>
        <w:t>本企业对上述声明内容的真实性负责。如有虚假，将依法承担相应责任。</w:t>
      </w:r>
    </w:p>
    <w:p w14:paraId="1933F765">
      <w:pPr>
        <w:pStyle w:val="19"/>
        <w:widowControl/>
        <w:spacing w:before="75" w:beforeAutospacing="0" w:after="75" w:afterAutospacing="0"/>
        <w:ind w:firstLine="420"/>
        <w:rPr>
          <w:rFonts w:ascii="宋体" w:hAnsi="宋体" w:cs="宋体"/>
          <w:color w:val="auto"/>
          <w:sz w:val="21"/>
          <w:szCs w:val="21"/>
          <w:highlight w:val="none"/>
        </w:rPr>
      </w:pPr>
      <w:r>
        <w:rPr>
          <w:rFonts w:hint="eastAsia" w:ascii="宋体" w:hAnsi="宋体" w:cs="宋体"/>
          <w:color w:val="auto"/>
          <w:sz w:val="21"/>
          <w:szCs w:val="21"/>
          <w:highlight w:val="none"/>
        </w:rPr>
        <w:t>                                                                               企业名称（盖章）：</w:t>
      </w:r>
    </w:p>
    <w:p w14:paraId="026DFCDC">
      <w:pPr>
        <w:pStyle w:val="19"/>
        <w:widowControl/>
        <w:spacing w:before="75" w:beforeAutospacing="0" w:after="75" w:afterAutospacing="0"/>
        <w:ind w:firstLine="5040" w:firstLineChars="2400"/>
        <w:rPr>
          <w:color w:val="auto"/>
          <w:highlight w:val="none"/>
        </w:rPr>
      </w:pPr>
      <w:r>
        <w:rPr>
          <w:rFonts w:hint="eastAsia" w:ascii="宋体" w:hAnsi="宋体" w:cs="宋体"/>
          <w:color w:val="auto"/>
          <w:sz w:val="21"/>
          <w:szCs w:val="21"/>
          <w:highlight w:val="none"/>
        </w:rPr>
        <w:t>日期：</w:t>
      </w:r>
    </w:p>
    <w:p w14:paraId="5A7A8A35">
      <w:pPr>
        <w:pStyle w:val="19"/>
        <w:widowControl/>
        <w:spacing w:before="75" w:beforeAutospacing="0" w:after="75" w:afterAutospacing="0"/>
        <w:ind w:firstLine="420"/>
        <w:rPr>
          <w:color w:val="auto"/>
          <w:highlight w:val="none"/>
        </w:rPr>
      </w:pPr>
      <w:r>
        <w:rPr>
          <w:rFonts w:hint="eastAsia" w:ascii="宋体" w:hAnsi="宋体" w:cs="宋体"/>
          <w:color w:val="auto"/>
          <w:sz w:val="21"/>
          <w:szCs w:val="21"/>
          <w:highlight w:val="none"/>
        </w:rPr>
        <w:t> </w:t>
      </w:r>
    </w:p>
    <w:p w14:paraId="7A63EAF3">
      <w:pPr>
        <w:pStyle w:val="19"/>
        <w:widowControl/>
        <w:spacing w:before="75" w:beforeAutospacing="0" w:after="75" w:afterAutospacing="0"/>
        <w:ind w:firstLine="420"/>
        <w:rPr>
          <w:color w:val="auto"/>
          <w:highlight w:val="none"/>
        </w:rPr>
      </w:pPr>
      <w:r>
        <w:rPr>
          <w:rStyle w:val="26"/>
          <w:rFonts w:hint="eastAsia" w:ascii="宋体" w:hAnsi="宋体" w:cs="宋体"/>
          <w:color w:val="auto"/>
          <w:sz w:val="21"/>
          <w:szCs w:val="21"/>
          <w:highlight w:val="none"/>
        </w:rPr>
        <w:t>1、从业人员、营业收入、资产总额填报上一年度数据，无上一年度数据的新成立企业可不填报。</w:t>
      </w:r>
    </w:p>
    <w:p w14:paraId="214D2CAB">
      <w:pPr>
        <w:pStyle w:val="19"/>
        <w:widowControl/>
        <w:spacing w:before="75" w:beforeAutospacing="0" w:after="75" w:afterAutospacing="0"/>
        <w:ind w:firstLine="420"/>
        <w:rPr>
          <w:color w:val="auto"/>
          <w:highlight w:val="none"/>
        </w:rPr>
      </w:pPr>
      <w:r>
        <w:rPr>
          <w:rStyle w:val="26"/>
          <w:rFonts w:hint="eastAsia" w:ascii="宋体" w:hAnsi="宋体" w:cs="宋体"/>
          <w:color w:val="auto"/>
          <w:sz w:val="21"/>
          <w:szCs w:val="21"/>
          <w:highlight w:val="none"/>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0843899F">
      <w:pPr>
        <w:pStyle w:val="19"/>
        <w:widowControl/>
        <w:spacing w:before="75" w:beforeAutospacing="0" w:after="75" w:afterAutospacing="0"/>
        <w:ind w:firstLine="420"/>
        <w:rPr>
          <w:color w:val="auto"/>
          <w:highlight w:val="none"/>
        </w:rPr>
      </w:pPr>
      <w:r>
        <w:rPr>
          <w:rStyle w:val="26"/>
          <w:rFonts w:hint="eastAsia" w:ascii="宋体" w:hAnsi="宋体" w:cs="宋体"/>
          <w:color w:val="auto"/>
          <w:sz w:val="21"/>
          <w:szCs w:val="21"/>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5C08CA5F">
      <w:pPr>
        <w:pStyle w:val="8"/>
        <w:pageBreakBefore/>
        <w:widowControl/>
        <w:spacing w:before="150" w:beforeAutospacing="0" w:after="150" w:afterAutospacing="0"/>
        <w:jc w:val="center"/>
        <w:rPr>
          <w:rFonts w:hint="default"/>
          <w:color w:val="auto"/>
          <w:highlight w:val="none"/>
        </w:rPr>
      </w:pPr>
      <w:r>
        <w:rPr>
          <w:rStyle w:val="26"/>
          <w:b/>
          <w:color w:val="auto"/>
          <w:sz w:val="24"/>
          <w:szCs w:val="24"/>
          <w:highlight w:val="none"/>
        </w:rPr>
        <w:t>中小企业声明函（工程、服务</w:t>
      </w:r>
      <w:r>
        <w:rPr>
          <w:rStyle w:val="26"/>
          <w:b/>
          <w:color w:val="auto"/>
          <w:sz w:val="21"/>
          <w:szCs w:val="21"/>
          <w:highlight w:val="none"/>
        </w:rPr>
        <w:t>）</w:t>
      </w:r>
    </w:p>
    <w:p w14:paraId="2F705C27">
      <w:pPr>
        <w:pStyle w:val="19"/>
        <w:widowControl/>
        <w:spacing w:before="75" w:beforeAutospacing="0" w:after="75" w:afterAutospacing="0"/>
        <w:ind w:firstLine="420"/>
        <w:rPr>
          <w:color w:val="auto"/>
          <w:highlight w:val="none"/>
        </w:rPr>
      </w:pPr>
      <w:r>
        <w:rPr>
          <w:rFonts w:hint="eastAsia" w:ascii="宋体" w:hAnsi="宋体" w:cs="宋体"/>
          <w:color w:val="auto"/>
          <w:sz w:val="21"/>
          <w:szCs w:val="21"/>
          <w:highlight w:val="none"/>
        </w:rPr>
        <w:t>    本公司（联合体）郑重声明，根据《政府采购促进中小企业发展管理办法》（财库﹝2020﹞46 号）的规定，本公司（联合体）参加</w:t>
      </w:r>
      <w:r>
        <w:rPr>
          <w:rFonts w:hint="eastAsia" w:ascii="宋体" w:hAnsi="宋体" w:cs="宋体"/>
          <w:color w:val="auto"/>
          <w:sz w:val="21"/>
          <w:szCs w:val="21"/>
          <w:highlight w:val="none"/>
          <w:u w:val="single"/>
        </w:rPr>
        <w:t>（单位名称）</w:t>
      </w:r>
      <w:r>
        <w:rPr>
          <w:rFonts w:hint="eastAsia" w:ascii="宋体" w:hAnsi="宋体" w:cs="宋体"/>
          <w:color w:val="auto"/>
          <w:sz w:val="21"/>
          <w:szCs w:val="21"/>
          <w:highlight w:val="none"/>
        </w:rPr>
        <w:t>的</w:t>
      </w:r>
      <w:r>
        <w:rPr>
          <w:rFonts w:hint="eastAsia" w:ascii="宋体" w:hAnsi="宋体" w:cs="宋体"/>
          <w:color w:val="auto"/>
          <w:sz w:val="21"/>
          <w:szCs w:val="21"/>
          <w:highlight w:val="none"/>
          <w:u w:val="single"/>
        </w:rPr>
        <w:t>（项目名称）</w:t>
      </w:r>
      <w:r>
        <w:rPr>
          <w:rFonts w:hint="eastAsia" w:ascii="宋体" w:hAnsi="宋体" w:cs="宋体"/>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31B37D7">
      <w:pPr>
        <w:pStyle w:val="19"/>
        <w:widowControl/>
        <w:spacing w:before="75" w:beforeAutospacing="0" w:after="75" w:afterAutospacing="0"/>
        <w:ind w:firstLine="420"/>
        <w:rPr>
          <w:color w:val="auto"/>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u w:val="single"/>
        </w:rPr>
        <w:t> （标的名称）</w:t>
      </w:r>
      <w:r>
        <w:rPr>
          <w:rFonts w:hint="eastAsia" w:ascii="宋体" w:hAnsi="宋体" w:cs="宋体"/>
          <w:color w:val="auto"/>
          <w:sz w:val="21"/>
          <w:szCs w:val="21"/>
          <w:highlight w:val="none"/>
        </w:rPr>
        <w:t>，属于</w:t>
      </w:r>
      <w:r>
        <w:rPr>
          <w:rFonts w:hint="eastAsia" w:ascii="宋体" w:hAnsi="宋体" w:cs="宋体"/>
          <w:color w:val="auto"/>
          <w:sz w:val="21"/>
          <w:szCs w:val="21"/>
          <w:highlight w:val="none"/>
          <w:u w:val="single"/>
        </w:rPr>
        <w:t>（采购文件中明确的所属行业）</w:t>
      </w:r>
      <w:r>
        <w:rPr>
          <w:rFonts w:hint="eastAsia" w:ascii="宋体" w:hAnsi="宋体" w:cs="宋体"/>
          <w:color w:val="auto"/>
          <w:sz w:val="21"/>
          <w:szCs w:val="21"/>
          <w:highlight w:val="none"/>
        </w:rPr>
        <w:t>；承建（承接）企业为</w:t>
      </w:r>
      <w:r>
        <w:rPr>
          <w:rFonts w:hint="eastAsia" w:ascii="宋体" w:hAnsi="宋体" w:cs="宋体"/>
          <w:color w:val="auto"/>
          <w:sz w:val="21"/>
          <w:szCs w:val="21"/>
          <w:highlight w:val="none"/>
          <w:u w:val="single"/>
        </w:rPr>
        <w:t>（企业名称）</w:t>
      </w:r>
      <w:r>
        <w:rPr>
          <w:rFonts w:hint="eastAsia" w:ascii="宋体" w:hAnsi="宋体" w:cs="宋体"/>
          <w:color w:val="auto"/>
          <w:sz w:val="21"/>
          <w:szCs w:val="21"/>
          <w:highlight w:val="none"/>
        </w:rPr>
        <w:t>，从业人员</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人，营业收入为</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万元，资产总额为</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万元</w:t>
      </w:r>
      <w:r>
        <w:rPr>
          <w:rFonts w:hint="eastAsia" w:ascii="宋体" w:hAnsi="宋体" w:cs="宋体"/>
          <w:color w:val="auto"/>
          <w:sz w:val="21"/>
          <w:szCs w:val="21"/>
          <w:highlight w:val="none"/>
          <w:vertAlign w:val="superscript"/>
        </w:rPr>
        <w:t>1</w:t>
      </w:r>
      <w:r>
        <w:rPr>
          <w:rFonts w:hint="eastAsia" w:ascii="宋体" w:hAnsi="宋体" w:cs="宋体"/>
          <w:color w:val="auto"/>
          <w:sz w:val="21"/>
          <w:szCs w:val="21"/>
          <w:highlight w:val="none"/>
        </w:rPr>
        <w:t>，属于</w:t>
      </w:r>
      <w:r>
        <w:rPr>
          <w:rFonts w:hint="eastAsia" w:ascii="宋体" w:hAnsi="宋体" w:cs="宋体"/>
          <w:color w:val="auto"/>
          <w:sz w:val="21"/>
          <w:szCs w:val="21"/>
          <w:highlight w:val="none"/>
          <w:u w:val="single"/>
        </w:rPr>
        <w:t>（中型企业、小型企业、微型企业）</w:t>
      </w:r>
      <w:r>
        <w:rPr>
          <w:rFonts w:hint="eastAsia" w:ascii="宋体" w:hAnsi="宋体" w:cs="宋体"/>
          <w:color w:val="auto"/>
          <w:sz w:val="21"/>
          <w:szCs w:val="21"/>
          <w:highlight w:val="none"/>
        </w:rPr>
        <w:t>；</w:t>
      </w:r>
    </w:p>
    <w:p w14:paraId="3BA102A3">
      <w:pPr>
        <w:pStyle w:val="19"/>
        <w:widowControl/>
        <w:spacing w:before="75" w:beforeAutospacing="0" w:after="75" w:afterAutospacing="0"/>
        <w:rPr>
          <w:color w:val="auto"/>
          <w:highlight w:val="none"/>
        </w:rPr>
      </w:pPr>
      <w:r>
        <w:rPr>
          <w:rFonts w:hint="eastAsia" w:ascii="宋体" w:hAnsi="宋体" w:cs="宋体"/>
          <w:color w:val="auto"/>
          <w:sz w:val="21"/>
          <w:szCs w:val="21"/>
          <w:highlight w:val="none"/>
        </w:rPr>
        <w:t> 　2.</w:t>
      </w:r>
      <w:r>
        <w:rPr>
          <w:rFonts w:hint="eastAsia" w:ascii="宋体" w:hAnsi="宋体" w:cs="宋体"/>
          <w:color w:val="auto"/>
          <w:sz w:val="21"/>
          <w:szCs w:val="21"/>
          <w:highlight w:val="none"/>
          <w:u w:val="single"/>
        </w:rPr>
        <w:t> （标的名称）</w:t>
      </w:r>
      <w:r>
        <w:rPr>
          <w:rFonts w:hint="eastAsia" w:ascii="宋体" w:hAnsi="宋体" w:cs="宋体"/>
          <w:color w:val="auto"/>
          <w:sz w:val="21"/>
          <w:szCs w:val="21"/>
          <w:highlight w:val="none"/>
        </w:rPr>
        <w:t>，属于</w:t>
      </w:r>
      <w:r>
        <w:rPr>
          <w:rFonts w:hint="eastAsia" w:ascii="宋体" w:hAnsi="宋体" w:cs="宋体"/>
          <w:color w:val="auto"/>
          <w:sz w:val="21"/>
          <w:szCs w:val="21"/>
          <w:highlight w:val="none"/>
          <w:u w:val="single"/>
        </w:rPr>
        <w:t>（采购文件中明确的所属行业）</w:t>
      </w:r>
      <w:r>
        <w:rPr>
          <w:rFonts w:hint="eastAsia" w:ascii="宋体" w:hAnsi="宋体" w:cs="宋体"/>
          <w:color w:val="auto"/>
          <w:sz w:val="21"/>
          <w:szCs w:val="21"/>
          <w:highlight w:val="none"/>
        </w:rPr>
        <w:t>；承建（承接）企业为</w:t>
      </w:r>
      <w:r>
        <w:rPr>
          <w:rFonts w:hint="eastAsia" w:ascii="宋体" w:hAnsi="宋体" w:cs="宋体"/>
          <w:color w:val="auto"/>
          <w:sz w:val="21"/>
          <w:szCs w:val="21"/>
          <w:highlight w:val="none"/>
          <w:u w:val="single"/>
        </w:rPr>
        <w:t>（企业名称）</w:t>
      </w:r>
      <w:r>
        <w:rPr>
          <w:rFonts w:hint="eastAsia" w:ascii="宋体" w:hAnsi="宋体" w:cs="宋体"/>
          <w:color w:val="auto"/>
          <w:sz w:val="21"/>
          <w:szCs w:val="21"/>
          <w:highlight w:val="none"/>
        </w:rPr>
        <w:t>，从业人员</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人，营业收入为</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万元，资产总额为</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万元，属于</w:t>
      </w:r>
      <w:r>
        <w:rPr>
          <w:rFonts w:hint="eastAsia" w:ascii="宋体" w:hAnsi="宋体" w:cs="宋体"/>
          <w:color w:val="auto"/>
          <w:sz w:val="21"/>
          <w:szCs w:val="21"/>
          <w:highlight w:val="none"/>
          <w:u w:val="single"/>
        </w:rPr>
        <w:t>（中型企业、小型企业、微型企业）</w:t>
      </w:r>
      <w:r>
        <w:rPr>
          <w:rFonts w:hint="eastAsia" w:ascii="宋体" w:hAnsi="宋体" w:cs="宋体"/>
          <w:color w:val="auto"/>
          <w:sz w:val="21"/>
          <w:szCs w:val="21"/>
          <w:highlight w:val="none"/>
        </w:rPr>
        <w:t>；</w:t>
      </w:r>
    </w:p>
    <w:p w14:paraId="3CDDFFA9">
      <w:pPr>
        <w:pStyle w:val="19"/>
        <w:widowControl/>
        <w:spacing w:before="75" w:beforeAutospacing="0" w:after="75" w:afterAutospacing="0"/>
        <w:rPr>
          <w:color w:val="auto"/>
          <w:highlight w:val="none"/>
        </w:rPr>
      </w:pPr>
      <w:r>
        <w:rPr>
          <w:rFonts w:hint="eastAsia" w:ascii="宋体" w:hAnsi="宋体" w:cs="宋体"/>
          <w:color w:val="auto"/>
          <w:sz w:val="21"/>
          <w:szCs w:val="21"/>
          <w:highlight w:val="none"/>
        </w:rPr>
        <w:t> </w:t>
      </w:r>
    </w:p>
    <w:p w14:paraId="112F15E5">
      <w:pPr>
        <w:pStyle w:val="19"/>
        <w:widowControl/>
        <w:spacing w:before="75" w:beforeAutospacing="0" w:after="75" w:afterAutospacing="0"/>
        <w:rPr>
          <w:color w:val="auto"/>
          <w:highlight w:val="none"/>
        </w:rPr>
      </w:pPr>
      <w:r>
        <w:rPr>
          <w:rFonts w:hint="eastAsia" w:ascii="宋体" w:hAnsi="宋体" w:cs="宋体"/>
          <w:color w:val="auto"/>
          <w:sz w:val="21"/>
          <w:szCs w:val="21"/>
          <w:highlight w:val="none"/>
        </w:rPr>
        <w:t>……</w:t>
      </w:r>
    </w:p>
    <w:p w14:paraId="3AAA74F9">
      <w:pPr>
        <w:pStyle w:val="19"/>
        <w:widowControl/>
        <w:spacing w:before="75" w:beforeAutospacing="0" w:after="75" w:afterAutospacing="0"/>
        <w:rPr>
          <w:color w:val="auto"/>
          <w:highlight w:val="none"/>
        </w:rPr>
      </w:pPr>
      <w:r>
        <w:rPr>
          <w:rFonts w:hint="eastAsia" w:ascii="宋体" w:hAnsi="宋体" w:cs="宋体"/>
          <w:color w:val="auto"/>
          <w:sz w:val="21"/>
          <w:szCs w:val="21"/>
          <w:highlight w:val="none"/>
        </w:rPr>
        <w:t> </w:t>
      </w:r>
    </w:p>
    <w:p w14:paraId="48451FEB">
      <w:pPr>
        <w:pStyle w:val="19"/>
        <w:widowControl/>
        <w:spacing w:before="75" w:beforeAutospacing="0" w:after="75" w:afterAutospacing="0"/>
        <w:rPr>
          <w:color w:val="auto"/>
          <w:highlight w:val="none"/>
        </w:rPr>
      </w:pPr>
      <w:r>
        <w:rPr>
          <w:rFonts w:hint="eastAsia" w:ascii="宋体" w:hAnsi="宋体" w:cs="宋体"/>
          <w:color w:val="auto"/>
          <w:sz w:val="21"/>
          <w:szCs w:val="21"/>
          <w:highlight w:val="none"/>
        </w:rPr>
        <w:t>   以上企业，不属于大企业的分支机构，不存在控股股东为大企业的情形，也不存在与大企业的负责人为同一人的情形。</w:t>
      </w:r>
    </w:p>
    <w:p w14:paraId="224220F0">
      <w:pPr>
        <w:pStyle w:val="19"/>
        <w:widowControl/>
        <w:spacing w:before="75" w:beforeAutospacing="0" w:after="75" w:afterAutospacing="0"/>
        <w:rPr>
          <w:color w:val="auto"/>
          <w:highlight w:val="none"/>
        </w:rPr>
      </w:pPr>
      <w:r>
        <w:rPr>
          <w:rFonts w:hint="eastAsia" w:ascii="宋体" w:hAnsi="宋体" w:cs="宋体"/>
          <w:color w:val="auto"/>
          <w:sz w:val="21"/>
          <w:szCs w:val="21"/>
          <w:highlight w:val="none"/>
        </w:rPr>
        <w:t> </w:t>
      </w:r>
    </w:p>
    <w:p w14:paraId="5AA74A3A">
      <w:pPr>
        <w:pStyle w:val="19"/>
        <w:widowControl/>
        <w:spacing w:before="75" w:beforeAutospacing="0" w:after="75" w:afterAutospacing="0"/>
        <w:rPr>
          <w:color w:val="auto"/>
          <w:highlight w:val="none"/>
        </w:rPr>
      </w:pPr>
      <w:r>
        <w:rPr>
          <w:rFonts w:hint="eastAsia" w:ascii="宋体" w:hAnsi="宋体" w:cs="宋体"/>
          <w:color w:val="auto"/>
          <w:sz w:val="21"/>
          <w:szCs w:val="21"/>
          <w:highlight w:val="none"/>
        </w:rPr>
        <w:t>   本企业对上述声明内容的真实性负责。如有虚假，将依法承担相应责任。</w:t>
      </w:r>
    </w:p>
    <w:p w14:paraId="330EFFBA">
      <w:pPr>
        <w:pStyle w:val="19"/>
        <w:widowControl/>
        <w:spacing w:before="75" w:beforeAutospacing="0" w:after="75" w:afterAutospacing="0"/>
        <w:rPr>
          <w:color w:val="auto"/>
          <w:highlight w:val="none"/>
        </w:rPr>
      </w:pPr>
      <w:r>
        <w:rPr>
          <w:rFonts w:hint="eastAsia" w:ascii="宋体" w:hAnsi="宋体" w:cs="宋体"/>
          <w:color w:val="auto"/>
          <w:sz w:val="21"/>
          <w:szCs w:val="21"/>
          <w:highlight w:val="none"/>
        </w:rPr>
        <w:t> </w:t>
      </w:r>
    </w:p>
    <w:p w14:paraId="301D9FBD">
      <w:pPr>
        <w:pStyle w:val="19"/>
        <w:widowControl/>
        <w:spacing w:before="75" w:beforeAutospacing="0" w:after="75" w:afterAutospacing="0"/>
        <w:rPr>
          <w:color w:val="auto"/>
          <w:highlight w:val="none"/>
        </w:rPr>
      </w:pPr>
      <w:r>
        <w:rPr>
          <w:rFonts w:hint="eastAsia" w:ascii="宋体" w:hAnsi="宋体" w:cs="宋体"/>
          <w:color w:val="auto"/>
          <w:sz w:val="21"/>
          <w:szCs w:val="21"/>
          <w:highlight w:val="none"/>
        </w:rPr>
        <w:t>                                                         　　　　　　　　　　　　　　　　　　　　企业名称（盖章）：   </w:t>
      </w:r>
    </w:p>
    <w:p w14:paraId="0005906A">
      <w:pPr>
        <w:pStyle w:val="19"/>
        <w:widowControl/>
        <w:spacing w:before="75" w:beforeAutospacing="0" w:after="75" w:afterAutospacing="0"/>
        <w:rPr>
          <w:rFonts w:ascii="宋体" w:hAnsi="宋体" w:cs="宋体"/>
          <w:color w:val="auto"/>
          <w:sz w:val="21"/>
          <w:szCs w:val="21"/>
          <w:highlight w:val="none"/>
        </w:rPr>
      </w:pPr>
      <w:r>
        <w:rPr>
          <w:rFonts w:hint="eastAsia" w:ascii="宋体" w:hAnsi="宋体" w:cs="宋体"/>
          <w:color w:val="auto"/>
          <w:sz w:val="21"/>
          <w:szCs w:val="21"/>
          <w:highlight w:val="none"/>
        </w:rPr>
        <w:t>                           日期：</w:t>
      </w:r>
    </w:p>
    <w:p w14:paraId="06AE03C9">
      <w:pPr>
        <w:pStyle w:val="19"/>
        <w:widowControl/>
        <w:spacing w:before="75" w:beforeAutospacing="0" w:after="75" w:afterAutospacing="0"/>
        <w:rPr>
          <w:rFonts w:ascii="宋体" w:hAnsi="宋体" w:cs="宋体"/>
          <w:color w:val="auto"/>
          <w:sz w:val="21"/>
          <w:szCs w:val="21"/>
          <w:highlight w:val="none"/>
        </w:rPr>
      </w:pPr>
    </w:p>
    <w:p w14:paraId="476BB425">
      <w:pPr>
        <w:pStyle w:val="19"/>
        <w:widowControl/>
        <w:spacing w:before="75" w:beforeAutospacing="0" w:after="75" w:afterAutospacing="0"/>
        <w:rPr>
          <w:color w:val="auto"/>
          <w:highlight w:val="none"/>
        </w:rPr>
      </w:pPr>
      <w:r>
        <w:rPr>
          <w:rFonts w:hint="eastAsia" w:ascii="宋体" w:hAnsi="宋体" w:cs="宋体"/>
          <w:color w:val="auto"/>
          <w:sz w:val="21"/>
          <w:szCs w:val="21"/>
          <w:highlight w:val="none"/>
        </w:rPr>
        <w:t> </w:t>
      </w:r>
    </w:p>
    <w:p w14:paraId="2E2B799B">
      <w:pPr>
        <w:pStyle w:val="19"/>
        <w:widowControl/>
        <w:spacing w:before="75" w:beforeAutospacing="0" w:after="75" w:afterAutospacing="0"/>
        <w:ind w:firstLine="420"/>
        <w:rPr>
          <w:color w:val="auto"/>
          <w:highlight w:val="none"/>
        </w:rPr>
      </w:pPr>
      <w:r>
        <w:rPr>
          <w:rStyle w:val="26"/>
          <w:rFonts w:hint="eastAsia" w:ascii="宋体" w:hAnsi="宋体" w:cs="宋体"/>
          <w:color w:val="auto"/>
          <w:sz w:val="21"/>
          <w:szCs w:val="21"/>
          <w:highlight w:val="none"/>
        </w:rPr>
        <w:t>1、从业人员、营业收入、资产总额填报上一年度数据，无上一年度数据的新成立企业可不填报。</w:t>
      </w:r>
    </w:p>
    <w:p w14:paraId="0AA61C2A">
      <w:pPr>
        <w:pStyle w:val="19"/>
        <w:widowControl/>
        <w:spacing w:before="75" w:beforeAutospacing="0" w:after="75" w:afterAutospacing="0"/>
        <w:ind w:firstLine="420"/>
        <w:rPr>
          <w:color w:val="auto"/>
          <w:highlight w:val="none"/>
        </w:rPr>
      </w:pPr>
      <w:r>
        <w:rPr>
          <w:rStyle w:val="26"/>
          <w:rFonts w:hint="eastAsia" w:ascii="宋体" w:hAnsi="宋体" w:cs="宋体"/>
          <w:color w:val="auto"/>
          <w:sz w:val="21"/>
          <w:szCs w:val="21"/>
          <w:highlight w:val="none"/>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46F5147">
      <w:pPr>
        <w:pStyle w:val="19"/>
        <w:widowControl/>
        <w:spacing w:before="75" w:beforeAutospacing="0" w:after="75" w:afterAutospacing="0"/>
        <w:ind w:firstLine="420"/>
        <w:rPr>
          <w:color w:val="auto"/>
          <w:highlight w:val="none"/>
        </w:rPr>
      </w:pPr>
      <w:r>
        <w:rPr>
          <w:rStyle w:val="26"/>
          <w:rFonts w:hint="eastAsia" w:ascii="宋体" w:hAnsi="宋体" w:cs="宋体"/>
          <w:color w:val="auto"/>
          <w:sz w:val="21"/>
          <w:szCs w:val="21"/>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77CC7914">
      <w:pPr>
        <w:pStyle w:val="19"/>
        <w:widowControl/>
        <w:jc w:val="center"/>
        <w:rPr>
          <w:color w:val="auto"/>
          <w:highlight w:val="none"/>
        </w:rPr>
      </w:pPr>
      <w:r>
        <w:rPr>
          <w:rStyle w:val="26"/>
          <w:rFonts w:hint="eastAsia" w:ascii="宋体" w:hAnsi="宋体" w:cs="宋体"/>
          <w:color w:val="auto"/>
          <w:sz w:val="21"/>
          <w:szCs w:val="21"/>
          <w:highlight w:val="none"/>
        </w:rPr>
        <w:t> </w:t>
      </w:r>
    </w:p>
    <w:p w14:paraId="008D37D6">
      <w:pPr>
        <w:pStyle w:val="19"/>
        <w:widowControl/>
        <w:spacing w:after="240" w:afterAutospacing="0"/>
        <w:rPr>
          <w:rFonts w:ascii="Calibri" w:hAnsi="Calibri" w:cs="Calibri"/>
          <w:color w:val="auto"/>
          <w:sz w:val="21"/>
          <w:szCs w:val="21"/>
          <w:highlight w:val="none"/>
        </w:rPr>
      </w:pPr>
    </w:p>
    <w:p w14:paraId="7ADCE2E1">
      <w:pPr>
        <w:pStyle w:val="19"/>
        <w:widowControl/>
        <w:spacing w:after="240" w:afterAutospacing="0"/>
        <w:rPr>
          <w:rFonts w:ascii="Calibri" w:hAnsi="Calibri" w:cs="Calibri"/>
          <w:color w:val="auto"/>
          <w:sz w:val="21"/>
          <w:szCs w:val="21"/>
          <w:highlight w:val="none"/>
        </w:rPr>
      </w:pPr>
    </w:p>
    <w:p w14:paraId="7114988D">
      <w:pPr>
        <w:pStyle w:val="19"/>
        <w:widowControl/>
        <w:spacing w:after="240" w:afterAutospacing="0"/>
        <w:rPr>
          <w:rFonts w:ascii="Calibri" w:hAnsi="Calibri" w:cs="Calibri"/>
          <w:color w:val="auto"/>
          <w:sz w:val="21"/>
          <w:szCs w:val="21"/>
          <w:highlight w:val="none"/>
        </w:rPr>
      </w:pPr>
    </w:p>
    <w:p w14:paraId="74F5C73A">
      <w:pPr>
        <w:pStyle w:val="19"/>
        <w:widowControl/>
        <w:jc w:val="center"/>
        <w:rPr>
          <w:color w:val="auto"/>
          <w:highlight w:val="none"/>
        </w:rPr>
      </w:pPr>
      <w:r>
        <w:rPr>
          <w:rStyle w:val="26"/>
          <w:rFonts w:hint="eastAsia" w:ascii="宋体" w:hAnsi="宋体" w:cs="宋体"/>
          <w:color w:val="auto"/>
          <w:sz w:val="21"/>
          <w:szCs w:val="21"/>
          <w:highlight w:val="none"/>
        </w:rPr>
        <w:t>三-2-②小型、微型企业等证明材料（价格扣除适用，若有）</w:t>
      </w:r>
    </w:p>
    <w:p w14:paraId="2BA6FB63">
      <w:pPr>
        <w:pStyle w:val="19"/>
        <w:widowControl/>
        <w:rPr>
          <w:color w:val="auto"/>
          <w:highlight w:val="none"/>
        </w:rPr>
      </w:pPr>
      <w:r>
        <w:rPr>
          <w:rStyle w:val="26"/>
          <w:rFonts w:hint="eastAsia" w:ascii="宋体" w:hAnsi="宋体" w:cs="宋体"/>
          <w:color w:val="auto"/>
          <w:sz w:val="21"/>
          <w:szCs w:val="21"/>
          <w:highlight w:val="none"/>
        </w:rPr>
        <w:t> </w:t>
      </w:r>
    </w:p>
    <w:p w14:paraId="647450CA">
      <w:pPr>
        <w:pStyle w:val="19"/>
        <w:widowControl/>
        <w:jc w:val="center"/>
        <w:rPr>
          <w:color w:val="auto"/>
          <w:highlight w:val="none"/>
        </w:rPr>
      </w:pPr>
      <w:r>
        <w:rPr>
          <w:rFonts w:hint="eastAsia" w:ascii="宋体" w:hAnsi="宋体" w:cs="宋体"/>
          <w:color w:val="auto"/>
          <w:sz w:val="21"/>
          <w:szCs w:val="21"/>
          <w:highlight w:val="none"/>
        </w:rPr>
        <w:t>编制说明 </w:t>
      </w:r>
    </w:p>
    <w:p w14:paraId="5D67C949">
      <w:pPr>
        <w:pStyle w:val="19"/>
        <w:widowControl/>
        <w:rPr>
          <w:color w:val="auto"/>
          <w:highlight w:val="none"/>
        </w:rPr>
      </w:pPr>
      <w:r>
        <w:rPr>
          <w:rFonts w:hint="eastAsia" w:ascii="宋体" w:hAnsi="宋体" w:cs="宋体"/>
          <w:color w:val="auto"/>
          <w:sz w:val="21"/>
          <w:szCs w:val="21"/>
          <w:highlight w:val="none"/>
        </w:rPr>
        <w:t>1、投标人应按照招标文件要求提供相应证明材料，证明材料应与《中小企业声明函》的内容相一致，否则视为《中小企业声明函》内容不真实。</w:t>
      </w:r>
    </w:p>
    <w:p w14:paraId="0909A089">
      <w:pPr>
        <w:pStyle w:val="19"/>
        <w:widowControl/>
        <w:rPr>
          <w:color w:val="auto"/>
          <w:highlight w:val="none"/>
        </w:rPr>
      </w:pPr>
      <w:r>
        <w:rPr>
          <w:rFonts w:hint="eastAsia" w:ascii="宋体" w:hAnsi="宋体" w:cs="宋体"/>
          <w:color w:val="auto"/>
          <w:sz w:val="21"/>
          <w:szCs w:val="21"/>
          <w:highlight w:val="none"/>
        </w:rPr>
        <w:t>2、投标人为监狱企业的，根据其提供的由省级以上监狱管理局、戒毒管理局（含新疆生产建设兵团）出具的属于监狱企业的证明文件进行认定，监狱企业视同小型、微型企业。</w:t>
      </w:r>
    </w:p>
    <w:p w14:paraId="63A6114E">
      <w:pPr>
        <w:pStyle w:val="19"/>
        <w:widowControl/>
        <w:rPr>
          <w:color w:val="auto"/>
          <w:highlight w:val="none"/>
        </w:rPr>
      </w:pPr>
      <w:r>
        <w:rPr>
          <w:rFonts w:hint="eastAsia" w:ascii="宋体" w:hAnsi="宋体" w:cs="宋体"/>
          <w:color w:val="auto"/>
          <w:sz w:val="21"/>
          <w:szCs w:val="21"/>
          <w:highlight w:val="none"/>
        </w:rPr>
        <w:t>3、投标人为残疾人福利性单位的，根据其提供的《残疾人福利性单位声明函》（格式附后）进行认定，残疾人福利性单位视同小型、微型企业。残疾人福利性单位属于小型、微型企业的，不重复享受政策。</w:t>
      </w:r>
    </w:p>
    <w:p w14:paraId="61C5D9F4">
      <w:pPr>
        <w:pStyle w:val="19"/>
        <w:widowControl/>
        <w:rPr>
          <w:rFonts w:ascii="宋体" w:hAnsi="宋体" w:cs="宋体"/>
          <w:color w:val="auto"/>
          <w:sz w:val="21"/>
          <w:szCs w:val="21"/>
          <w:highlight w:val="none"/>
        </w:rPr>
      </w:pPr>
      <w:r>
        <w:rPr>
          <w:rFonts w:hint="eastAsia" w:ascii="宋体" w:hAnsi="宋体" w:cs="宋体"/>
          <w:color w:val="auto"/>
          <w:sz w:val="21"/>
          <w:szCs w:val="21"/>
          <w:highlight w:val="none"/>
        </w:rPr>
        <w:t> </w:t>
      </w:r>
    </w:p>
    <w:p w14:paraId="36AC484B">
      <w:pPr>
        <w:pStyle w:val="19"/>
        <w:widowControl/>
        <w:rPr>
          <w:color w:val="auto"/>
          <w:highlight w:val="none"/>
        </w:rPr>
      </w:pPr>
      <w:r>
        <w:rPr>
          <w:rFonts w:hint="eastAsia" w:ascii="宋体" w:hAnsi="宋体" w:cs="宋体"/>
          <w:color w:val="auto"/>
          <w:sz w:val="21"/>
          <w:szCs w:val="21"/>
          <w:highlight w:val="none"/>
        </w:rPr>
        <w:t>附：</w:t>
      </w:r>
    </w:p>
    <w:p w14:paraId="5D172501">
      <w:pPr>
        <w:pStyle w:val="19"/>
        <w:widowControl/>
        <w:jc w:val="center"/>
        <w:rPr>
          <w:color w:val="auto"/>
          <w:highlight w:val="none"/>
        </w:rPr>
      </w:pPr>
      <w:r>
        <w:rPr>
          <w:rStyle w:val="26"/>
          <w:rFonts w:hint="eastAsia" w:ascii="宋体" w:hAnsi="宋体" w:cs="宋体"/>
          <w:color w:val="auto"/>
          <w:sz w:val="21"/>
          <w:szCs w:val="21"/>
          <w:highlight w:val="none"/>
        </w:rPr>
        <w:t>残疾人福利性单位声明函（价格扣除适用，若有）</w:t>
      </w:r>
    </w:p>
    <w:p w14:paraId="7593B4AB">
      <w:pPr>
        <w:pStyle w:val="19"/>
        <w:widowControl/>
        <w:rPr>
          <w:color w:val="auto"/>
          <w:highlight w:val="none"/>
        </w:rPr>
      </w:pPr>
      <w:r>
        <w:rPr>
          <w:rStyle w:val="26"/>
          <w:rFonts w:hint="eastAsia" w:ascii="宋体" w:hAnsi="宋体" w:cs="宋体"/>
          <w:color w:val="auto"/>
          <w:sz w:val="21"/>
          <w:szCs w:val="21"/>
          <w:highlight w:val="none"/>
        </w:rPr>
        <w:t> </w:t>
      </w:r>
    </w:p>
    <w:p w14:paraId="6A0816BB">
      <w:pPr>
        <w:pStyle w:val="19"/>
        <w:widowControl/>
        <w:spacing w:before="75" w:beforeAutospacing="0" w:after="75" w:afterAutospacing="0"/>
        <w:ind w:firstLine="420"/>
        <w:rPr>
          <w:color w:val="auto"/>
          <w:highlight w:val="none"/>
        </w:rPr>
      </w:pPr>
      <w:r>
        <w:rPr>
          <w:rFonts w:hint="eastAsia" w:ascii="宋体" w:hAnsi="宋体" w:cs="宋体"/>
          <w:color w:val="auto"/>
          <w:sz w:val="21"/>
          <w:szCs w:val="21"/>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cs="宋体"/>
          <w:color w:val="auto"/>
          <w:sz w:val="21"/>
          <w:szCs w:val="21"/>
          <w:highlight w:val="none"/>
          <w:u w:val="single"/>
        </w:rPr>
        <w:t>（填写“项目名称”）</w:t>
      </w:r>
      <w:r>
        <w:rPr>
          <w:rFonts w:hint="eastAsia" w:ascii="宋体" w:hAnsi="宋体" w:cs="宋体"/>
          <w:color w:val="auto"/>
          <w:sz w:val="21"/>
          <w:szCs w:val="21"/>
          <w:highlight w:val="none"/>
        </w:rPr>
        <w:t>项目采购活动：</w:t>
      </w:r>
    </w:p>
    <w:p w14:paraId="69EA8CD4">
      <w:pPr>
        <w:pStyle w:val="19"/>
        <w:widowControl/>
        <w:spacing w:before="75" w:beforeAutospacing="0" w:after="75" w:afterAutospacing="0"/>
        <w:ind w:firstLine="420"/>
        <w:rPr>
          <w:color w:val="auto"/>
          <w:highlight w:val="none"/>
        </w:rPr>
      </w:pPr>
      <w:r>
        <w:rPr>
          <w:rFonts w:hint="eastAsia" w:ascii="宋体" w:hAnsi="宋体" w:cs="宋体"/>
          <w:color w:val="auto"/>
          <w:sz w:val="21"/>
          <w:szCs w:val="21"/>
          <w:highlight w:val="none"/>
        </w:rPr>
        <w:t>（ ）提供本投标人制造的</w:t>
      </w:r>
      <w:r>
        <w:rPr>
          <w:rFonts w:hint="eastAsia" w:ascii="宋体" w:hAnsi="宋体" w:cs="宋体"/>
          <w:color w:val="auto"/>
          <w:sz w:val="21"/>
          <w:szCs w:val="21"/>
          <w:highlight w:val="none"/>
          <w:u w:val="single"/>
        </w:rPr>
        <w:t>（填写“所投采购包、品目号”）</w:t>
      </w:r>
      <w:r>
        <w:rPr>
          <w:rFonts w:hint="eastAsia" w:ascii="宋体" w:hAnsi="宋体" w:cs="宋体"/>
          <w:color w:val="auto"/>
          <w:sz w:val="21"/>
          <w:szCs w:val="21"/>
          <w:highlight w:val="none"/>
        </w:rPr>
        <w:t>货物，或提供其他残疾人福利性单位制造的</w:t>
      </w:r>
      <w:r>
        <w:rPr>
          <w:rFonts w:hint="eastAsia" w:ascii="宋体" w:hAnsi="宋体" w:cs="宋体"/>
          <w:color w:val="auto"/>
          <w:sz w:val="21"/>
          <w:szCs w:val="21"/>
          <w:highlight w:val="none"/>
          <w:u w:val="single"/>
        </w:rPr>
        <w:t>（填写“所投采购包、品目号”）</w:t>
      </w:r>
      <w:r>
        <w:rPr>
          <w:rFonts w:hint="eastAsia" w:ascii="宋体" w:hAnsi="宋体" w:cs="宋体"/>
          <w:color w:val="auto"/>
          <w:sz w:val="21"/>
          <w:szCs w:val="21"/>
          <w:highlight w:val="none"/>
        </w:rPr>
        <w:t>货物（不包括使用非残疾人福利性单位注册商标的货物）。（说明：只有部分货物由残疾人福利企业制造的，在该货物后标</w:t>
      </w:r>
      <w:r>
        <w:rPr>
          <w:rFonts w:ascii="Segoe UI Symbol" w:hAnsi="Segoe UI Symbol" w:eastAsia="Segoe UI Symbol" w:cs="Segoe UI Symbol"/>
          <w:color w:val="auto"/>
          <w:sz w:val="19"/>
          <w:szCs w:val="19"/>
          <w:highlight w:val="none"/>
          <w:shd w:val="clear" w:color="auto" w:fill="FFFFFF"/>
        </w:rPr>
        <w:t>★</w:t>
      </w:r>
      <w:r>
        <w:rPr>
          <w:rFonts w:hint="eastAsia" w:ascii="宋体" w:hAnsi="宋体" w:cs="宋体"/>
          <w:color w:val="auto"/>
          <w:sz w:val="21"/>
          <w:szCs w:val="21"/>
          <w:highlight w:val="none"/>
        </w:rPr>
        <w:t>）</w:t>
      </w:r>
    </w:p>
    <w:p w14:paraId="02D48F09">
      <w:pPr>
        <w:pStyle w:val="19"/>
        <w:widowControl/>
        <w:spacing w:before="75" w:beforeAutospacing="0" w:after="75" w:afterAutospacing="0"/>
        <w:ind w:firstLine="420"/>
        <w:rPr>
          <w:color w:val="auto"/>
          <w:highlight w:val="none"/>
        </w:rPr>
      </w:pPr>
      <w:r>
        <w:rPr>
          <w:rFonts w:hint="eastAsia" w:ascii="宋体" w:hAnsi="宋体" w:cs="宋体"/>
          <w:color w:val="auto"/>
          <w:sz w:val="21"/>
          <w:szCs w:val="21"/>
          <w:highlight w:val="none"/>
        </w:rPr>
        <w:t>（ ）由本投标人承建的</w:t>
      </w:r>
      <w:r>
        <w:rPr>
          <w:rFonts w:hint="eastAsia" w:ascii="宋体" w:hAnsi="宋体" w:cs="宋体"/>
          <w:color w:val="auto"/>
          <w:sz w:val="21"/>
          <w:szCs w:val="21"/>
          <w:highlight w:val="none"/>
          <w:u w:val="single"/>
        </w:rPr>
        <w:t>（填写“所投采购包、品目号”）</w:t>
      </w:r>
      <w:r>
        <w:rPr>
          <w:rFonts w:hint="eastAsia" w:ascii="宋体" w:hAnsi="宋体" w:cs="宋体"/>
          <w:color w:val="auto"/>
          <w:sz w:val="21"/>
          <w:szCs w:val="21"/>
          <w:highlight w:val="none"/>
        </w:rPr>
        <w:t>工程</w:t>
      </w:r>
    </w:p>
    <w:p w14:paraId="2C978B86">
      <w:pPr>
        <w:pStyle w:val="19"/>
        <w:widowControl/>
        <w:spacing w:before="75" w:beforeAutospacing="0" w:after="75" w:afterAutospacing="0"/>
        <w:ind w:firstLine="420"/>
        <w:rPr>
          <w:color w:val="auto"/>
          <w:highlight w:val="none"/>
        </w:rPr>
      </w:pPr>
      <w:r>
        <w:rPr>
          <w:rFonts w:hint="eastAsia" w:ascii="宋体" w:hAnsi="宋体" w:cs="宋体"/>
          <w:color w:val="auto"/>
          <w:sz w:val="21"/>
          <w:szCs w:val="21"/>
          <w:highlight w:val="none"/>
        </w:rPr>
        <w:t>（ ）由本投标人承接的</w:t>
      </w:r>
      <w:r>
        <w:rPr>
          <w:rFonts w:hint="eastAsia" w:ascii="宋体" w:hAnsi="宋体" w:cs="宋体"/>
          <w:color w:val="auto"/>
          <w:sz w:val="21"/>
          <w:szCs w:val="21"/>
          <w:highlight w:val="none"/>
          <w:u w:val="single"/>
        </w:rPr>
        <w:t>（填写“所投采购包、品目号”）</w:t>
      </w:r>
      <w:r>
        <w:rPr>
          <w:rFonts w:hint="eastAsia" w:ascii="宋体" w:hAnsi="宋体" w:cs="宋体"/>
          <w:color w:val="auto"/>
          <w:sz w:val="21"/>
          <w:szCs w:val="21"/>
          <w:highlight w:val="none"/>
        </w:rPr>
        <w:t>服务；</w:t>
      </w:r>
    </w:p>
    <w:p w14:paraId="638782D3">
      <w:pPr>
        <w:pStyle w:val="19"/>
        <w:widowControl/>
        <w:spacing w:before="75" w:beforeAutospacing="0" w:after="75" w:afterAutospacing="0"/>
        <w:ind w:firstLine="420"/>
        <w:rPr>
          <w:color w:val="auto"/>
          <w:highlight w:val="none"/>
        </w:rPr>
      </w:pPr>
      <w:r>
        <w:rPr>
          <w:rFonts w:hint="eastAsia" w:ascii="宋体" w:hAnsi="宋体" w:cs="宋体"/>
          <w:color w:val="auto"/>
          <w:sz w:val="21"/>
          <w:szCs w:val="21"/>
          <w:highlight w:val="none"/>
        </w:rPr>
        <w:t>本投标人对上述声明的真实性负责。如有虚假，将依法承担相应责任。</w:t>
      </w:r>
    </w:p>
    <w:p w14:paraId="5C6A4927">
      <w:pPr>
        <w:pStyle w:val="19"/>
        <w:widowControl/>
        <w:spacing w:before="75" w:beforeAutospacing="0" w:after="75" w:afterAutospacing="0"/>
        <w:ind w:firstLine="420"/>
        <w:rPr>
          <w:color w:val="auto"/>
          <w:highlight w:val="none"/>
        </w:rPr>
      </w:pPr>
      <w:r>
        <w:rPr>
          <w:rFonts w:ascii="Calibri" w:hAnsi="Calibri" w:cs="Calibri"/>
          <w:color w:val="auto"/>
          <w:sz w:val="21"/>
          <w:szCs w:val="21"/>
          <w:highlight w:val="none"/>
        </w:rPr>
        <w:t> </w:t>
      </w:r>
    </w:p>
    <w:p w14:paraId="2D7D4CA4">
      <w:pPr>
        <w:pStyle w:val="19"/>
        <w:widowControl/>
        <w:spacing w:before="75" w:beforeAutospacing="0" w:after="75" w:afterAutospacing="0"/>
        <w:rPr>
          <w:color w:val="auto"/>
          <w:highlight w:val="none"/>
        </w:rPr>
      </w:pPr>
      <w:r>
        <w:rPr>
          <w:rFonts w:hint="eastAsia" w:ascii="宋体" w:hAnsi="宋体" w:cs="宋体"/>
          <w:color w:val="auto"/>
          <w:sz w:val="21"/>
          <w:szCs w:val="21"/>
          <w:highlight w:val="none"/>
        </w:rPr>
        <w:t>备注：</w:t>
      </w:r>
    </w:p>
    <w:p w14:paraId="15D763E6">
      <w:pPr>
        <w:pStyle w:val="19"/>
        <w:widowControl/>
        <w:spacing w:before="75" w:beforeAutospacing="0" w:after="75" w:afterAutospacing="0"/>
        <w:rPr>
          <w:color w:val="auto"/>
          <w:highlight w:val="none"/>
        </w:rPr>
      </w:pPr>
      <w:r>
        <w:rPr>
          <w:rFonts w:hint="eastAsia" w:ascii="宋体" w:hAnsi="宋体" w:cs="宋体"/>
          <w:color w:val="auto"/>
          <w:sz w:val="21"/>
          <w:szCs w:val="21"/>
          <w:highlight w:val="none"/>
        </w:rPr>
        <w:t>1、请投标人按照实际情况编制填写本声明函，并在相应的（）中打“√”。</w:t>
      </w:r>
    </w:p>
    <w:p w14:paraId="67B1AF9C">
      <w:pPr>
        <w:pStyle w:val="19"/>
        <w:widowControl/>
        <w:spacing w:before="75" w:beforeAutospacing="0" w:after="75" w:afterAutospacing="0"/>
        <w:rPr>
          <w:color w:val="auto"/>
          <w:highlight w:val="none"/>
        </w:rPr>
      </w:pPr>
      <w:r>
        <w:rPr>
          <w:rFonts w:hint="eastAsia" w:ascii="宋体" w:hAnsi="宋体" w:cs="宋体"/>
          <w:color w:val="auto"/>
          <w:sz w:val="21"/>
          <w:szCs w:val="21"/>
          <w:highlight w:val="none"/>
        </w:rPr>
        <w:t>2、若《残疾人福利性单位声明函》内容不真实，</w:t>
      </w:r>
      <w:r>
        <w:rPr>
          <w:rStyle w:val="26"/>
          <w:rFonts w:hint="eastAsia" w:ascii="宋体" w:hAnsi="宋体" w:cs="宋体"/>
          <w:color w:val="auto"/>
          <w:sz w:val="21"/>
          <w:szCs w:val="21"/>
          <w:highlight w:val="none"/>
        </w:rPr>
        <w:t>视为提供虚假材料。</w:t>
      </w:r>
    </w:p>
    <w:p w14:paraId="757788C1">
      <w:pPr>
        <w:pStyle w:val="19"/>
        <w:widowControl/>
        <w:spacing w:before="75" w:beforeAutospacing="0" w:after="75" w:afterAutospacing="0"/>
        <w:rPr>
          <w:color w:val="auto"/>
          <w:highlight w:val="none"/>
        </w:rPr>
      </w:pPr>
      <w:r>
        <w:rPr>
          <w:rFonts w:hint="eastAsia" w:ascii="宋体" w:hAnsi="宋体" w:cs="宋体"/>
          <w:color w:val="auto"/>
          <w:sz w:val="21"/>
          <w:szCs w:val="21"/>
          <w:highlight w:val="none"/>
        </w:rPr>
        <w:t> </w:t>
      </w:r>
    </w:p>
    <w:p w14:paraId="276ECCF5">
      <w:pPr>
        <w:spacing w:line="440" w:lineRule="exact"/>
        <w:ind w:firstLine="480" w:firstLineChars="200"/>
        <w:rPr>
          <w:rFonts w:ascii="宋体" w:hAnsi="宋体" w:cs="宋体"/>
          <w:bCs/>
          <w:color w:val="auto"/>
          <w:sz w:val="24"/>
          <w:highlight w:val="none"/>
          <w:u w:val="single"/>
        </w:rPr>
      </w:pPr>
      <w:r>
        <w:rPr>
          <w:rFonts w:hint="eastAsia" w:ascii="宋体" w:hAnsi="宋体" w:cs="宋体"/>
          <w:bCs/>
          <w:color w:val="auto"/>
          <w:sz w:val="24"/>
          <w:highlight w:val="none"/>
        </w:rPr>
        <w:t>投标人：</w:t>
      </w:r>
      <w:r>
        <w:rPr>
          <w:rFonts w:hint="eastAsia" w:ascii="宋体" w:hAnsi="宋体" w:cs="宋体"/>
          <w:bCs/>
          <w:color w:val="auto"/>
          <w:sz w:val="24"/>
          <w:highlight w:val="none"/>
          <w:u w:val="single"/>
        </w:rPr>
        <w:t>（全称并加盖单位公章）</w:t>
      </w:r>
    </w:p>
    <w:p w14:paraId="7B41AE04">
      <w:pPr>
        <w:spacing w:line="440" w:lineRule="exact"/>
        <w:ind w:firstLine="480" w:firstLineChars="200"/>
        <w:rPr>
          <w:rFonts w:ascii="宋体" w:hAnsi="宋体" w:cs="宋体"/>
          <w:bCs/>
          <w:color w:val="auto"/>
          <w:sz w:val="24"/>
          <w:highlight w:val="none"/>
          <w:u w:val="single"/>
        </w:rPr>
      </w:pPr>
      <w:r>
        <w:rPr>
          <w:rFonts w:hint="eastAsia" w:ascii="宋体" w:hAnsi="宋体" w:cs="宋体"/>
          <w:bCs/>
          <w:color w:val="auto"/>
          <w:sz w:val="24"/>
          <w:highlight w:val="none"/>
        </w:rPr>
        <w:t>投标人代表签字：</w:t>
      </w:r>
      <w:r>
        <w:rPr>
          <w:rFonts w:hint="eastAsia" w:ascii="宋体" w:hAnsi="宋体" w:cs="宋体"/>
          <w:bCs/>
          <w:color w:val="auto"/>
          <w:sz w:val="24"/>
          <w:highlight w:val="none"/>
          <w:u w:val="single"/>
        </w:rPr>
        <w:t xml:space="preserve">          </w:t>
      </w:r>
    </w:p>
    <w:p w14:paraId="12E760D8">
      <w:pPr>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日期：    年   月   日</w:t>
      </w:r>
    </w:p>
    <w:p w14:paraId="29389E7D">
      <w:pPr>
        <w:pStyle w:val="19"/>
        <w:widowControl/>
        <w:spacing w:before="0" w:beforeAutospacing="0" w:after="0" w:afterAutospacing="0"/>
        <w:ind w:firstLine="420"/>
        <w:rPr>
          <w:rFonts w:ascii="宋体" w:hAnsi="宋体" w:cs="宋体"/>
          <w:color w:val="auto"/>
          <w:sz w:val="21"/>
          <w:szCs w:val="21"/>
          <w:highlight w:val="none"/>
        </w:rPr>
      </w:pPr>
    </w:p>
    <w:p w14:paraId="46B6A16A">
      <w:pPr>
        <w:pStyle w:val="19"/>
        <w:widowControl/>
        <w:spacing w:before="0" w:beforeAutospacing="0" w:after="0" w:afterAutospacing="0"/>
        <w:ind w:firstLine="420"/>
        <w:rPr>
          <w:color w:val="auto"/>
          <w:highlight w:val="none"/>
        </w:rPr>
      </w:pPr>
      <w:r>
        <w:rPr>
          <w:rFonts w:hint="eastAsia" w:ascii="宋体" w:hAnsi="宋体" w:cs="宋体"/>
          <w:color w:val="auto"/>
          <w:sz w:val="21"/>
          <w:szCs w:val="21"/>
          <w:highlight w:val="none"/>
        </w:rPr>
        <w:t>附：</w:t>
      </w:r>
    </w:p>
    <w:p w14:paraId="1AB83ABF">
      <w:pPr>
        <w:pStyle w:val="19"/>
        <w:widowControl/>
        <w:spacing w:before="75" w:beforeAutospacing="0" w:after="75" w:afterAutospacing="0"/>
        <w:jc w:val="center"/>
        <w:rPr>
          <w:color w:val="auto"/>
          <w:highlight w:val="none"/>
        </w:rPr>
      </w:pPr>
      <w:r>
        <w:rPr>
          <w:rStyle w:val="26"/>
          <w:rFonts w:hint="eastAsia" w:ascii="宋体" w:hAnsi="宋体" w:cs="宋体"/>
          <w:color w:val="auto"/>
          <w:highlight w:val="none"/>
        </w:rPr>
        <w:t>监狱企业证明材料</w:t>
      </w:r>
    </w:p>
    <w:p w14:paraId="0C105FD3">
      <w:pPr>
        <w:pStyle w:val="19"/>
        <w:widowControl/>
        <w:spacing w:before="75" w:beforeAutospacing="0" w:after="75" w:afterAutospacing="0"/>
        <w:jc w:val="center"/>
        <w:rPr>
          <w:color w:val="auto"/>
          <w:highlight w:val="none"/>
        </w:rPr>
      </w:pPr>
      <w:r>
        <w:rPr>
          <w:rStyle w:val="26"/>
          <w:rFonts w:hint="eastAsia" w:ascii="宋体" w:hAnsi="宋体" w:cs="宋体"/>
          <w:color w:val="auto"/>
          <w:highlight w:val="none"/>
        </w:rPr>
        <w:t> </w:t>
      </w:r>
    </w:p>
    <w:p w14:paraId="32362655">
      <w:pPr>
        <w:pStyle w:val="19"/>
        <w:widowControl/>
        <w:rPr>
          <w:color w:val="auto"/>
          <w:highlight w:val="none"/>
        </w:rPr>
      </w:pPr>
      <w:r>
        <w:rPr>
          <w:rFonts w:hint="eastAsia" w:ascii="宋体" w:hAnsi="宋体" w:cs="宋体"/>
          <w:color w:val="auto"/>
          <w:highlight w:val="none"/>
        </w:rPr>
        <w:t>  投标人为监狱企业，提供本单位制造的货物（承接的服务），并在投标文件中提供省级以上监狱管理局、戒毒管理局（含新疆生产建设兵团）出具的属于监狱企业的证明文件。</w:t>
      </w:r>
    </w:p>
    <w:p w14:paraId="573F40F7">
      <w:pPr>
        <w:pStyle w:val="19"/>
        <w:widowControl/>
        <w:spacing w:before="75" w:beforeAutospacing="0" w:after="240" w:afterAutospacing="0"/>
        <w:rPr>
          <w:rFonts w:ascii="宋体" w:hAnsi="宋体" w:cs="宋体"/>
          <w:color w:val="auto"/>
          <w:sz w:val="21"/>
          <w:szCs w:val="21"/>
          <w:highlight w:val="none"/>
        </w:rPr>
      </w:pPr>
    </w:p>
    <w:p w14:paraId="49EEFD56">
      <w:pPr>
        <w:pStyle w:val="19"/>
        <w:widowControl/>
        <w:spacing w:before="75" w:beforeAutospacing="0" w:after="240" w:afterAutospacing="0"/>
        <w:rPr>
          <w:rFonts w:ascii="宋体" w:hAnsi="宋体" w:cs="宋体"/>
          <w:color w:val="auto"/>
          <w:sz w:val="21"/>
          <w:szCs w:val="21"/>
          <w:highlight w:val="none"/>
        </w:rPr>
      </w:pPr>
    </w:p>
    <w:p w14:paraId="421E9DBD">
      <w:pPr>
        <w:pStyle w:val="19"/>
        <w:widowControl/>
        <w:spacing w:before="75" w:beforeAutospacing="0" w:after="240" w:afterAutospacing="0"/>
        <w:rPr>
          <w:rFonts w:ascii="宋体" w:hAnsi="宋体" w:cs="宋体"/>
          <w:color w:val="auto"/>
          <w:sz w:val="21"/>
          <w:szCs w:val="21"/>
          <w:highlight w:val="none"/>
        </w:rPr>
      </w:pPr>
    </w:p>
    <w:p w14:paraId="5724A9F5">
      <w:pPr>
        <w:pStyle w:val="19"/>
        <w:widowControl/>
        <w:spacing w:before="75" w:beforeAutospacing="0" w:after="240" w:afterAutospacing="0"/>
        <w:rPr>
          <w:rFonts w:ascii="宋体" w:hAnsi="宋体" w:cs="宋体"/>
          <w:color w:val="auto"/>
          <w:sz w:val="21"/>
          <w:szCs w:val="21"/>
          <w:highlight w:val="none"/>
        </w:rPr>
      </w:pPr>
    </w:p>
    <w:p w14:paraId="6AE71F12">
      <w:pPr>
        <w:pStyle w:val="19"/>
        <w:widowControl/>
        <w:spacing w:before="75" w:beforeAutospacing="0" w:after="240" w:afterAutospacing="0"/>
        <w:rPr>
          <w:rFonts w:ascii="宋体" w:hAnsi="宋体" w:cs="宋体"/>
          <w:color w:val="auto"/>
          <w:sz w:val="21"/>
          <w:szCs w:val="21"/>
          <w:highlight w:val="none"/>
        </w:rPr>
      </w:pPr>
    </w:p>
    <w:p w14:paraId="4E3FF371">
      <w:pPr>
        <w:pStyle w:val="19"/>
        <w:widowControl/>
        <w:spacing w:before="75" w:beforeAutospacing="0" w:after="240" w:afterAutospacing="0"/>
        <w:rPr>
          <w:rFonts w:ascii="宋体" w:hAnsi="宋体" w:cs="宋体"/>
          <w:color w:val="auto"/>
          <w:sz w:val="21"/>
          <w:szCs w:val="21"/>
          <w:highlight w:val="none"/>
        </w:rPr>
      </w:pPr>
    </w:p>
    <w:p w14:paraId="2D827C8C">
      <w:pPr>
        <w:pStyle w:val="19"/>
        <w:widowControl/>
        <w:spacing w:before="75" w:beforeAutospacing="0" w:after="240" w:afterAutospacing="0"/>
        <w:rPr>
          <w:rFonts w:ascii="宋体" w:hAnsi="宋体" w:cs="宋体"/>
          <w:color w:val="auto"/>
          <w:sz w:val="21"/>
          <w:szCs w:val="21"/>
          <w:highlight w:val="none"/>
        </w:rPr>
      </w:pPr>
    </w:p>
    <w:p w14:paraId="73EACC67">
      <w:pPr>
        <w:pStyle w:val="19"/>
        <w:widowControl/>
        <w:jc w:val="center"/>
        <w:rPr>
          <w:rStyle w:val="26"/>
          <w:rFonts w:ascii="宋体" w:hAnsi="宋体" w:cs="宋体"/>
          <w:color w:val="auto"/>
          <w:sz w:val="21"/>
          <w:szCs w:val="21"/>
          <w:highlight w:val="none"/>
        </w:rPr>
      </w:pPr>
    </w:p>
    <w:p w14:paraId="1DAFF334">
      <w:pPr>
        <w:pStyle w:val="19"/>
        <w:widowControl/>
        <w:jc w:val="center"/>
        <w:rPr>
          <w:color w:val="auto"/>
          <w:highlight w:val="none"/>
        </w:rPr>
      </w:pPr>
      <w:r>
        <w:rPr>
          <w:rStyle w:val="26"/>
          <w:rFonts w:hint="eastAsia" w:ascii="宋体" w:hAnsi="宋体" w:cs="宋体"/>
          <w:color w:val="auto"/>
          <w:sz w:val="21"/>
          <w:szCs w:val="21"/>
          <w:highlight w:val="none"/>
        </w:rPr>
        <w:t>三-3招标文件规定的其他价格扣除证明材料（若有）</w:t>
      </w:r>
    </w:p>
    <w:p w14:paraId="4A46CB83">
      <w:pPr>
        <w:pStyle w:val="19"/>
        <w:widowControl/>
        <w:rPr>
          <w:color w:val="auto"/>
          <w:highlight w:val="none"/>
        </w:rPr>
      </w:pPr>
      <w:r>
        <w:rPr>
          <w:rFonts w:hint="eastAsia" w:ascii="宋体" w:hAnsi="宋体" w:cs="宋体"/>
          <w:color w:val="auto"/>
          <w:sz w:val="21"/>
          <w:szCs w:val="21"/>
          <w:highlight w:val="none"/>
        </w:rPr>
        <w:t> </w:t>
      </w:r>
    </w:p>
    <w:p w14:paraId="17BB81B8">
      <w:pPr>
        <w:pStyle w:val="19"/>
        <w:widowControl/>
        <w:rPr>
          <w:color w:val="auto"/>
          <w:highlight w:val="none"/>
        </w:rPr>
      </w:pPr>
      <w:r>
        <w:rPr>
          <w:rFonts w:hint="eastAsia" w:ascii="宋体" w:hAnsi="宋体" w:cs="宋体"/>
          <w:color w:val="auto"/>
          <w:sz w:val="21"/>
          <w:szCs w:val="21"/>
          <w:highlight w:val="none"/>
        </w:rPr>
        <w:t> </w:t>
      </w:r>
    </w:p>
    <w:p w14:paraId="14FC786C">
      <w:pPr>
        <w:pStyle w:val="19"/>
        <w:widowControl/>
        <w:jc w:val="center"/>
        <w:rPr>
          <w:color w:val="auto"/>
          <w:highlight w:val="none"/>
        </w:rPr>
      </w:pPr>
      <w:r>
        <w:rPr>
          <w:rFonts w:hint="eastAsia" w:ascii="宋体" w:hAnsi="宋体" w:cs="宋体"/>
          <w:color w:val="auto"/>
          <w:sz w:val="21"/>
          <w:szCs w:val="21"/>
          <w:highlight w:val="none"/>
        </w:rPr>
        <w:t>编制说明</w:t>
      </w:r>
    </w:p>
    <w:p w14:paraId="7F3CFD0E">
      <w:pPr>
        <w:pStyle w:val="19"/>
        <w:widowControl/>
        <w:jc w:val="center"/>
        <w:rPr>
          <w:color w:val="auto"/>
          <w:highlight w:val="none"/>
        </w:rPr>
      </w:pPr>
      <w:r>
        <w:rPr>
          <w:rFonts w:hint="eastAsia" w:ascii="宋体" w:hAnsi="宋体" w:cs="宋体"/>
          <w:color w:val="auto"/>
          <w:sz w:val="21"/>
          <w:szCs w:val="21"/>
          <w:highlight w:val="none"/>
        </w:rPr>
        <w:t> </w:t>
      </w:r>
    </w:p>
    <w:p w14:paraId="05D883F1">
      <w:pPr>
        <w:pStyle w:val="19"/>
        <w:widowControl/>
        <w:ind w:firstLine="420"/>
        <w:rPr>
          <w:color w:val="auto"/>
          <w:highlight w:val="none"/>
        </w:rPr>
      </w:pPr>
      <w:r>
        <w:rPr>
          <w:rFonts w:hint="eastAsia" w:ascii="宋体" w:hAnsi="宋体" w:cs="宋体"/>
          <w:color w:val="auto"/>
          <w:sz w:val="21"/>
          <w:szCs w:val="21"/>
          <w:highlight w:val="none"/>
        </w:rPr>
        <w:t>若投标人可享受招标文件规定的除</w:t>
      </w:r>
      <w:r>
        <w:rPr>
          <w:rStyle w:val="26"/>
          <w:rFonts w:hint="eastAsia" w:ascii="宋体" w:hAnsi="宋体" w:cs="宋体"/>
          <w:color w:val="auto"/>
          <w:sz w:val="21"/>
          <w:szCs w:val="21"/>
          <w:highlight w:val="none"/>
        </w:rPr>
        <w:t>“节能（非强制类）、环境标志产品价格扣除”及“小型、微型企业产品等价格扣除”</w:t>
      </w:r>
      <w:r>
        <w:rPr>
          <w:rFonts w:hint="eastAsia" w:ascii="宋体" w:hAnsi="宋体" w:cs="宋体"/>
          <w:color w:val="auto"/>
          <w:sz w:val="21"/>
          <w:szCs w:val="21"/>
          <w:highlight w:val="none"/>
        </w:rPr>
        <w:t>外的其他价格扣除优惠，则投标人应按照招标文件要求提供相应证明材料。</w:t>
      </w:r>
    </w:p>
    <w:p w14:paraId="17E33D65">
      <w:pPr>
        <w:pStyle w:val="19"/>
        <w:widowControl/>
        <w:rPr>
          <w:color w:val="auto"/>
          <w:highlight w:val="none"/>
        </w:rPr>
      </w:pPr>
      <w:r>
        <w:rPr>
          <w:rFonts w:hint="eastAsia" w:ascii="宋体" w:hAnsi="宋体" w:cs="宋体"/>
          <w:color w:val="auto"/>
          <w:sz w:val="21"/>
          <w:szCs w:val="21"/>
          <w:highlight w:val="none"/>
        </w:rPr>
        <w:t> </w:t>
      </w:r>
    </w:p>
    <w:p w14:paraId="2500775C">
      <w:pPr>
        <w:pStyle w:val="19"/>
        <w:widowControl/>
        <w:spacing w:after="240" w:afterAutospacing="0"/>
        <w:rPr>
          <w:rFonts w:ascii="宋体" w:hAnsi="宋体" w:cs="宋体"/>
          <w:color w:val="auto"/>
          <w:sz w:val="21"/>
          <w:szCs w:val="21"/>
          <w:highlight w:val="none"/>
        </w:rPr>
      </w:pPr>
      <w:r>
        <w:rPr>
          <w:rFonts w:hint="eastAsia" w:ascii="宋体" w:hAnsi="宋体" w:cs="宋体"/>
          <w:color w:val="auto"/>
          <w:sz w:val="21"/>
          <w:szCs w:val="21"/>
          <w:highlight w:val="none"/>
        </w:rPr>
        <w:t> </w:t>
      </w:r>
    </w:p>
    <w:p w14:paraId="6A95820C">
      <w:pPr>
        <w:pStyle w:val="19"/>
        <w:widowControl/>
        <w:spacing w:after="240" w:afterAutospacing="0"/>
        <w:rPr>
          <w:rFonts w:ascii="宋体" w:hAnsi="宋体" w:cs="宋体"/>
          <w:color w:val="auto"/>
          <w:sz w:val="21"/>
          <w:szCs w:val="21"/>
          <w:highlight w:val="none"/>
        </w:rPr>
      </w:pPr>
    </w:p>
    <w:p w14:paraId="5AB0E125">
      <w:pPr>
        <w:pStyle w:val="19"/>
        <w:widowControl/>
        <w:spacing w:after="240" w:afterAutospacing="0"/>
        <w:rPr>
          <w:rFonts w:ascii="宋体" w:hAnsi="宋体" w:cs="宋体"/>
          <w:color w:val="auto"/>
          <w:sz w:val="21"/>
          <w:szCs w:val="21"/>
          <w:highlight w:val="none"/>
        </w:rPr>
      </w:pPr>
    </w:p>
    <w:p w14:paraId="42687E47">
      <w:pPr>
        <w:pStyle w:val="19"/>
        <w:widowControl/>
        <w:spacing w:after="240" w:afterAutospacing="0"/>
        <w:rPr>
          <w:rFonts w:ascii="宋体" w:hAnsi="宋体" w:cs="宋体"/>
          <w:color w:val="auto"/>
          <w:sz w:val="21"/>
          <w:szCs w:val="21"/>
          <w:highlight w:val="none"/>
        </w:rPr>
      </w:pPr>
    </w:p>
    <w:p w14:paraId="538B65D0">
      <w:pPr>
        <w:pStyle w:val="19"/>
        <w:widowControl/>
        <w:jc w:val="center"/>
        <w:rPr>
          <w:color w:val="auto"/>
          <w:highlight w:val="none"/>
        </w:rPr>
      </w:pPr>
      <w:r>
        <w:rPr>
          <w:rStyle w:val="26"/>
          <w:rFonts w:hint="eastAsia" w:ascii="宋体" w:hAnsi="宋体" w:cs="宋体"/>
          <w:color w:val="auto"/>
          <w:sz w:val="21"/>
          <w:szCs w:val="21"/>
          <w:highlight w:val="none"/>
        </w:rPr>
        <w:t>四、招标文件规定的加分证明材料（若有）</w:t>
      </w:r>
    </w:p>
    <w:p w14:paraId="46D76A0E">
      <w:pPr>
        <w:pStyle w:val="19"/>
        <w:widowControl/>
        <w:jc w:val="center"/>
        <w:rPr>
          <w:color w:val="auto"/>
          <w:highlight w:val="none"/>
        </w:rPr>
      </w:pPr>
      <w:r>
        <w:rPr>
          <w:rFonts w:hint="eastAsia" w:ascii="宋体" w:hAnsi="宋体" w:cs="宋体"/>
          <w:color w:val="auto"/>
          <w:sz w:val="21"/>
          <w:szCs w:val="21"/>
          <w:highlight w:val="none"/>
        </w:rPr>
        <w:t> </w:t>
      </w:r>
      <w:r>
        <w:rPr>
          <w:rStyle w:val="26"/>
          <w:rFonts w:hint="eastAsia" w:ascii="宋体" w:hAnsi="宋体" w:cs="宋体"/>
          <w:color w:val="auto"/>
          <w:sz w:val="21"/>
          <w:szCs w:val="21"/>
          <w:highlight w:val="none"/>
        </w:rPr>
        <w:t>四-1优先类节能产品、环境标志产品加分证明材料（若有）</w:t>
      </w:r>
    </w:p>
    <w:p w14:paraId="7F0C3138">
      <w:pPr>
        <w:pStyle w:val="19"/>
        <w:widowControl/>
        <w:jc w:val="center"/>
        <w:rPr>
          <w:color w:val="auto"/>
          <w:highlight w:val="none"/>
        </w:rPr>
      </w:pPr>
      <w:r>
        <w:rPr>
          <w:rStyle w:val="26"/>
          <w:rFonts w:hint="eastAsia" w:ascii="宋体" w:hAnsi="宋体" w:cs="宋体"/>
          <w:color w:val="auto"/>
          <w:sz w:val="21"/>
          <w:szCs w:val="21"/>
          <w:highlight w:val="none"/>
        </w:rPr>
        <w:t>四-1-①优先类节能产品、环境标志产品统计表（加分适用，若有）</w:t>
      </w:r>
    </w:p>
    <w:p w14:paraId="69FBD2A5">
      <w:pPr>
        <w:pStyle w:val="19"/>
        <w:widowControl/>
        <w:rPr>
          <w:color w:val="auto"/>
          <w:highlight w:val="none"/>
        </w:rPr>
      </w:pPr>
      <w:r>
        <w:rPr>
          <w:rFonts w:hint="eastAsia" w:ascii="宋体" w:hAnsi="宋体" w:cs="宋体"/>
          <w:color w:val="auto"/>
          <w:sz w:val="21"/>
          <w:szCs w:val="21"/>
          <w:highlight w:val="none"/>
        </w:rPr>
        <w:t> 项目编号：</w:t>
      </w:r>
      <w:r>
        <w:rPr>
          <w:rFonts w:hint="eastAsia" w:ascii="宋体" w:hAnsi="宋体" w:cs="宋体"/>
          <w:color w:val="auto"/>
          <w:sz w:val="21"/>
          <w:szCs w:val="21"/>
          <w:highlight w:val="none"/>
          <w:u w:val="single"/>
        </w:rPr>
        <w:t>                   </w:t>
      </w:r>
    </w:p>
    <w:p w14:paraId="033FAC55">
      <w:pPr>
        <w:pStyle w:val="19"/>
        <w:widowControl/>
        <w:jc w:val="right"/>
        <w:rPr>
          <w:color w:val="auto"/>
          <w:highlight w:val="none"/>
        </w:rPr>
      </w:pPr>
      <w:r>
        <w:rPr>
          <w:rFonts w:hint="eastAsia" w:ascii="宋体" w:hAnsi="宋体" w:cs="宋体"/>
          <w:color w:val="auto"/>
          <w:sz w:val="21"/>
          <w:szCs w:val="21"/>
          <w:highlight w:val="none"/>
        </w:rPr>
        <w:t>货币及单位：人民币元</w:t>
      </w:r>
    </w:p>
    <w:tbl>
      <w:tblPr>
        <w:tblStyle w:val="23"/>
        <w:tblW w:w="8520" w:type="dxa"/>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219"/>
        <w:gridCol w:w="1215"/>
        <w:gridCol w:w="1209"/>
        <w:gridCol w:w="1221"/>
        <w:gridCol w:w="1209"/>
        <w:gridCol w:w="1222"/>
        <w:gridCol w:w="1225"/>
      </w:tblGrid>
      <w:tr w14:paraId="60EE7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1219" w:type="dxa"/>
            <w:shd w:val="clear" w:color="auto" w:fill="auto"/>
            <w:tcMar>
              <w:top w:w="0" w:type="dxa"/>
              <w:left w:w="105" w:type="dxa"/>
              <w:bottom w:w="0" w:type="dxa"/>
              <w:right w:w="105" w:type="dxa"/>
            </w:tcMar>
            <w:vAlign w:val="center"/>
          </w:tcPr>
          <w:p w14:paraId="2A029CDB">
            <w:pPr>
              <w:widowControl/>
              <w:jc w:val="left"/>
              <w:rPr>
                <w:color w:val="auto"/>
                <w:highlight w:val="none"/>
              </w:rPr>
            </w:pPr>
          </w:p>
        </w:tc>
        <w:tc>
          <w:tcPr>
            <w:tcW w:w="7301" w:type="dxa"/>
            <w:gridSpan w:val="6"/>
            <w:shd w:val="clear" w:color="auto" w:fill="auto"/>
            <w:tcMar>
              <w:top w:w="0" w:type="dxa"/>
              <w:left w:w="105" w:type="dxa"/>
              <w:bottom w:w="0" w:type="dxa"/>
              <w:right w:w="105" w:type="dxa"/>
            </w:tcMar>
            <w:vAlign w:val="center"/>
          </w:tcPr>
          <w:p w14:paraId="388A7E46">
            <w:pPr>
              <w:pStyle w:val="19"/>
              <w:widowControl/>
              <w:jc w:val="center"/>
              <w:rPr>
                <w:color w:val="auto"/>
                <w:highlight w:val="none"/>
              </w:rPr>
            </w:pPr>
            <w:r>
              <w:rPr>
                <w:rFonts w:hint="eastAsia" w:ascii="宋体" w:hAnsi="宋体" w:cs="宋体"/>
                <w:color w:val="auto"/>
                <w:sz w:val="21"/>
                <w:szCs w:val="21"/>
                <w:highlight w:val="none"/>
              </w:rPr>
              <w:t>本采购包内属于节能、环境标志产品的情况</w:t>
            </w:r>
          </w:p>
        </w:tc>
      </w:tr>
      <w:tr w14:paraId="6A6D1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1219" w:type="dxa"/>
            <w:shd w:val="clear" w:color="auto" w:fill="auto"/>
            <w:tcMar>
              <w:top w:w="0" w:type="dxa"/>
              <w:left w:w="105" w:type="dxa"/>
              <w:bottom w:w="0" w:type="dxa"/>
              <w:right w:w="105" w:type="dxa"/>
            </w:tcMar>
            <w:vAlign w:val="center"/>
          </w:tcPr>
          <w:p w14:paraId="0F8089AE">
            <w:pPr>
              <w:pStyle w:val="19"/>
              <w:widowControl/>
              <w:jc w:val="center"/>
              <w:rPr>
                <w:color w:val="auto"/>
                <w:highlight w:val="none"/>
              </w:rPr>
            </w:pPr>
            <w:r>
              <w:rPr>
                <w:rFonts w:hint="eastAsia" w:ascii="宋体" w:hAnsi="宋体" w:cs="宋体"/>
                <w:color w:val="auto"/>
                <w:sz w:val="21"/>
                <w:szCs w:val="21"/>
                <w:highlight w:val="none"/>
              </w:rPr>
              <w:t>采购包</w:t>
            </w:r>
          </w:p>
        </w:tc>
        <w:tc>
          <w:tcPr>
            <w:tcW w:w="1215" w:type="dxa"/>
            <w:shd w:val="clear" w:color="auto" w:fill="auto"/>
            <w:tcMar>
              <w:top w:w="0" w:type="dxa"/>
              <w:left w:w="105" w:type="dxa"/>
              <w:bottom w:w="0" w:type="dxa"/>
              <w:right w:w="105" w:type="dxa"/>
            </w:tcMar>
            <w:vAlign w:val="center"/>
          </w:tcPr>
          <w:p w14:paraId="4AC55B18">
            <w:pPr>
              <w:pStyle w:val="19"/>
              <w:widowControl/>
              <w:jc w:val="center"/>
              <w:rPr>
                <w:color w:val="auto"/>
                <w:highlight w:val="none"/>
              </w:rPr>
            </w:pPr>
            <w:r>
              <w:rPr>
                <w:rFonts w:hint="eastAsia" w:ascii="宋体" w:hAnsi="宋体" w:cs="宋体"/>
                <w:color w:val="auto"/>
                <w:sz w:val="21"/>
                <w:szCs w:val="21"/>
                <w:highlight w:val="none"/>
              </w:rPr>
              <w:t>品目号</w:t>
            </w:r>
          </w:p>
        </w:tc>
        <w:tc>
          <w:tcPr>
            <w:tcW w:w="1209" w:type="dxa"/>
            <w:shd w:val="clear" w:color="auto" w:fill="auto"/>
            <w:tcMar>
              <w:top w:w="0" w:type="dxa"/>
              <w:left w:w="105" w:type="dxa"/>
              <w:bottom w:w="0" w:type="dxa"/>
              <w:right w:w="105" w:type="dxa"/>
            </w:tcMar>
            <w:vAlign w:val="center"/>
          </w:tcPr>
          <w:p w14:paraId="7B47104D">
            <w:pPr>
              <w:pStyle w:val="19"/>
              <w:widowControl/>
              <w:jc w:val="center"/>
              <w:rPr>
                <w:color w:val="auto"/>
                <w:highlight w:val="none"/>
              </w:rPr>
            </w:pPr>
            <w:r>
              <w:rPr>
                <w:rFonts w:hint="eastAsia" w:ascii="宋体" w:hAnsi="宋体" w:cs="宋体"/>
                <w:color w:val="auto"/>
                <w:sz w:val="21"/>
                <w:szCs w:val="21"/>
                <w:highlight w:val="none"/>
              </w:rPr>
              <w:t>货物名称</w:t>
            </w:r>
          </w:p>
        </w:tc>
        <w:tc>
          <w:tcPr>
            <w:tcW w:w="1221" w:type="dxa"/>
            <w:shd w:val="clear" w:color="auto" w:fill="auto"/>
            <w:tcMar>
              <w:top w:w="0" w:type="dxa"/>
              <w:left w:w="105" w:type="dxa"/>
              <w:bottom w:w="0" w:type="dxa"/>
              <w:right w:w="105" w:type="dxa"/>
            </w:tcMar>
            <w:vAlign w:val="center"/>
          </w:tcPr>
          <w:p w14:paraId="0B3108E1">
            <w:pPr>
              <w:pStyle w:val="19"/>
              <w:widowControl/>
              <w:jc w:val="center"/>
              <w:rPr>
                <w:color w:val="auto"/>
                <w:highlight w:val="none"/>
              </w:rPr>
            </w:pPr>
            <w:r>
              <w:rPr>
                <w:rFonts w:hint="eastAsia" w:ascii="宋体" w:hAnsi="宋体" w:cs="宋体"/>
                <w:color w:val="auto"/>
                <w:sz w:val="21"/>
                <w:szCs w:val="21"/>
                <w:highlight w:val="none"/>
              </w:rPr>
              <w:t>单价</w:t>
            </w:r>
          </w:p>
          <w:p w14:paraId="2EA45508">
            <w:pPr>
              <w:pStyle w:val="19"/>
              <w:widowControl/>
              <w:jc w:val="center"/>
              <w:rPr>
                <w:color w:val="auto"/>
                <w:highlight w:val="none"/>
              </w:rPr>
            </w:pPr>
            <w:r>
              <w:rPr>
                <w:rFonts w:hint="eastAsia" w:ascii="宋体" w:hAnsi="宋体" w:cs="宋体"/>
                <w:color w:val="auto"/>
                <w:sz w:val="21"/>
                <w:szCs w:val="21"/>
                <w:highlight w:val="none"/>
              </w:rPr>
              <w:t>（现场）</w:t>
            </w:r>
          </w:p>
        </w:tc>
        <w:tc>
          <w:tcPr>
            <w:tcW w:w="1209" w:type="dxa"/>
            <w:shd w:val="clear" w:color="auto" w:fill="auto"/>
            <w:tcMar>
              <w:top w:w="0" w:type="dxa"/>
              <w:left w:w="105" w:type="dxa"/>
              <w:bottom w:w="0" w:type="dxa"/>
              <w:right w:w="105" w:type="dxa"/>
            </w:tcMar>
            <w:vAlign w:val="center"/>
          </w:tcPr>
          <w:p w14:paraId="747B8A03">
            <w:pPr>
              <w:pStyle w:val="19"/>
              <w:widowControl/>
              <w:jc w:val="center"/>
              <w:rPr>
                <w:color w:val="auto"/>
                <w:highlight w:val="none"/>
              </w:rPr>
            </w:pPr>
            <w:r>
              <w:rPr>
                <w:rFonts w:hint="eastAsia" w:ascii="宋体" w:hAnsi="宋体" w:cs="宋体"/>
                <w:color w:val="auto"/>
                <w:sz w:val="21"/>
                <w:szCs w:val="21"/>
                <w:highlight w:val="none"/>
              </w:rPr>
              <w:t>数量</w:t>
            </w:r>
          </w:p>
        </w:tc>
        <w:tc>
          <w:tcPr>
            <w:tcW w:w="1222" w:type="dxa"/>
            <w:shd w:val="clear" w:color="auto" w:fill="auto"/>
            <w:tcMar>
              <w:top w:w="0" w:type="dxa"/>
              <w:left w:w="105" w:type="dxa"/>
              <w:bottom w:w="0" w:type="dxa"/>
              <w:right w:w="105" w:type="dxa"/>
            </w:tcMar>
            <w:vAlign w:val="center"/>
          </w:tcPr>
          <w:p w14:paraId="7295DD98">
            <w:pPr>
              <w:pStyle w:val="19"/>
              <w:widowControl/>
              <w:jc w:val="center"/>
              <w:rPr>
                <w:color w:val="auto"/>
                <w:highlight w:val="none"/>
              </w:rPr>
            </w:pPr>
            <w:r>
              <w:rPr>
                <w:rFonts w:hint="eastAsia" w:ascii="宋体" w:hAnsi="宋体" w:cs="宋体"/>
                <w:color w:val="auto"/>
                <w:sz w:val="21"/>
                <w:szCs w:val="21"/>
                <w:highlight w:val="none"/>
              </w:rPr>
              <w:t>总价</w:t>
            </w:r>
          </w:p>
          <w:p w14:paraId="4D2F3B7E">
            <w:pPr>
              <w:pStyle w:val="19"/>
              <w:widowControl/>
              <w:jc w:val="center"/>
              <w:rPr>
                <w:color w:val="auto"/>
                <w:highlight w:val="none"/>
              </w:rPr>
            </w:pPr>
            <w:r>
              <w:rPr>
                <w:rFonts w:hint="eastAsia" w:ascii="宋体" w:hAnsi="宋体" w:cs="宋体"/>
                <w:color w:val="auto"/>
                <w:sz w:val="21"/>
                <w:szCs w:val="21"/>
                <w:highlight w:val="none"/>
              </w:rPr>
              <w:t>（现场）</w:t>
            </w:r>
          </w:p>
        </w:tc>
        <w:tc>
          <w:tcPr>
            <w:tcW w:w="1225" w:type="dxa"/>
            <w:shd w:val="clear" w:color="auto" w:fill="auto"/>
            <w:tcMar>
              <w:top w:w="0" w:type="dxa"/>
              <w:left w:w="105" w:type="dxa"/>
              <w:bottom w:w="0" w:type="dxa"/>
              <w:right w:w="105" w:type="dxa"/>
            </w:tcMar>
            <w:vAlign w:val="center"/>
          </w:tcPr>
          <w:p w14:paraId="3BC15F79">
            <w:pPr>
              <w:pStyle w:val="19"/>
              <w:widowControl/>
              <w:jc w:val="center"/>
              <w:rPr>
                <w:color w:val="auto"/>
                <w:highlight w:val="none"/>
              </w:rPr>
            </w:pPr>
            <w:r>
              <w:rPr>
                <w:rFonts w:hint="eastAsia" w:ascii="宋体" w:hAnsi="宋体" w:cs="宋体"/>
                <w:color w:val="auto"/>
                <w:sz w:val="21"/>
                <w:szCs w:val="21"/>
                <w:highlight w:val="none"/>
              </w:rPr>
              <w:t>认证种类</w:t>
            </w:r>
          </w:p>
        </w:tc>
      </w:tr>
      <w:tr w14:paraId="4C6E3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1219" w:type="dxa"/>
            <w:vMerge w:val="restart"/>
            <w:shd w:val="clear" w:color="auto" w:fill="auto"/>
            <w:tcMar>
              <w:top w:w="0" w:type="dxa"/>
              <w:left w:w="105" w:type="dxa"/>
              <w:bottom w:w="0" w:type="dxa"/>
              <w:right w:w="105" w:type="dxa"/>
            </w:tcMar>
            <w:vAlign w:val="center"/>
          </w:tcPr>
          <w:p w14:paraId="1EEBE24D">
            <w:pPr>
              <w:pStyle w:val="19"/>
              <w:widowControl/>
              <w:jc w:val="center"/>
              <w:rPr>
                <w:color w:val="auto"/>
                <w:highlight w:val="none"/>
              </w:rPr>
            </w:pPr>
            <w:r>
              <w:rPr>
                <w:rFonts w:hint="eastAsia" w:ascii="宋体" w:hAnsi="宋体" w:cs="宋体"/>
                <w:color w:val="auto"/>
                <w:sz w:val="21"/>
                <w:szCs w:val="21"/>
                <w:highlight w:val="none"/>
              </w:rPr>
              <w:t>*</w:t>
            </w:r>
          </w:p>
        </w:tc>
        <w:tc>
          <w:tcPr>
            <w:tcW w:w="1215" w:type="dxa"/>
            <w:shd w:val="clear" w:color="auto" w:fill="auto"/>
            <w:tcMar>
              <w:top w:w="0" w:type="dxa"/>
              <w:left w:w="105" w:type="dxa"/>
              <w:bottom w:w="0" w:type="dxa"/>
              <w:right w:w="105" w:type="dxa"/>
            </w:tcMar>
            <w:vAlign w:val="center"/>
          </w:tcPr>
          <w:p w14:paraId="6A715BA4">
            <w:pPr>
              <w:pStyle w:val="19"/>
              <w:widowControl/>
              <w:jc w:val="center"/>
              <w:rPr>
                <w:color w:val="auto"/>
                <w:highlight w:val="none"/>
              </w:rPr>
            </w:pPr>
            <w:r>
              <w:rPr>
                <w:rFonts w:hint="eastAsia" w:ascii="宋体" w:hAnsi="宋体" w:cs="宋体"/>
                <w:color w:val="auto"/>
                <w:sz w:val="21"/>
                <w:szCs w:val="21"/>
                <w:highlight w:val="none"/>
              </w:rPr>
              <w:t>*-1</w:t>
            </w:r>
          </w:p>
        </w:tc>
        <w:tc>
          <w:tcPr>
            <w:tcW w:w="1209" w:type="dxa"/>
            <w:shd w:val="clear" w:color="auto" w:fill="auto"/>
            <w:tcMar>
              <w:top w:w="0" w:type="dxa"/>
              <w:left w:w="105" w:type="dxa"/>
              <w:bottom w:w="0" w:type="dxa"/>
              <w:right w:w="105" w:type="dxa"/>
            </w:tcMar>
            <w:vAlign w:val="center"/>
          </w:tcPr>
          <w:p w14:paraId="6AE5FFBD">
            <w:pPr>
              <w:widowControl/>
              <w:jc w:val="left"/>
              <w:rPr>
                <w:color w:val="auto"/>
                <w:highlight w:val="none"/>
              </w:rPr>
            </w:pPr>
          </w:p>
        </w:tc>
        <w:tc>
          <w:tcPr>
            <w:tcW w:w="1221" w:type="dxa"/>
            <w:shd w:val="clear" w:color="auto" w:fill="auto"/>
            <w:tcMar>
              <w:top w:w="0" w:type="dxa"/>
              <w:left w:w="105" w:type="dxa"/>
              <w:bottom w:w="0" w:type="dxa"/>
              <w:right w:w="105" w:type="dxa"/>
            </w:tcMar>
            <w:vAlign w:val="center"/>
          </w:tcPr>
          <w:p w14:paraId="046EB394">
            <w:pPr>
              <w:widowControl/>
              <w:jc w:val="left"/>
              <w:rPr>
                <w:color w:val="auto"/>
                <w:highlight w:val="none"/>
              </w:rPr>
            </w:pPr>
          </w:p>
        </w:tc>
        <w:tc>
          <w:tcPr>
            <w:tcW w:w="1209" w:type="dxa"/>
            <w:shd w:val="clear" w:color="auto" w:fill="auto"/>
            <w:tcMar>
              <w:top w:w="0" w:type="dxa"/>
              <w:left w:w="105" w:type="dxa"/>
              <w:bottom w:w="0" w:type="dxa"/>
              <w:right w:w="105" w:type="dxa"/>
            </w:tcMar>
            <w:vAlign w:val="center"/>
          </w:tcPr>
          <w:p w14:paraId="7F685F00">
            <w:pPr>
              <w:widowControl/>
              <w:jc w:val="left"/>
              <w:rPr>
                <w:color w:val="auto"/>
                <w:highlight w:val="none"/>
              </w:rPr>
            </w:pPr>
          </w:p>
        </w:tc>
        <w:tc>
          <w:tcPr>
            <w:tcW w:w="1222" w:type="dxa"/>
            <w:shd w:val="clear" w:color="auto" w:fill="auto"/>
            <w:tcMar>
              <w:top w:w="0" w:type="dxa"/>
              <w:left w:w="105" w:type="dxa"/>
              <w:bottom w:w="0" w:type="dxa"/>
              <w:right w:w="105" w:type="dxa"/>
            </w:tcMar>
            <w:vAlign w:val="center"/>
          </w:tcPr>
          <w:p w14:paraId="49C3AD65">
            <w:pPr>
              <w:widowControl/>
              <w:jc w:val="left"/>
              <w:rPr>
                <w:color w:val="auto"/>
                <w:highlight w:val="none"/>
              </w:rPr>
            </w:pPr>
          </w:p>
        </w:tc>
        <w:tc>
          <w:tcPr>
            <w:tcW w:w="1225" w:type="dxa"/>
            <w:shd w:val="clear" w:color="auto" w:fill="auto"/>
            <w:tcMar>
              <w:top w:w="0" w:type="dxa"/>
              <w:left w:w="105" w:type="dxa"/>
              <w:bottom w:w="0" w:type="dxa"/>
              <w:right w:w="105" w:type="dxa"/>
            </w:tcMar>
            <w:vAlign w:val="center"/>
          </w:tcPr>
          <w:p w14:paraId="2953CAA0">
            <w:pPr>
              <w:widowControl/>
              <w:jc w:val="left"/>
              <w:rPr>
                <w:color w:val="auto"/>
                <w:highlight w:val="none"/>
              </w:rPr>
            </w:pPr>
          </w:p>
        </w:tc>
      </w:tr>
      <w:tr w14:paraId="42AAE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1219" w:type="dxa"/>
            <w:vMerge w:val="continue"/>
            <w:shd w:val="clear" w:color="auto" w:fill="auto"/>
            <w:tcMar>
              <w:top w:w="0" w:type="dxa"/>
              <w:left w:w="105" w:type="dxa"/>
              <w:bottom w:w="0" w:type="dxa"/>
              <w:right w:w="105" w:type="dxa"/>
            </w:tcMar>
            <w:vAlign w:val="center"/>
          </w:tcPr>
          <w:p w14:paraId="0D6BFA92">
            <w:pPr>
              <w:rPr>
                <w:rFonts w:ascii="宋体"/>
                <w:color w:val="auto"/>
                <w:sz w:val="24"/>
                <w:highlight w:val="none"/>
              </w:rPr>
            </w:pPr>
          </w:p>
        </w:tc>
        <w:tc>
          <w:tcPr>
            <w:tcW w:w="1215" w:type="dxa"/>
            <w:shd w:val="clear" w:color="auto" w:fill="auto"/>
            <w:tcMar>
              <w:top w:w="0" w:type="dxa"/>
              <w:left w:w="105" w:type="dxa"/>
              <w:bottom w:w="0" w:type="dxa"/>
              <w:right w:w="105" w:type="dxa"/>
            </w:tcMar>
            <w:vAlign w:val="center"/>
          </w:tcPr>
          <w:p w14:paraId="16A0DB21">
            <w:pPr>
              <w:pStyle w:val="19"/>
              <w:widowControl/>
              <w:jc w:val="center"/>
              <w:rPr>
                <w:color w:val="auto"/>
                <w:highlight w:val="none"/>
              </w:rPr>
            </w:pPr>
            <w:r>
              <w:rPr>
                <w:rFonts w:ascii="Calibri" w:hAnsi="Calibri" w:cs="Calibri"/>
                <w:color w:val="auto"/>
                <w:sz w:val="21"/>
                <w:szCs w:val="21"/>
                <w:highlight w:val="none"/>
              </w:rPr>
              <w:t>…</w:t>
            </w:r>
          </w:p>
        </w:tc>
        <w:tc>
          <w:tcPr>
            <w:tcW w:w="1209" w:type="dxa"/>
            <w:shd w:val="clear" w:color="auto" w:fill="auto"/>
            <w:tcMar>
              <w:top w:w="0" w:type="dxa"/>
              <w:left w:w="105" w:type="dxa"/>
              <w:bottom w:w="0" w:type="dxa"/>
              <w:right w:w="105" w:type="dxa"/>
            </w:tcMar>
            <w:vAlign w:val="center"/>
          </w:tcPr>
          <w:p w14:paraId="7D7BC913">
            <w:pPr>
              <w:widowControl/>
              <w:jc w:val="left"/>
              <w:rPr>
                <w:color w:val="auto"/>
                <w:highlight w:val="none"/>
              </w:rPr>
            </w:pPr>
          </w:p>
        </w:tc>
        <w:tc>
          <w:tcPr>
            <w:tcW w:w="1221" w:type="dxa"/>
            <w:shd w:val="clear" w:color="auto" w:fill="auto"/>
            <w:tcMar>
              <w:top w:w="0" w:type="dxa"/>
              <w:left w:w="105" w:type="dxa"/>
              <w:bottom w:w="0" w:type="dxa"/>
              <w:right w:w="105" w:type="dxa"/>
            </w:tcMar>
            <w:vAlign w:val="center"/>
          </w:tcPr>
          <w:p w14:paraId="0AEF2433">
            <w:pPr>
              <w:widowControl/>
              <w:jc w:val="left"/>
              <w:rPr>
                <w:color w:val="auto"/>
                <w:highlight w:val="none"/>
              </w:rPr>
            </w:pPr>
          </w:p>
        </w:tc>
        <w:tc>
          <w:tcPr>
            <w:tcW w:w="1209" w:type="dxa"/>
            <w:shd w:val="clear" w:color="auto" w:fill="auto"/>
            <w:tcMar>
              <w:top w:w="0" w:type="dxa"/>
              <w:left w:w="105" w:type="dxa"/>
              <w:bottom w:w="0" w:type="dxa"/>
              <w:right w:w="105" w:type="dxa"/>
            </w:tcMar>
            <w:vAlign w:val="center"/>
          </w:tcPr>
          <w:p w14:paraId="1BE8B433">
            <w:pPr>
              <w:widowControl/>
              <w:jc w:val="left"/>
              <w:rPr>
                <w:color w:val="auto"/>
                <w:highlight w:val="none"/>
              </w:rPr>
            </w:pPr>
          </w:p>
        </w:tc>
        <w:tc>
          <w:tcPr>
            <w:tcW w:w="1222" w:type="dxa"/>
            <w:shd w:val="clear" w:color="auto" w:fill="auto"/>
            <w:tcMar>
              <w:top w:w="0" w:type="dxa"/>
              <w:left w:w="105" w:type="dxa"/>
              <w:bottom w:w="0" w:type="dxa"/>
              <w:right w:w="105" w:type="dxa"/>
            </w:tcMar>
            <w:vAlign w:val="center"/>
          </w:tcPr>
          <w:p w14:paraId="1F8B6BAF">
            <w:pPr>
              <w:widowControl/>
              <w:jc w:val="left"/>
              <w:rPr>
                <w:color w:val="auto"/>
                <w:highlight w:val="none"/>
              </w:rPr>
            </w:pPr>
          </w:p>
        </w:tc>
        <w:tc>
          <w:tcPr>
            <w:tcW w:w="1225" w:type="dxa"/>
            <w:shd w:val="clear" w:color="auto" w:fill="auto"/>
            <w:tcMar>
              <w:top w:w="0" w:type="dxa"/>
              <w:left w:w="105" w:type="dxa"/>
              <w:bottom w:w="0" w:type="dxa"/>
              <w:right w:w="105" w:type="dxa"/>
            </w:tcMar>
            <w:vAlign w:val="center"/>
          </w:tcPr>
          <w:p w14:paraId="1F7BB9E9">
            <w:pPr>
              <w:widowControl/>
              <w:jc w:val="left"/>
              <w:rPr>
                <w:color w:val="auto"/>
                <w:highlight w:val="none"/>
              </w:rPr>
            </w:pPr>
          </w:p>
        </w:tc>
      </w:tr>
      <w:tr w14:paraId="199BD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1219" w:type="dxa"/>
            <w:shd w:val="clear" w:color="auto" w:fill="auto"/>
            <w:tcMar>
              <w:top w:w="0" w:type="dxa"/>
              <w:left w:w="105" w:type="dxa"/>
              <w:bottom w:w="0" w:type="dxa"/>
              <w:right w:w="105" w:type="dxa"/>
            </w:tcMar>
            <w:vAlign w:val="center"/>
          </w:tcPr>
          <w:p w14:paraId="61E73654">
            <w:pPr>
              <w:pStyle w:val="19"/>
              <w:widowControl/>
              <w:jc w:val="center"/>
              <w:rPr>
                <w:color w:val="auto"/>
                <w:highlight w:val="none"/>
              </w:rPr>
            </w:pPr>
            <w:r>
              <w:rPr>
                <w:rFonts w:hint="eastAsia" w:ascii="宋体" w:hAnsi="宋体" w:cs="宋体"/>
                <w:color w:val="auto"/>
                <w:sz w:val="21"/>
                <w:szCs w:val="21"/>
                <w:highlight w:val="none"/>
              </w:rPr>
              <w:t>备注</w:t>
            </w:r>
          </w:p>
        </w:tc>
        <w:tc>
          <w:tcPr>
            <w:tcW w:w="7301" w:type="dxa"/>
            <w:gridSpan w:val="6"/>
            <w:shd w:val="clear" w:color="auto" w:fill="auto"/>
            <w:tcMar>
              <w:top w:w="0" w:type="dxa"/>
              <w:left w:w="105" w:type="dxa"/>
              <w:bottom w:w="0" w:type="dxa"/>
              <w:right w:w="105" w:type="dxa"/>
            </w:tcMar>
          </w:tcPr>
          <w:p w14:paraId="66E3096A">
            <w:pPr>
              <w:pStyle w:val="19"/>
              <w:widowControl/>
              <w:rPr>
                <w:color w:val="auto"/>
                <w:highlight w:val="none"/>
              </w:rPr>
            </w:pPr>
            <w:r>
              <w:rPr>
                <w:rFonts w:hint="eastAsia" w:ascii="宋体" w:hAnsi="宋体" w:cs="宋体"/>
                <w:color w:val="auto"/>
                <w:sz w:val="21"/>
                <w:szCs w:val="21"/>
                <w:highlight w:val="none"/>
              </w:rPr>
              <w:t>a.采购包内属于节能、环境标志产品的报价总金额：</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w:t>
            </w:r>
          </w:p>
          <w:p w14:paraId="43369F09">
            <w:pPr>
              <w:pStyle w:val="19"/>
              <w:widowControl/>
              <w:rPr>
                <w:color w:val="auto"/>
                <w:highlight w:val="none"/>
              </w:rPr>
            </w:pPr>
            <w:r>
              <w:rPr>
                <w:rFonts w:hint="eastAsia" w:ascii="宋体" w:hAnsi="宋体" w:cs="宋体"/>
                <w:color w:val="auto"/>
                <w:sz w:val="21"/>
                <w:szCs w:val="21"/>
                <w:highlight w:val="none"/>
              </w:rPr>
              <w:t>b.采购包投标总价（报价总金额）：</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w:t>
            </w:r>
          </w:p>
          <w:p w14:paraId="52789233">
            <w:pPr>
              <w:pStyle w:val="19"/>
              <w:widowControl/>
              <w:rPr>
                <w:color w:val="auto"/>
                <w:highlight w:val="none"/>
              </w:rPr>
            </w:pPr>
            <w:r>
              <w:rPr>
                <w:rFonts w:hint="eastAsia" w:ascii="宋体" w:hAnsi="宋体" w:cs="宋体"/>
                <w:color w:val="auto"/>
                <w:sz w:val="21"/>
                <w:szCs w:val="21"/>
                <w:highlight w:val="none"/>
              </w:rPr>
              <w:t>c.“采购包内属于节能、环境标志产品的报价总金额”占“采购包投标总价（报价总金额）”的比例（以</w:t>
            </w:r>
            <w:r>
              <w:rPr>
                <w:rFonts w:ascii="Calibri" w:hAnsi="Calibri" w:cs="Calibri"/>
                <w:color w:val="auto"/>
                <w:sz w:val="21"/>
                <w:szCs w:val="21"/>
                <w:highlight w:val="none"/>
              </w:rPr>
              <w:t>%</w:t>
            </w:r>
            <w:r>
              <w:rPr>
                <w:rFonts w:hint="eastAsia" w:ascii="宋体" w:hAnsi="宋体" w:cs="宋体"/>
                <w:color w:val="auto"/>
                <w:sz w:val="21"/>
                <w:szCs w:val="21"/>
                <w:highlight w:val="none"/>
              </w:rPr>
              <w:t>列示）：</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w:t>
            </w:r>
          </w:p>
        </w:tc>
      </w:tr>
    </w:tbl>
    <w:p w14:paraId="28A997CA">
      <w:pPr>
        <w:pStyle w:val="19"/>
        <w:widowControl/>
        <w:rPr>
          <w:color w:val="auto"/>
          <w:highlight w:val="none"/>
        </w:rPr>
      </w:pPr>
      <w:r>
        <w:rPr>
          <w:rFonts w:hint="eastAsia" w:ascii="宋体" w:hAnsi="宋体" w:cs="宋体"/>
          <w:color w:val="auto"/>
          <w:sz w:val="21"/>
          <w:szCs w:val="21"/>
          <w:highlight w:val="none"/>
        </w:rPr>
        <w:t>※注意：</w:t>
      </w:r>
    </w:p>
    <w:p w14:paraId="4A9C4030">
      <w:pPr>
        <w:pStyle w:val="19"/>
        <w:widowControl/>
        <w:rPr>
          <w:color w:val="auto"/>
          <w:highlight w:val="none"/>
        </w:rPr>
      </w:pPr>
      <w:r>
        <w:rPr>
          <w:rFonts w:hint="eastAsia" w:ascii="宋体" w:hAnsi="宋体" w:cs="宋体"/>
          <w:color w:val="auto"/>
          <w:sz w:val="21"/>
          <w:szCs w:val="21"/>
          <w:highlight w:val="none"/>
        </w:rPr>
        <w:t>1、对节能、环境标志产品计算加分时，只依据投标文件</w:t>
      </w:r>
      <w:r>
        <w:rPr>
          <w:rStyle w:val="26"/>
          <w:rFonts w:hint="eastAsia" w:ascii="宋体" w:hAnsi="宋体" w:cs="宋体"/>
          <w:color w:val="auto"/>
          <w:sz w:val="21"/>
          <w:szCs w:val="21"/>
          <w:highlight w:val="none"/>
        </w:rPr>
        <w:t>“四</w:t>
      </w:r>
      <w:r>
        <w:rPr>
          <w:rStyle w:val="26"/>
          <w:rFonts w:ascii="Calibri" w:hAnsi="Calibri" w:cs="Calibri"/>
          <w:color w:val="auto"/>
          <w:sz w:val="21"/>
          <w:szCs w:val="21"/>
          <w:highlight w:val="none"/>
        </w:rPr>
        <w:t>-1-</w:t>
      </w:r>
      <w:r>
        <w:rPr>
          <w:rStyle w:val="26"/>
          <w:rFonts w:hint="eastAsia" w:ascii="宋体" w:hAnsi="宋体" w:cs="宋体"/>
          <w:color w:val="auto"/>
          <w:sz w:val="21"/>
          <w:szCs w:val="21"/>
          <w:highlight w:val="none"/>
        </w:rPr>
        <w:t>②优先类节能产品、环境标志产品加分证明材料（加分适用，若有）”。</w:t>
      </w:r>
    </w:p>
    <w:p w14:paraId="417F428E">
      <w:pPr>
        <w:pStyle w:val="19"/>
        <w:widowControl/>
        <w:rPr>
          <w:color w:val="auto"/>
          <w:highlight w:val="none"/>
        </w:rPr>
      </w:pPr>
      <w:r>
        <w:rPr>
          <w:rFonts w:hint="eastAsia" w:ascii="宋体" w:hAnsi="宋体" w:cs="宋体"/>
          <w:color w:val="auto"/>
          <w:sz w:val="21"/>
          <w:szCs w:val="21"/>
          <w:highlight w:val="none"/>
        </w:rPr>
        <w:t>2、本表以采购包为单位，不同采购包请分别填写；同一采购包请按照其品目号顺序分别填写。</w:t>
      </w:r>
    </w:p>
    <w:p w14:paraId="447B9A10">
      <w:pPr>
        <w:pStyle w:val="19"/>
        <w:widowControl/>
        <w:rPr>
          <w:color w:val="auto"/>
          <w:highlight w:val="none"/>
        </w:rPr>
      </w:pPr>
      <w:r>
        <w:rPr>
          <w:rFonts w:hint="eastAsia" w:ascii="宋体" w:hAnsi="宋体" w:cs="宋体"/>
          <w:color w:val="auto"/>
          <w:sz w:val="21"/>
          <w:szCs w:val="21"/>
          <w:highlight w:val="none"/>
        </w:rPr>
        <w:t>3、具体统计、计算：</w:t>
      </w:r>
    </w:p>
    <w:p w14:paraId="378694E8">
      <w:pPr>
        <w:pStyle w:val="19"/>
        <w:widowControl/>
        <w:rPr>
          <w:color w:val="auto"/>
          <w:highlight w:val="none"/>
        </w:rPr>
      </w:pPr>
      <w:r>
        <w:rPr>
          <w:rFonts w:hint="eastAsia" w:ascii="宋体" w:hAnsi="宋体" w:cs="宋体"/>
          <w:color w:val="auto"/>
          <w:sz w:val="21"/>
          <w:szCs w:val="21"/>
          <w:highlight w:val="none"/>
        </w:rPr>
        <w:t>3.1</w:t>
      </w:r>
      <w:r>
        <w:rPr>
          <w:rFonts w:ascii="Calibri" w:hAnsi="Calibri" w:cs="Calibri"/>
          <w:color w:val="auto"/>
          <w:sz w:val="21"/>
          <w:szCs w:val="21"/>
          <w:highlight w:val="none"/>
        </w:rPr>
        <w:t> </w:t>
      </w:r>
      <w:r>
        <w:rPr>
          <w:rFonts w:hint="eastAsia" w:ascii="宋体" w:hAnsi="宋体" w:cs="宋体"/>
          <w:color w:val="auto"/>
          <w:sz w:val="21"/>
          <w:szCs w:val="21"/>
          <w:highlight w:val="none"/>
        </w:rPr>
        <w:t>若节能、环境标志产品仅是构成投标产品的部件、组件或零件，则该投标产品不享受鼓励优惠政策。同一品目中各认证证书不重复计算加分。强制类节能产品不享受加分。</w:t>
      </w:r>
    </w:p>
    <w:p w14:paraId="49ACA705">
      <w:pPr>
        <w:pStyle w:val="19"/>
        <w:widowControl/>
        <w:rPr>
          <w:color w:val="auto"/>
          <w:highlight w:val="none"/>
        </w:rPr>
      </w:pPr>
      <w:r>
        <w:rPr>
          <w:rFonts w:hint="eastAsia" w:ascii="宋体" w:hAnsi="宋体" w:cs="宋体"/>
          <w:color w:val="auto"/>
          <w:sz w:val="21"/>
          <w:szCs w:val="21"/>
          <w:highlight w:val="none"/>
        </w:rPr>
        <w:t>3.2计算结果若除不尽，可四舍五入保留到小数点后两位。</w:t>
      </w:r>
    </w:p>
    <w:p w14:paraId="39D7597E">
      <w:pPr>
        <w:pStyle w:val="19"/>
        <w:widowControl/>
        <w:rPr>
          <w:color w:val="auto"/>
          <w:highlight w:val="none"/>
        </w:rPr>
      </w:pPr>
      <w:r>
        <w:rPr>
          <w:rFonts w:hint="eastAsia" w:ascii="宋体" w:hAnsi="宋体" w:cs="宋体"/>
          <w:color w:val="auto"/>
          <w:sz w:val="21"/>
          <w:szCs w:val="21"/>
          <w:highlight w:val="none"/>
        </w:rPr>
        <w:t>3.3投标人应按照招标文件要求认真统计、计算，否则评标委员会不予认定。</w:t>
      </w:r>
    </w:p>
    <w:p w14:paraId="5E299FEE">
      <w:pPr>
        <w:pStyle w:val="19"/>
        <w:widowControl/>
        <w:rPr>
          <w:color w:val="auto"/>
          <w:highlight w:val="none"/>
        </w:rPr>
      </w:pPr>
      <w:r>
        <w:rPr>
          <w:rFonts w:hint="eastAsia" w:ascii="宋体" w:hAnsi="宋体" w:cs="宋体"/>
          <w:color w:val="auto"/>
          <w:sz w:val="21"/>
          <w:szCs w:val="21"/>
          <w:highlight w:val="none"/>
        </w:rPr>
        <w:t>3.4若无节能、环境标志产品，不填写本表，否则，</w:t>
      </w:r>
      <w:r>
        <w:rPr>
          <w:rStyle w:val="26"/>
          <w:rFonts w:hint="eastAsia" w:ascii="宋体" w:hAnsi="宋体" w:cs="宋体"/>
          <w:color w:val="auto"/>
          <w:sz w:val="21"/>
          <w:szCs w:val="21"/>
          <w:highlight w:val="none"/>
        </w:rPr>
        <w:t>视为提供虚假材料</w:t>
      </w:r>
      <w:r>
        <w:rPr>
          <w:rFonts w:hint="eastAsia" w:ascii="宋体" w:hAnsi="宋体" w:cs="宋体"/>
          <w:color w:val="auto"/>
          <w:sz w:val="21"/>
          <w:szCs w:val="21"/>
          <w:highlight w:val="none"/>
        </w:rPr>
        <w:t>。</w:t>
      </w:r>
    </w:p>
    <w:p w14:paraId="34883F33">
      <w:pPr>
        <w:spacing w:line="440" w:lineRule="exact"/>
        <w:ind w:firstLine="480" w:firstLineChars="200"/>
        <w:rPr>
          <w:rFonts w:ascii="宋体" w:hAnsi="宋体" w:cs="宋体"/>
          <w:bCs/>
          <w:color w:val="auto"/>
          <w:sz w:val="24"/>
          <w:highlight w:val="none"/>
          <w:u w:val="single"/>
        </w:rPr>
      </w:pPr>
      <w:r>
        <w:rPr>
          <w:rFonts w:hint="eastAsia" w:ascii="宋体" w:hAnsi="宋体" w:cs="宋体"/>
          <w:bCs/>
          <w:color w:val="auto"/>
          <w:sz w:val="24"/>
          <w:highlight w:val="none"/>
        </w:rPr>
        <w:t>投标人：</w:t>
      </w:r>
      <w:r>
        <w:rPr>
          <w:rFonts w:hint="eastAsia" w:ascii="宋体" w:hAnsi="宋体" w:cs="宋体"/>
          <w:bCs/>
          <w:color w:val="auto"/>
          <w:sz w:val="24"/>
          <w:highlight w:val="none"/>
          <w:u w:val="single"/>
        </w:rPr>
        <w:t>（全称并加盖单位公章）</w:t>
      </w:r>
    </w:p>
    <w:p w14:paraId="7F6215A9">
      <w:pPr>
        <w:spacing w:line="440" w:lineRule="exact"/>
        <w:ind w:firstLine="480" w:firstLineChars="200"/>
        <w:rPr>
          <w:rFonts w:ascii="宋体" w:hAnsi="宋体" w:cs="宋体"/>
          <w:bCs/>
          <w:color w:val="auto"/>
          <w:sz w:val="24"/>
          <w:highlight w:val="none"/>
          <w:u w:val="single"/>
        </w:rPr>
      </w:pPr>
      <w:r>
        <w:rPr>
          <w:rFonts w:hint="eastAsia" w:ascii="宋体" w:hAnsi="宋体" w:cs="宋体"/>
          <w:bCs/>
          <w:color w:val="auto"/>
          <w:sz w:val="24"/>
          <w:highlight w:val="none"/>
        </w:rPr>
        <w:t>投标人代表签字：</w:t>
      </w:r>
      <w:r>
        <w:rPr>
          <w:rFonts w:hint="eastAsia" w:ascii="宋体" w:hAnsi="宋体" w:cs="宋体"/>
          <w:bCs/>
          <w:color w:val="auto"/>
          <w:sz w:val="24"/>
          <w:highlight w:val="none"/>
          <w:u w:val="single"/>
        </w:rPr>
        <w:t xml:space="preserve">          </w:t>
      </w:r>
    </w:p>
    <w:p w14:paraId="00D93DAB">
      <w:pPr>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日期：    年   月   日</w:t>
      </w:r>
    </w:p>
    <w:p w14:paraId="1824049B">
      <w:pPr>
        <w:pStyle w:val="19"/>
        <w:widowControl/>
        <w:jc w:val="center"/>
        <w:rPr>
          <w:color w:val="auto"/>
          <w:highlight w:val="none"/>
        </w:rPr>
      </w:pPr>
      <w:r>
        <w:rPr>
          <w:rStyle w:val="26"/>
          <w:rFonts w:hint="eastAsia" w:ascii="宋体" w:hAnsi="宋体" w:cs="宋体"/>
          <w:color w:val="auto"/>
          <w:sz w:val="21"/>
          <w:szCs w:val="21"/>
          <w:highlight w:val="none"/>
        </w:rPr>
        <w:t>四-1-②优先类节能产品、环境标志产品证明材料（加分适用，若有）</w:t>
      </w:r>
    </w:p>
    <w:p w14:paraId="69EFE80C">
      <w:pPr>
        <w:pStyle w:val="19"/>
        <w:widowControl/>
        <w:jc w:val="center"/>
        <w:rPr>
          <w:rFonts w:ascii="宋体" w:hAnsi="宋体" w:cs="宋体"/>
          <w:color w:val="auto"/>
          <w:sz w:val="21"/>
          <w:szCs w:val="21"/>
          <w:highlight w:val="none"/>
        </w:rPr>
      </w:pPr>
    </w:p>
    <w:p w14:paraId="0D82C629">
      <w:pPr>
        <w:pStyle w:val="19"/>
        <w:widowControl/>
        <w:jc w:val="center"/>
        <w:rPr>
          <w:color w:val="auto"/>
          <w:highlight w:val="none"/>
        </w:rPr>
      </w:pPr>
      <w:r>
        <w:rPr>
          <w:rFonts w:hint="eastAsia" w:ascii="宋体" w:hAnsi="宋体" w:cs="宋体"/>
          <w:color w:val="auto"/>
          <w:sz w:val="21"/>
          <w:szCs w:val="21"/>
          <w:highlight w:val="none"/>
        </w:rPr>
        <w:t>四</w:t>
      </w:r>
      <w:r>
        <w:rPr>
          <w:rStyle w:val="26"/>
          <w:rFonts w:hint="eastAsia" w:ascii="宋体" w:hAnsi="宋体" w:cs="宋体"/>
          <w:color w:val="auto"/>
          <w:sz w:val="21"/>
          <w:szCs w:val="21"/>
          <w:highlight w:val="none"/>
        </w:rPr>
        <w:t>-2招标文件规定的其他加分证明材料（若有）</w:t>
      </w:r>
    </w:p>
    <w:p w14:paraId="5B9541E4">
      <w:pPr>
        <w:pStyle w:val="19"/>
        <w:widowControl/>
        <w:rPr>
          <w:color w:val="auto"/>
          <w:highlight w:val="none"/>
        </w:rPr>
      </w:pPr>
      <w:r>
        <w:rPr>
          <w:rFonts w:hint="eastAsia" w:ascii="宋体" w:hAnsi="宋体" w:cs="宋体"/>
          <w:color w:val="auto"/>
          <w:sz w:val="21"/>
          <w:szCs w:val="21"/>
          <w:highlight w:val="none"/>
        </w:rPr>
        <w:t>  </w:t>
      </w:r>
    </w:p>
    <w:p w14:paraId="5CB1E466">
      <w:pPr>
        <w:pStyle w:val="19"/>
        <w:widowControl/>
        <w:jc w:val="center"/>
        <w:rPr>
          <w:color w:val="auto"/>
          <w:highlight w:val="none"/>
        </w:rPr>
      </w:pPr>
      <w:r>
        <w:rPr>
          <w:rFonts w:hint="eastAsia" w:ascii="宋体" w:hAnsi="宋体" w:cs="宋体"/>
          <w:color w:val="auto"/>
          <w:sz w:val="21"/>
          <w:szCs w:val="21"/>
          <w:highlight w:val="none"/>
        </w:rPr>
        <w:t>编制说明</w:t>
      </w:r>
    </w:p>
    <w:p w14:paraId="7885C8B3">
      <w:pPr>
        <w:pStyle w:val="19"/>
        <w:widowControl/>
        <w:jc w:val="center"/>
        <w:rPr>
          <w:color w:val="auto"/>
          <w:highlight w:val="none"/>
        </w:rPr>
      </w:pPr>
      <w:r>
        <w:rPr>
          <w:rFonts w:hint="eastAsia" w:ascii="宋体" w:hAnsi="宋体" w:cs="宋体"/>
          <w:color w:val="auto"/>
          <w:sz w:val="21"/>
          <w:szCs w:val="21"/>
          <w:highlight w:val="none"/>
        </w:rPr>
        <w:t> </w:t>
      </w:r>
    </w:p>
    <w:p w14:paraId="52F72899">
      <w:pPr>
        <w:pStyle w:val="19"/>
        <w:widowControl/>
        <w:ind w:firstLine="420"/>
        <w:rPr>
          <w:color w:val="auto"/>
          <w:highlight w:val="none"/>
        </w:rPr>
      </w:pPr>
      <w:r>
        <w:rPr>
          <w:rFonts w:hint="eastAsia" w:ascii="宋体" w:hAnsi="宋体" w:cs="宋体"/>
          <w:color w:val="auto"/>
          <w:sz w:val="21"/>
          <w:szCs w:val="21"/>
          <w:highlight w:val="none"/>
        </w:rPr>
        <w:t>若投标人可享受招标文件规定的除</w:t>
      </w:r>
      <w:r>
        <w:rPr>
          <w:rStyle w:val="26"/>
          <w:rFonts w:hint="eastAsia" w:ascii="宋体" w:hAnsi="宋体" w:cs="宋体"/>
          <w:color w:val="auto"/>
          <w:sz w:val="21"/>
          <w:szCs w:val="21"/>
          <w:highlight w:val="none"/>
        </w:rPr>
        <w:t>“优先类节能产品、环境标志产品加分”</w:t>
      </w:r>
      <w:r>
        <w:rPr>
          <w:rFonts w:hint="eastAsia" w:ascii="宋体" w:hAnsi="宋体" w:cs="宋体"/>
          <w:color w:val="auto"/>
          <w:sz w:val="21"/>
          <w:szCs w:val="21"/>
          <w:highlight w:val="none"/>
        </w:rPr>
        <w:t>外的其他加分优惠，则投标人应按照招标文件要求提供相应证明材料。</w:t>
      </w:r>
    </w:p>
    <w:p w14:paraId="7C9025BB">
      <w:pPr>
        <w:pStyle w:val="19"/>
        <w:widowControl/>
        <w:rPr>
          <w:color w:val="auto"/>
          <w:highlight w:val="none"/>
        </w:rPr>
      </w:pPr>
      <w:r>
        <w:rPr>
          <w:rFonts w:hint="eastAsia" w:ascii="宋体" w:hAnsi="宋体" w:cs="宋体"/>
          <w:color w:val="auto"/>
          <w:sz w:val="21"/>
          <w:szCs w:val="21"/>
          <w:highlight w:val="none"/>
        </w:rPr>
        <w:t> </w:t>
      </w:r>
    </w:p>
    <w:p w14:paraId="40410809">
      <w:pPr>
        <w:pStyle w:val="19"/>
        <w:widowControl/>
        <w:rPr>
          <w:color w:val="auto"/>
          <w:highlight w:val="none"/>
        </w:rPr>
      </w:pPr>
      <w:r>
        <w:rPr>
          <w:rFonts w:hint="eastAsia" w:ascii="宋体" w:hAnsi="宋体" w:cs="宋体"/>
          <w:color w:val="auto"/>
          <w:sz w:val="21"/>
          <w:szCs w:val="21"/>
          <w:highlight w:val="none"/>
        </w:rPr>
        <w:t> </w:t>
      </w:r>
    </w:p>
    <w:p w14:paraId="73DAD7DD">
      <w:pPr>
        <w:pStyle w:val="19"/>
        <w:widowControl/>
        <w:rPr>
          <w:color w:val="auto"/>
          <w:highlight w:val="none"/>
        </w:rPr>
      </w:pPr>
    </w:p>
    <w:p w14:paraId="6724BB90">
      <w:pPr>
        <w:pStyle w:val="19"/>
        <w:widowControl/>
        <w:rPr>
          <w:rFonts w:ascii="宋体" w:hAnsi="宋体" w:cs="宋体"/>
          <w:color w:val="auto"/>
          <w:sz w:val="21"/>
          <w:szCs w:val="21"/>
          <w:highlight w:val="none"/>
        </w:rPr>
      </w:pPr>
      <w:r>
        <w:rPr>
          <w:rFonts w:hint="eastAsia" w:ascii="宋体" w:hAnsi="宋体" w:cs="宋体"/>
          <w:color w:val="auto"/>
          <w:sz w:val="21"/>
          <w:szCs w:val="21"/>
          <w:highlight w:val="none"/>
        </w:rPr>
        <w:t> </w:t>
      </w:r>
    </w:p>
    <w:p w14:paraId="6F2D368E">
      <w:pPr>
        <w:pStyle w:val="19"/>
        <w:widowControl/>
        <w:rPr>
          <w:rFonts w:ascii="宋体" w:hAnsi="宋体" w:cs="宋体"/>
          <w:color w:val="auto"/>
          <w:sz w:val="21"/>
          <w:szCs w:val="21"/>
          <w:highlight w:val="none"/>
        </w:rPr>
      </w:pPr>
    </w:p>
    <w:p w14:paraId="091E2DA4">
      <w:pPr>
        <w:pStyle w:val="19"/>
        <w:widowControl/>
        <w:rPr>
          <w:rFonts w:ascii="宋体" w:hAnsi="宋体" w:cs="宋体"/>
          <w:color w:val="auto"/>
          <w:sz w:val="21"/>
          <w:szCs w:val="21"/>
          <w:highlight w:val="none"/>
        </w:rPr>
      </w:pPr>
    </w:p>
    <w:p w14:paraId="704FA482">
      <w:pPr>
        <w:pStyle w:val="19"/>
        <w:widowControl/>
        <w:rPr>
          <w:rFonts w:ascii="宋体" w:hAnsi="宋体" w:cs="宋体"/>
          <w:color w:val="auto"/>
          <w:sz w:val="21"/>
          <w:szCs w:val="21"/>
          <w:highlight w:val="none"/>
        </w:rPr>
      </w:pPr>
    </w:p>
    <w:p w14:paraId="29652B73">
      <w:pPr>
        <w:pStyle w:val="19"/>
        <w:widowControl/>
        <w:rPr>
          <w:rFonts w:ascii="宋体" w:hAnsi="宋体" w:cs="宋体"/>
          <w:color w:val="auto"/>
          <w:sz w:val="21"/>
          <w:szCs w:val="21"/>
          <w:highlight w:val="none"/>
        </w:rPr>
      </w:pPr>
    </w:p>
    <w:p w14:paraId="203D7785">
      <w:pPr>
        <w:pStyle w:val="19"/>
        <w:widowControl/>
        <w:rPr>
          <w:rFonts w:ascii="宋体" w:hAnsi="宋体" w:cs="宋体"/>
          <w:color w:val="auto"/>
          <w:sz w:val="21"/>
          <w:szCs w:val="21"/>
          <w:highlight w:val="none"/>
        </w:rPr>
      </w:pPr>
    </w:p>
    <w:p w14:paraId="6F8B0EC1">
      <w:pPr>
        <w:pStyle w:val="19"/>
        <w:widowControl/>
        <w:rPr>
          <w:rFonts w:ascii="宋体" w:hAnsi="宋体" w:cs="宋体"/>
          <w:color w:val="auto"/>
          <w:sz w:val="21"/>
          <w:szCs w:val="21"/>
          <w:highlight w:val="none"/>
        </w:rPr>
      </w:pPr>
    </w:p>
    <w:p w14:paraId="13DDE71E">
      <w:pPr>
        <w:pStyle w:val="19"/>
        <w:widowControl/>
        <w:rPr>
          <w:rFonts w:ascii="宋体" w:hAnsi="宋体" w:cs="宋体"/>
          <w:color w:val="auto"/>
          <w:sz w:val="21"/>
          <w:szCs w:val="21"/>
          <w:highlight w:val="none"/>
        </w:rPr>
      </w:pPr>
    </w:p>
    <w:p w14:paraId="7AF0FD9D">
      <w:pPr>
        <w:pStyle w:val="19"/>
        <w:widowControl/>
        <w:rPr>
          <w:rFonts w:ascii="宋体" w:hAnsi="宋体" w:cs="宋体"/>
          <w:color w:val="auto"/>
          <w:sz w:val="21"/>
          <w:szCs w:val="21"/>
          <w:highlight w:val="none"/>
        </w:rPr>
      </w:pPr>
    </w:p>
    <w:p w14:paraId="2A69C7CE">
      <w:pPr>
        <w:pStyle w:val="19"/>
        <w:widowControl/>
        <w:rPr>
          <w:rFonts w:ascii="宋体" w:hAnsi="宋体" w:cs="宋体"/>
          <w:color w:val="auto"/>
          <w:sz w:val="21"/>
          <w:szCs w:val="21"/>
          <w:highlight w:val="none"/>
        </w:rPr>
      </w:pPr>
    </w:p>
    <w:p w14:paraId="19183799">
      <w:pPr>
        <w:pStyle w:val="19"/>
        <w:widowControl/>
        <w:rPr>
          <w:rFonts w:ascii="宋体" w:hAnsi="宋体" w:cs="宋体"/>
          <w:color w:val="auto"/>
          <w:sz w:val="21"/>
          <w:szCs w:val="21"/>
          <w:highlight w:val="none"/>
        </w:rPr>
      </w:pPr>
    </w:p>
    <w:p w14:paraId="407E0703">
      <w:pPr>
        <w:pStyle w:val="19"/>
        <w:widowControl/>
        <w:rPr>
          <w:rFonts w:ascii="宋体" w:hAnsi="宋体" w:cs="宋体"/>
          <w:color w:val="auto"/>
          <w:sz w:val="21"/>
          <w:szCs w:val="21"/>
          <w:highlight w:val="none"/>
        </w:rPr>
      </w:pPr>
    </w:p>
    <w:p w14:paraId="456D316E">
      <w:pPr>
        <w:pStyle w:val="19"/>
        <w:widowControl/>
        <w:rPr>
          <w:rFonts w:ascii="宋体" w:hAnsi="宋体" w:cs="宋体"/>
          <w:color w:val="auto"/>
          <w:sz w:val="21"/>
          <w:szCs w:val="21"/>
          <w:highlight w:val="none"/>
        </w:rPr>
      </w:pPr>
    </w:p>
    <w:p w14:paraId="4B25F375">
      <w:pPr>
        <w:pStyle w:val="19"/>
        <w:widowControl/>
        <w:jc w:val="center"/>
        <w:rPr>
          <w:color w:val="auto"/>
          <w:highlight w:val="none"/>
        </w:rPr>
      </w:pPr>
      <w:r>
        <w:rPr>
          <w:rStyle w:val="26"/>
          <w:rFonts w:hint="eastAsia" w:ascii="宋体" w:hAnsi="宋体" w:cs="宋体"/>
          <w:color w:val="auto"/>
          <w:sz w:val="28"/>
          <w:szCs w:val="28"/>
          <w:highlight w:val="none"/>
        </w:rPr>
        <w:t>封面格式</w:t>
      </w:r>
    </w:p>
    <w:p w14:paraId="0A041A61">
      <w:pPr>
        <w:pStyle w:val="19"/>
        <w:widowControl/>
        <w:rPr>
          <w:color w:val="auto"/>
          <w:highlight w:val="none"/>
        </w:rPr>
      </w:pPr>
      <w:r>
        <w:rPr>
          <w:rFonts w:hint="eastAsia" w:ascii="宋体" w:hAnsi="宋体" w:cs="宋体"/>
          <w:color w:val="auto"/>
          <w:sz w:val="36"/>
          <w:szCs w:val="36"/>
          <w:highlight w:val="none"/>
        </w:rPr>
        <w:t>  </w:t>
      </w:r>
    </w:p>
    <w:p w14:paraId="64E1BD7C">
      <w:pPr>
        <w:pStyle w:val="19"/>
        <w:widowControl/>
        <w:jc w:val="center"/>
        <w:rPr>
          <w:color w:val="auto"/>
          <w:highlight w:val="none"/>
        </w:rPr>
      </w:pPr>
      <w:r>
        <w:rPr>
          <w:rStyle w:val="26"/>
          <w:rFonts w:hint="eastAsia" w:ascii="宋体" w:hAnsi="宋体" w:cs="宋体"/>
          <w:color w:val="auto"/>
          <w:sz w:val="48"/>
          <w:szCs w:val="48"/>
          <w:highlight w:val="none"/>
        </w:rPr>
        <w:t>政府采购投标文件</w:t>
      </w:r>
    </w:p>
    <w:p w14:paraId="4FC60022">
      <w:pPr>
        <w:pStyle w:val="19"/>
        <w:widowControl/>
        <w:jc w:val="center"/>
        <w:rPr>
          <w:color w:val="auto"/>
          <w:highlight w:val="none"/>
        </w:rPr>
      </w:pPr>
      <w:r>
        <w:rPr>
          <w:rStyle w:val="26"/>
          <w:rFonts w:hint="eastAsia" w:ascii="宋体" w:hAnsi="宋体" w:cs="宋体"/>
          <w:color w:val="auto"/>
          <w:sz w:val="48"/>
          <w:szCs w:val="48"/>
          <w:highlight w:val="none"/>
        </w:rPr>
        <w:t>（技术商务部分）</w:t>
      </w:r>
    </w:p>
    <w:p w14:paraId="5DE8D4C6">
      <w:pPr>
        <w:pStyle w:val="19"/>
        <w:widowControl/>
        <w:rPr>
          <w:color w:val="auto"/>
          <w:highlight w:val="none"/>
        </w:rPr>
      </w:pPr>
      <w:r>
        <w:rPr>
          <w:rFonts w:hint="eastAsia" w:ascii="宋体" w:hAnsi="宋体" w:cs="宋体"/>
          <w:color w:val="auto"/>
          <w:sz w:val="36"/>
          <w:szCs w:val="36"/>
          <w:highlight w:val="none"/>
        </w:rPr>
        <w:t> </w:t>
      </w:r>
    </w:p>
    <w:p w14:paraId="5F8D081C">
      <w:pPr>
        <w:pStyle w:val="19"/>
        <w:widowControl/>
        <w:jc w:val="center"/>
        <w:rPr>
          <w:color w:val="auto"/>
          <w:highlight w:val="none"/>
        </w:rPr>
      </w:pPr>
      <w:r>
        <w:rPr>
          <w:rStyle w:val="26"/>
          <w:rFonts w:hint="eastAsia" w:ascii="宋体" w:hAnsi="宋体" w:cs="宋体"/>
          <w:color w:val="auto"/>
          <w:sz w:val="36"/>
          <w:szCs w:val="36"/>
          <w:highlight w:val="none"/>
          <w:u w:val="single"/>
        </w:rPr>
        <w:t>（填写正本或副本）</w:t>
      </w:r>
    </w:p>
    <w:p w14:paraId="2CEF12BF">
      <w:pPr>
        <w:pStyle w:val="19"/>
        <w:widowControl/>
        <w:rPr>
          <w:color w:val="auto"/>
          <w:highlight w:val="none"/>
        </w:rPr>
      </w:pPr>
      <w:r>
        <w:rPr>
          <w:rFonts w:hint="eastAsia" w:ascii="宋体" w:hAnsi="宋体" w:cs="宋体"/>
          <w:color w:val="auto"/>
          <w:sz w:val="36"/>
          <w:szCs w:val="36"/>
          <w:highlight w:val="none"/>
        </w:rPr>
        <w:t> </w:t>
      </w:r>
    </w:p>
    <w:p w14:paraId="4550930A">
      <w:pPr>
        <w:pStyle w:val="19"/>
        <w:widowControl/>
        <w:ind w:firstLine="1920"/>
        <w:rPr>
          <w:color w:val="auto"/>
          <w:highlight w:val="none"/>
        </w:rPr>
      </w:pPr>
      <w:r>
        <w:rPr>
          <w:rStyle w:val="26"/>
          <w:rFonts w:hint="eastAsia" w:ascii="宋体" w:hAnsi="宋体" w:cs="宋体"/>
          <w:color w:val="auto"/>
          <w:sz w:val="31"/>
          <w:szCs w:val="31"/>
          <w:highlight w:val="none"/>
        </w:rPr>
        <w:t>项目名称：</w:t>
      </w:r>
      <w:r>
        <w:rPr>
          <w:rStyle w:val="26"/>
          <w:rFonts w:hint="eastAsia" w:ascii="宋体" w:hAnsi="宋体" w:cs="宋体"/>
          <w:color w:val="auto"/>
          <w:sz w:val="31"/>
          <w:szCs w:val="31"/>
          <w:highlight w:val="none"/>
          <w:u w:val="single"/>
        </w:rPr>
        <w:t>（由投标人填写）</w:t>
      </w:r>
    </w:p>
    <w:p w14:paraId="6D3473DE">
      <w:pPr>
        <w:pStyle w:val="19"/>
        <w:widowControl/>
        <w:ind w:firstLine="1920"/>
        <w:rPr>
          <w:color w:val="auto"/>
          <w:highlight w:val="none"/>
        </w:rPr>
      </w:pPr>
      <w:r>
        <w:rPr>
          <w:rStyle w:val="26"/>
          <w:rFonts w:hint="eastAsia" w:ascii="宋体" w:hAnsi="宋体" w:cs="宋体"/>
          <w:color w:val="auto"/>
          <w:sz w:val="31"/>
          <w:szCs w:val="31"/>
          <w:highlight w:val="none"/>
        </w:rPr>
        <w:t>项目编号：</w:t>
      </w:r>
      <w:r>
        <w:rPr>
          <w:rStyle w:val="26"/>
          <w:rFonts w:hint="eastAsia" w:ascii="宋体" w:hAnsi="宋体" w:cs="宋体"/>
          <w:color w:val="auto"/>
          <w:sz w:val="31"/>
          <w:szCs w:val="31"/>
          <w:highlight w:val="none"/>
          <w:u w:val="single"/>
        </w:rPr>
        <w:t>（由投标人填写）</w:t>
      </w:r>
    </w:p>
    <w:p w14:paraId="1EE5AA5C">
      <w:pPr>
        <w:pStyle w:val="19"/>
        <w:widowControl/>
        <w:ind w:firstLine="1920"/>
        <w:rPr>
          <w:color w:val="auto"/>
          <w:highlight w:val="none"/>
        </w:rPr>
      </w:pPr>
      <w:r>
        <w:rPr>
          <w:rStyle w:val="26"/>
          <w:rFonts w:hint="eastAsia" w:ascii="宋体" w:hAnsi="宋体" w:cs="宋体"/>
          <w:color w:val="auto"/>
          <w:sz w:val="31"/>
          <w:szCs w:val="31"/>
          <w:highlight w:val="none"/>
        </w:rPr>
        <w:t>所投采购包：</w:t>
      </w:r>
      <w:r>
        <w:rPr>
          <w:rStyle w:val="26"/>
          <w:rFonts w:hint="eastAsia" w:ascii="宋体" w:hAnsi="宋体" w:cs="宋体"/>
          <w:color w:val="auto"/>
          <w:sz w:val="31"/>
          <w:szCs w:val="31"/>
          <w:highlight w:val="none"/>
          <w:u w:val="single"/>
        </w:rPr>
        <w:t>（由投标人填写）</w:t>
      </w:r>
    </w:p>
    <w:p w14:paraId="51F6806E">
      <w:pPr>
        <w:pStyle w:val="19"/>
        <w:widowControl/>
        <w:rPr>
          <w:rFonts w:ascii="宋体" w:hAnsi="宋体" w:cs="宋体"/>
          <w:color w:val="auto"/>
          <w:sz w:val="36"/>
          <w:szCs w:val="36"/>
          <w:highlight w:val="none"/>
        </w:rPr>
      </w:pPr>
      <w:r>
        <w:rPr>
          <w:rFonts w:hint="eastAsia" w:ascii="宋体" w:hAnsi="宋体" w:cs="宋体"/>
          <w:color w:val="auto"/>
          <w:sz w:val="36"/>
          <w:szCs w:val="36"/>
          <w:highlight w:val="none"/>
        </w:rPr>
        <w:t>  </w:t>
      </w:r>
    </w:p>
    <w:p w14:paraId="641AACCF">
      <w:pPr>
        <w:pStyle w:val="19"/>
        <w:widowControl/>
        <w:rPr>
          <w:rFonts w:ascii="宋体" w:hAnsi="宋体" w:cs="宋体"/>
          <w:color w:val="auto"/>
          <w:sz w:val="36"/>
          <w:szCs w:val="36"/>
          <w:highlight w:val="none"/>
        </w:rPr>
      </w:pPr>
    </w:p>
    <w:p w14:paraId="22E21A40">
      <w:pPr>
        <w:pStyle w:val="19"/>
        <w:widowControl/>
        <w:jc w:val="center"/>
        <w:rPr>
          <w:color w:val="auto"/>
          <w:highlight w:val="none"/>
        </w:rPr>
      </w:pPr>
      <w:r>
        <w:rPr>
          <w:rStyle w:val="26"/>
          <w:rFonts w:hint="eastAsia" w:ascii="宋体" w:hAnsi="宋体" w:cs="宋体"/>
          <w:color w:val="auto"/>
          <w:sz w:val="31"/>
          <w:szCs w:val="31"/>
          <w:highlight w:val="none"/>
        </w:rPr>
        <w:t>投标人：</w:t>
      </w:r>
      <w:r>
        <w:rPr>
          <w:rStyle w:val="26"/>
          <w:rFonts w:hint="eastAsia" w:ascii="宋体" w:hAnsi="宋体" w:cs="宋体"/>
          <w:color w:val="auto"/>
          <w:sz w:val="31"/>
          <w:szCs w:val="31"/>
          <w:highlight w:val="none"/>
          <w:u w:val="single"/>
        </w:rPr>
        <w:t>（填写“全称”）</w:t>
      </w:r>
    </w:p>
    <w:p w14:paraId="4911C9BA">
      <w:pPr>
        <w:pStyle w:val="19"/>
        <w:widowControl/>
        <w:jc w:val="center"/>
        <w:rPr>
          <w:color w:val="auto"/>
          <w:highlight w:val="none"/>
        </w:rPr>
      </w:pPr>
      <w:r>
        <w:rPr>
          <w:rStyle w:val="26"/>
          <w:rFonts w:hint="eastAsia" w:ascii="宋体" w:hAnsi="宋体" w:cs="宋体"/>
          <w:color w:val="auto"/>
          <w:sz w:val="31"/>
          <w:szCs w:val="31"/>
          <w:highlight w:val="none"/>
          <w:u w:val="single"/>
        </w:rPr>
        <w:t>（由投标人填写）</w:t>
      </w:r>
      <w:r>
        <w:rPr>
          <w:rStyle w:val="26"/>
          <w:rFonts w:hint="eastAsia" w:ascii="宋体" w:hAnsi="宋体" w:cs="宋体"/>
          <w:color w:val="auto"/>
          <w:sz w:val="31"/>
          <w:szCs w:val="31"/>
          <w:highlight w:val="none"/>
        </w:rPr>
        <w:t>年</w:t>
      </w:r>
      <w:r>
        <w:rPr>
          <w:rStyle w:val="26"/>
          <w:rFonts w:hint="eastAsia" w:ascii="宋体" w:hAnsi="宋体" w:cs="宋体"/>
          <w:color w:val="auto"/>
          <w:sz w:val="31"/>
          <w:szCs w:val="31"/>
          <w:highlight w:val="none"/>
          <w:u w:val="single"/>
        </w:rPr>
        <w:t>（由投标人填写）</w:t>
      </w:r>
      <w:r>
        <w:rPr>
          <w:rStyle w:val="26"/>
          <w:rFonts w:hint="eastAsia" w:ascii="宋体" w:hAnsi="宋体" w:cs="宋体"/>
          <w:color w:val="auto"/>
          <w:sz w:val="31"/>
          <w:szCs w:val="31"/>
          <w:highlight w:val="none"/>
        </w:rPr>
        <w:t>月</w:t>
      </w:r>
    </w:p>
    <w:p w14:paraId="2BF6E7B2">
      <w:pPr>
        <w:pStyle w:val="19"/>
        <w:widowControl/>
        <w:rPr>
          <w:color w:val="auto"/>
          <w:highlight w:val="none"/>
        </w:rPr>
      </w:pPr>
      <w:r>
        <w:rPr>
          <w:rFonts w:hint="eastAsia" w:ascii="宋体" w:hAnsi="宋体" w:cs="宋体"/>
          <w:color w:val="auto"/>
          <w:sz w:val="21"/>
          <w:szCs w:val="21"/>
          <w:highlight w:val="none"/>
        </w:rPr>
        <w:t> </w:t>
      </w:r>
    </w:p>
    <w:p w14:paraId="09DC0EEF">
      <w:pPr>
        <w:pStyle w:val="19"/>
        <w:widowControl/>
        <w:rPr>
          <w:color w:val="auto"/>
          <w:highlight w:val="none"/>
        </w:rPr>
      </w:pPr>
      <w:r>
        <w:rPr>
          <w:rFonts w:hint="eastAsia" w:ascii="宋体" w:hAnsi="宋体" w:cs="宋体"/>
          <w:color w:val="auto"/>
          <w:sz w:val="21"/>
          <w:szCs w:val="21"/>
          <w:highlight w:val="none"/>
        </w:rPr>
        <w:t> </w:t>
      </w:r>
    </w:p>
    <w:p w14:paraId="7CD409C8">
      <w:pPr>
        <w:pStyle w:val="19"/>
        <w:widowControl/>
        <w:jc w:val="center"/>
        <w:rPr>
          <w:rStyle w:val="26"/>
          <w:rFonts w:ascii="宋体" w:hAnsi="宋体" w:cs="宋体"/>
          <w:color w:val="auto"/>
          <w:sz w:val="28"/>
          <w:szCs w:val="28"/>
          <w:highlight w:val="none"/>
        </w:rPr>
      </w:pPr>
    </w:p>
    <w:p w14:paraId="56173871">
      <w:pPr>
        <w:pStyle w:val="19"/>
        <w:widowControl/>
        <w:jc w:val="center"/>
        <w:rPr>
          <w:color w:val="auto"/>
          <w:highlight w:val="none"/>
        </w:rPr>
      </w:pPr>
      <w:r>
        <w:rPr>
          <w:rStyle w:val="26"/>
          <w:rFonts w:hint="eastAsia" w:ascii="宋体" w:hAnsi="宋体" w:cs="宋体"/>
          <w:color w:val="auto"/>
          <w:sz w:val="28"/>
          <w:szCs w:val="28"/>
          <w:highlight w:val="none"/>
        </w:rPr>
        <w:t>索引</w:t>
      </w:r>
    </w:p>
    <w:p w14:paraId="6C1AA22D">
      <w:pPr>
        <w:pStyle w:val="19"/>
        <w:widowControl/>
        <w:rPr>
          <w:color w:val="auto"/>
          <w:highlight w:val="none"/>
        </w:rPr>
      </w:pPr>
      <w:r>
        <w:rPr>
          <w:rFonts w:hint="eastAsia" w:ascii="宋体" w:hAnsi="宋体" w:cs="宋体"/>
          <w:color w:val="auto"/>
          <w:sz w:val="28"/>
          <w:szCs w:val="28"/>
          <w:highlight w:val="none"/>
        </w:rPr>
        <w:t>一、标的说明一览表</w:t>
      </w:r>
    </w:p>
    <w:p w14:paraId="3D08B0D5">
      <w:pPr>
        <w:pStyle w:val="19"/>
        <w:widowControl/>
        <w:rPr>
          <w:color w:val="auto"/>
          <w:highlight w:val="none"/>
        </w:rPr>
      </w:pPr>
      <w:r>
        <w:rPr>
          <w:rFonts w:hint="eastAsia" w:ascii="宋体" w:hAnsi="宋体" w:cs="宋体"/>
          <w:color w:val="auto"/>
          <w:sz w:val="28"/>
          <w:szCs w:val="28"/>
          <w:highlight w:val="none"/>
        </w:rPr>
        <w:t>二、技术和服务要求响应表</w:t>
      </w:r>
    </w:p>
    <w:p w14:paraId="588F18F9">
      <w:pPr>
        <w:pStyle w:val="19"/>
        <w:widowControl/>
        <w:rPr>
          <w:color w:val="auto"/>
          <w:highlight w:val="none"/>
        </w:rPr>
      </w:pPr>
      <w:r>
        <w:rPr>
          <w:rFonts w:hint="eastAsia" w:ascii="宋体" w:hAnsi="宋体" w:cs="宋体"/>
          <w:color w:val="auto"/>
          <w:sz w:val="28"/>
          <w:szCs w:val="28"/>
          <w:highlight w:val="none"/>
        </w:rPr>
        <w:t>三、商务条件响应表</w:t>
      </w:r>
    </w:p>
    <w:p w14:paraId="5A6A0692">
      <w:pPr>
        <w:pStyle w:val="19"/>
        <w:widowControl/>
        <w:rPr>
          <w:color w:val="auto"/>
          <w:highlight w:val="none"/>
        </w:rPr>
      </w:pPr>
      <w:r>
        <w:rPr>
          <w:rFonts w:hint="eastAsia" w:ascii="宋体" w:hAnsi="宋体" w:cs="宋体"/>
          <w:color w:val="auto"/>
          <w:sz w:val="28"/>
          <w:szCs w:val="28"/>
          <w:highlight w:val="none"/>
        </w:rPr>
        <w:t>四、投标人提交的其他资料（若有）</w:t>
      </w:r>
    </w:p>
    <w:p w14:paraId="20089034">
      <w:pPr>
        <w:pStyle w:val="19"/>
        <w:widowControl/>
        <w:rPr>
          <w:color w:val="auto"/>
          <w:highlight w:val="none"/>
        </w:rPr>
      </w:pPr>
      <w:r>
        <w:rPr>
          <w:rFonts w:hint="eastAsia" w:ascii="宋体" w:hAnsi="宋体" w:cs="宋体"/>
          <w:color w:val="auto"/>
          <w:sz w:val="21"/>
          <w:szCs w:val="21"/>
          <w:highlight w:val="none"/>
        </w:rPr>
        <w:t> </w:t>
      </w:r>
    </w:p>
    <w:p w14:paraId="221ABA19">
      <w:pPr>
        <w:pStyle w:val="19"/>
        <w:widowControl/>
        <w:rPr>
          <w:color w:val="auto"/>
          <w:highlight w:val="none"/>
        </w:rPr>
      </w:pPr>
      <w:r>
        <w:rPr>
          <w:rFonts w:hint="eastAsia" w:ascii="宋体" w:hAnsi="宋体" w:cs="宋体"/>
          <w:color w:val="auto"/>
          <w:sz w:val="21"/>
          <w:szCs w:val="21"/>
          <w:highlight w:val="none"/>
        </w:rPr>
        <w:t> </w:t>
      </w:r>
    </w:p>
    <w:p w14:paraId="7313AA76">
      <w:pPr>
        <w:pStyle w:val="19"/>
        <w:widowControl/>
        <w:jc w:val="center"/>
        <w:rPr>
          <w:color w:val="auto"/>
          <w:highlight w:val="none"/>
        </w:rPr>
      </w:pPr>
      <w:r>
        <w:rPr>
          <w:rFonts w:hint="eastAsia" w:ascii="宋体" w:hAnsi="宋体" w:cs="宋体"/>
          <w:color w:val="auto"/>
          <w:sz w:val="21"/>
          <w:szCs w:val="21"/>
          <w:highlight w:val="none"/>
        </w:rPr>
        <w:t>※注意</w:t>
      </w:r>
    </w:p>
    <w:p w14:paraId="115197E2">
      <w:pPr>
        <w:pStyle w:val="19"/>
        <w:widowControl/>
        <w:ind w:firstLine="420"/>
        <w:rPr>
          <w:rFonts w:ascii="宋体" w:hAnsi="宋体" w:cs="宋体"/>
          <w:color w:val="auto"/>
          <w:sz w:val="21"/>
          <w:szCs w:val="21"/>
          <w:highlight w:val="none"/>
        </w:rPr>
      </w:pPr>
      <w:r>
        <w:rPr>
          <w:rFonts w:hint="eastAsia" w:ascii="宋体" w:hAnsi="宋体" w:cs="宋体"/>
          <w:color w:val="auto"/>
          <w:sz w:val="21"/>
          <w:szCs w:val="21"/>
          <w:highlight w:val="none"/>
        </w:rPr>
        <w:t>技术商务部分中不得出现报价部分的全部或部分的投标报价信息（或组成资料），否则</w:t>
      </w:r>
      <w:r>
        <w:rPr>
          <w:rStyle w:val="26"/>
          <w:rFonts w:hint="eastAsia" w:ascii="宋体" w:hAnsi="宋体" w:cs="宋体"/>
          <w:color w:val="auto"/>
          <w:sz w:val="21"/>
          <w:szCs w:val="21"/>
          <w:highlight w:val="none"/>
        </w:rPr>
        <w:t>符合性审查不合格</w:t>
      </w:r>
      <w:r>
        <w:rPr>
          <w:rFonts w:hint="eastAsia" w:ascii="宋体" w:hAnsi="宋体" w:cs="宋体"/>
          <w:color w:val="auto"/>
          <w:sz w:val="21"/>
          <w:szCs w:val="21"/>
          <w:highlight w:val="none"/>
        </w:rPr>
        <w:t>。</w:t>
      </w:r>
    </w:p>
    <w:p w14:paraId="5C5866A1">
      <w:pPr>
        <w:pStyle w:val="19"/>
        <w:widowControl/>
        <w:ind w:firstLine="420"/>
        <w:rPr>
          <w:rFonts w:ascii="宋体" w:hAnsi="宋体" w:cs="宋体"/>
          <w:color w:val="auto"/>
          <w:sz w:val="21"/>
          <w:szCs w:val="21"/>
          <w:highlight w:val="none"/>
        </w:rPr>
      </w:pPr>
    </w:p>
    <w:p w14:paraId="0931D54A">
      <w:pPr>
        <w:pStyle w:val="19"/>
        <w:widowControl/>
        <w:ind w:firstLine="420"/>
        <w:rPr>
          <w:rFonts w:ascii="宋体" w:hAnsi="宋体" w:cs="宋体"/>
          <w:color w:val="auto"/>
          <w:sz w:val="21"/>
          <w:szCs w:val="21"/>
          <w:highlight w:val="none"/>
        </w:rPr>
      </w:pPr>
    </w:p>
    <w:p w14:paraId="2031B0E4">
      <w:pPr>
        <w:pStyle w:val="19"/>
        <w:widowControl/>
        <w:ind w:firstLine="420"/>
        <w:rPr>
          <w:rFonts w:ascii="宋体" w:hAnsi="宋体" w:cs="宋体"/>
          <w:color w:val="auto"/>
          <w:sz w:val="21"/>
          <w:szCs w:val="21"/>
          <w:highlight w:val="none"/>
        </w:rPr>
      </w:pPr>
    </w:p>
    <w:p w14:paraId="30F9C996">
      <w:pPr>
        <w:pStyle w:val="19"/>
        <w:widowControl/>
        <w:ind w:firstLine="420"/>
        <w:rPr>
          <w:rFonts w:ascii="宋体" w:hAnsi="宋体" w:cs="宋体"/>
          <w:color w:val="auto"/>
          <w:sz w:val="21"/>
          <w:szCs w:val="21"/>
          <w:highlight w:val="none"/>
        </w:rPr>
      </w:pPr>
    </w:p>
    <w:p w14:paraId="2BE9B271">
      <w:pPr>
        <w:pStyle w:val="19"/>
        <w:widowControl/>
        <w:ind w:firstLine="420"/>
        <w:rPr>
          <w:rFonts w:ascii="宋体" w:hAnsi="宋体" w:cs="宋体"/>
          <w:color w:val="auto"/>
          <w:sz w:val="21"/>
          <w:szCs w:val="21"/>
          <w:highlight w:val="none"/>
        </w:rPr>
      </w:pPr>
    </w:p>
    <w:p w14:paraId="29D91B7B">
      <w:pPr>
        <w:pStyle w:val="19"/>
        <w:widowControl/>
        <w:ind w:firstLine="420"/>
        <w:rPr>
          <w:rFonts w:ascii="宋体" w:hAnsi="宋体" w:cs="宋体"/>
          <w:color w:val="auto"/>
          <w:sz w:val="21"/>
          <w:szCs w:val="21"/>
          <w:highlight w:val="none"/>
        </w:rPr>
      </w:pPr>
    </w:p>
    <w:p w14:paraId="4BB0C5D9">
      <w:pPr>
        <w:pStyle w:val="19"/>
        <w:widowControl/>
        <w:ind w:firstLine="420"/>
        <w:rPr>
          <w:rFonts w:ascii="宋体" w:hAnsi="宋体" w:cs="宋体"/>
          <w:color w:val="auto"/>
          <w:sz w:val="21"/>
          <w:szCs w:val="21"/>
          <w:highlight w:val="none"/>
        </w:rPr>
      </w:pPr>
    </w:p>
    <w:p w14:paraId="57BA5875">
      <w:pPr>
        <w:pStyle w:val="19"/>
        <w:widowControl/>
        <w:ind w:firstLine="420"/>
        <w:rPr>
          <w:rFonts w:ascii="宋体" w:hAnsi="宋体" w:cs="宋体"/>
          <w:color w:val="auto"/>
          <w:sz w:val="21"/>
          <w:szCs w:val="21"/>
          <w:highlight w:val="none"/>
        </w:rPr>
      </w:pPr>
    </w:p>
    <w:p w14:paraId="1A233AB0">
      <w:pPr>
        <w:pStyle w:val="19"/>
        <w:widowControl/>
        <w:ind w:firstLine="420"/>
        <w:rPr>
          <w:rFonts w:ascii="宋体" w:hAnsi="宋体" w:cs="宋体"/>
          <w:color w:val="auto"/>
          <w:sz w:val="21"/>
          <w:szCs w:val="21"/>
          <w:highlight w:val="none"/>
        </w:rPr>
      </w:pPr>
    </w:p>
    <w:p w14:paraId="7F78D833">
      <w:pPr>
        <w:pStyle w:val="19"/>
        <w:widowControl/>
        <w:ind w:firstLine="420"/>
        <w:rPr>
          <w:color w:val="auto"/>
          <w:highlight w:val="none"/>
        </w:rPr>
      </w:pPr>
      <w:r>
        <w:rPr>
          <w:rFonts w:hint="eastAsia" w:ascii="宋体" w:hAnsi="宋体" w:cs="宋体"/>
          <w:color w:val="auto"/>
          <w:sz w:val="21"/>
          <w:szCs w:val="21"/>
          <w:highlight w:val="none"/>
        </w:rPr>
        <w:t> </w:t>
      </w:r>
    </w:p>
    <w:p w14:paraId="140F2CAC">
      <w:pPr>
        <w:pStyle w:val="19"/>
        <w:widowControl/>
        <w:ind w:firstLine="420"/>
        <w:rPr>
          <w:color w:val="auto"/>
          <w:highlight w:val="none"/>
        </w:rPr>
      </w:pPr>
      <w:r>
        <w:rPr>
          <w:rFonts w:hint="eastAsia" w:ascii="宋体" w:hAnsi="宋体" w:cs="宋体"/>
          <w:color w:val="auto"/>
          <w:sz w:val="21"/>
          <w:szCs w:val="21"/>
          <w:highlight w:val="none"/>
        </w:rPr>
        <w:t> </w:t>
      </w:r>
    </w:p>
    <w:p w14:paraId="6E1DAF22">
      <w:pPr>
        <w:pStyle w:val="19"/>
        <w:widowControl/>
        <w:jc w:val="center"/>
        <w:rPr>
          <w:color w:val="auto"/>
          <w:highlight w:val="none"/>
        </w:rPr>
      </w:pPr>
      <w:r>
        <w:rPr>
          <w:rStyle w:val="26"/>
          <w:rFonts w:hint="eastAsia" w:ascii="宋体" w:hAnsi="宋体" w:cs="宋体"/>
          <w:color w:val="auto"/>
          <w:sz w:val="21"/>
          <w:szCs w:val="21"/>
          <w:highlight w:val="none"/>
        </w:rPr>
        <w:t>一、标的说明一览表</w:t>
      </w:r>
      <w:r>
        <w:rPr>
          <w:rFonts w:hint="eastAsia" w:ascii="宋体" w:hAnsi="宋体" w:cs="宋体"/>
          <w:color w:val="auto"/>
          <w:sz w:val="21"/>
          <w:szCs w:val="21"/>
          <w:highlight w:val="none"/>
        </w:rPr>
        <w:t> </w:t>
      </w:r>
    </w:p>
    <w:p w14:paraId="6A3CCF15">
      <w:pPr>
        <w:pStyle w:val="19"/>
        <w:widowControl/>
        <w:rPr>
          <w:color w:val="auto"/>
          <w:highlight w:val="none"/>
        </w:rPr>
      </w:pP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u w:val="single"/>
        </w:rPr>
        <w:t>                   </w:t>
      </w:r>
    </w:p>
    <w:tbl>
      <w:tblPr>
        <w:tblStyle w:val="23"/>
        <w:tblW w:w="852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79"/>
        <w:gridCol w:w="986"/>
        <w:gridCol w:w="1547"/>
        <w:gridCol w:w="864"/>
        <w:gridCol w:w="1146"/>
        <w:gridCol w:w="1135"/>
        <w:gridCol w:w="1863"/>
      </w:tblGrid>
      <w:tr w14:paraId="77676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79" w:type="dxa"/>
            <w:shd w:val="clear" w:color="auto" w:fill="auto"/>
            <w:tcMar>
              <w:top w:w="0" w:type="dxa"/>
              <w:left w:w="105" w:type="dxa"/>
              <w:bottom w:w="0" w:type="dxa"/>
              <w:right w:w="105" w:type="dxa"/>
            </w:tcMar>
            <w:vAlign w:val="center"/>
          </w:tcPr>
          <w:p w14:paraId="2E0E9D4A">
            <w:pPr>
              <w:pStyle w:val="19"/>
              <w:widowControl/>
              <w:jc w:val="center"/>
              <w:rPr>
                <w:color w:val="auto"/>
                <w:highlight w:val="none"/>
              </w:rPr>
            </w:pPr>
            <w:r>
              <w:rPr>
                <w:rFonts w:hint="eastAsia" w:ascii="宋体" w:hAnsi="宋体" w:cs="宋体"/>
                <w:color w:val="auto"/>
                <w:sz w:val="21"/>
                <w:szCs w:val="21"/>
                <w:highlight w:val="none"/>
              </w:rPr>
              <w:t>采购包</w:t>
            </w:r>
          </w:p>
        </w:tc>
        <w:tc>
          <w:tcPr>
            <w:tcW w:w="986" w:type="dxa"/>
            <w:shd w:val="clear" w:color="auto" w:fill="auto"/>
            <w:tcMar>
              <w:top w:w="0" w:type="dxa"/>
              <w:left w:w="105" w:type="dxa"/>
              <w:bottom w:w="0" w:type="dxa"/>
              <w:right w:w="105" w:type="dxa"/>
            </w:tcMar>
            <w:vAlign w:val="center"/>
          </w:tcPr>
          <w:p w14:paraId="7B66A1DE">
            <w:pPr>
              <w:pStyle w:val="19"/>
              <w:widowControl/>
              <w:jc w:val="center"/>
              <w:rPr>
                <w:color w:val="auto"/>
                <w:highlight w:val="none"/>
              </w:rPr>
            </w:pPr>
            <w:r>
              <w:rPr>
                <w:rFonts w:hint="eastAsia" w:ascii="宋体" w:hAnsi="宋体" w:cs="宋体"/>
                <w:color w:val="auto"/>
                <w:sz w:val="21"/>
                <w:szCs w:val="21"/>
                <w:highlight w:val="none"/>
              </w:rPr>
              <w:t>品目号</w:t>
            </w:r>
          </w:p>
        </w:tc>
        <w:tc>
          <w:tcPr>
            <w:tcW w:w="1547" w:type="dxa"/>
            <w:shd w:val="clear" w:color="auto" w:fill="auto"/>
            <w:tcMar>
              <w:top w:w="0" w:type="dxa"/>
              <w:left w:w="105" w:type="dxa"/>
              <w:bottom w:w="0" w:type="dxa"/>
              <w:right w:w="105" w:type="dxa"/>
            </w:tcMar>
            <w:vAlign w:val="center"/>
          </w:tcPr>
          <w:p w14:paraId="0CACD537">
            <w:pPr>
              <w:pStyle w:val="19"/>
              <w:widowControl/>
              <w:jc w:val="center"/>
              <w:rPr>
                <w:color w:val="auto"/>
                <w:highlight w:val="none"/>
              </w:rPr>
            </w:pPr>
            <w:r>
              <w:rPr>
                <w:rFonts w:hint="eastAsia" w:ascii="宋体" w:hAnsi="宋体" w:cs="宋体"/>
                <w:color w:val="auto"/>
                <w:sz w:val="21"/>
                <w:szCs w:val="21"/>
                <w:highlight w:val="none"/>
              </w:rPr>
              <w:t>投标标的</w:t>
            </w:r>
          </w:p>
        </w:tc>
        <w:tc>
          <w:tcPr>
            <w:tcW w:w="864" w:type="dxa"/>
            <w:shd w:val="clear" w:color="auto" w:fill="auto"/>
            <w:tcMar>
              <w:top w:w="0" w:type="dxa"/>
              <w:left w:w="105" w:type="dxa"/>
              <w:bottom w:w="0" w:type="dxa"/>
              <w:right w:w="105" w:type="dxa"/>
            </w:tcMar>
            <w:vAlign w:val="center"/>
          </w:tcPr>
          <w:p w14:paraId="7CC05F5B">
            <w:pPr>
              <w:pStyle w:val="19"/>
              <w:widowControl/>
              <w:jc w:val="center"/>
              <w:rPr>
                <w:color w:val="auto"/>
                <w:highlight w:val="none"/>
              </w:rPr>
            </w:pPr>
            <w:r>
              <w:rPr>
                <w:rFonts w:hint="eastAsia" w:ascii="宋体" w:hAnsi="宋体" w:cs="宋体"/>
                <w:color w:val="auto"/>
                <w:sz w:val="21"/>
                <w:szCs w:val="21"/>
                <w:highlight w:val="none"/>
              </w:rPr>
              <w:t>数量</w:t>
            </w:r>
          </w:p>
        </w:tc>
        <w:tc>
          <w:tcPr>
            <w:tcW w:w="1146" w:type="dxa"/>
            <w:shd w:val="clear" w:color="auto" w:fill="auto"/>
            <w:tcMar>
              <w:top w:w="0" w:type="dxa"/>
              <w:left w:w="105" w:type="dxa"/>
              <w:bottom w:w="0" w:type="dxa"/>
              <w:right w:w="105" w:type="dxa"/>
            </w:tcMar>
            <w:vAlign w:val="center"/>
          </w:tcPr>
          <w:p w14:paraId="3D84B4A4">
            <w:pPr>
              <w:pStyle w:val="19"/>
              <w:widowControl/>
              <w:jc w:val="center"/>
              <w:rPr>
                <w:color w:val="auto"/>
                <w:highlight w:val="none"/>
              </w:rPr>
            </w:pPr>
            <w:r>
              <w:rPr>
                <w:rFonts w:hint="eastAsia" w:ascii="宋体" w:hAnsi="宋体" w:cs="宋体"/>
                <w:color w:val="auto"/>
                <w:sz w:val="21"/>
                <w:szCs w:val="21"/>
                <w:highlight w:val="none"/>
              </w:rPr>
              <w:t>规格（品牌/型号）</w:t>
            </w:r>
          </w:p>
        </w:tc>
        <w:tc>
          <w:tcPr>
            <w:tcW w:w="1135" w:type="dxa"/>
            <w:shd w:val="clear" w:color="auto" w:fill="auto"/>
            <w:tcMar>
              <w:top w:w="0" w:type="dxa"/>
              <w:left w:w="105" w:type="dxa"/>
              <w:bottom w:w="0" w:type="dxa"/>
              <w:right w:w="105" w:type="dxa"/>
            </w:tcMar>
            <w:vAlign w:val="center"/>
          </w:tcPr>
          <w:p w14:paraId="5D1DFC39">
            <w:pPr>
              <w:pStyle w:val="19"/>
              <w:widowControl/>
              <w:jc w:val="center"/>
              <w:rPr>
                <w:color w:val="auto"/>
                <w:highlight w:val="none"/>
              </w:rPr>
            </w:pPr>
            <w:r>
              <w:rPr>
                <w:rFonts w:hint="eastAsia" w:ascii="宋体" w:hAnsi="宋体" w:cs="宋体"/>
                <w:color w:val="auto"/>
                <w:sz w:val="21"/>
                <w:szCs w:val="21"/>
                <w:highlight w:val="none"/>
              </w:rPr>
              <w:t>来源地</w:t>
            </w:r>
          </w:p>
        </w:tc>
        <w:tc>
          <w:tcPr>
            <w:tcW w:w="1863" w:type="dxa"/>
            <w:shd w:val="clear" w:color="auto" w:fill="auto"/>
            <w:tcMar>
              <w:top w:w="0" w:type="dxa"/>
              <w:left w:w="105" w:type="dxa"/>
              <w:bottom w:w="0" w:type="dxa"/>
              <w:right w:w="105" w:type="dxa"/>
            </w:tcMar>
            <w:vAlign w:val="center"/>
          </w:tcPr>
          <w:p w14:paraId="26619185">
            <w:pPr>
              <w:pStyle w:val="19"/>
              <w:widowControl/>
              <w:jc w:val="center"/>
              <w:rPr>
                <w:color w:val="auto"/>
                <w:highlight w:val="none"/>
              </w:rPr>
            </w:pPr>
            <w:r>
              <w:rPr>
                <w:rFonts w:hint="eastAsia" w:ascii="宋体" w:hAnsi="宋体" w:cs="宋体"/>
                <w:color w:val="auto"/>
                <w:sz w:val="21"/>
                <w:szCs w:val="21"/>
                <w:highlight w:val="none"/>
              </w:rPr>
              <w:t>备注</w:t>
            </w:r>
          </w:p>
        </w:tc>
      </w:tr>
      <w:tr w14:paraId="744F3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79" w:type="dxa"/>
            <w:vMerge w:val="restart"/>
            <w:shd w:val="clear" w:color="auto" w:fill="auto"/>
            <w:tcMar>
              <w:top w:w="0" w:type="dxa"/>
              <w:left w:w="105" w:type="dxa"/>
              <w:bottom w:w="0" w:type="dxa"/>
              <w:right w:w="105" w:type="dxa"/>
            </w:tcMar>
            <w:vAlign w:val="center"/>
          </w:tcPr>
          <w:p w14:paraId="11E0AB64">
            <w:pPr>
              <w:pStyle w:val="19"/>
              <w:widowControl/>
              <w:jc w:val="center"/>
              <w:rPr>
                <w:color w:val="auto"/>
                <w:highlight w:val="none"/>
              </w:rPr>
            </w:pPr>
            <w:r>
              <w:rPr>
                <w:rFonts w:hint="eastAsia" w:ascii="宋体" w:hAnsi="宋体" w:cs="宋体"/>
                <w:color w:val="auto"/>
                <w:sz w:val="21"/>
                <w:szCs w:val="21"/>
                <w:highlight w:val="none"/>
              </w:rPr>
              <w:t>*</w:t>
            </w:r>
          </w:p>
        </w:tc>
        <w:tc>
          <w:tcPr>
            <w:tcW w:w="986" w:type="dxa"/>
            <w:shd w:val="clear" w:color="auto" w:fill="auto"/>
            <w:tcMar>
              <w:top w:w="0" w:type="dxa"/>
              <w:left w:w="105" w:type="dxa"/>
              <w:bottom w:w="0" w:type="dxa"/>
              <w:right w:w="105" w:type="dxa"/>
            </w:tcMar>
            <w:vAlign w:val="center"/>
          </w:tcPr>
          <w:p w14:paraId="54CB8F8C">
            <w:pPr>
              <w:pStyle w:val="19"/>
              <w:widowControl/>
              <w:jc w:val="center"/>
              <w:rPr>
                <w:color w:val="auto"/>
                <w:highlight w:val="none"/>
              </w:rPr>
            </w:pPr>
            <w:r>
              <w:rPr>
                <w:rFonts w:hint="eastAsia" w:ascii="宋体" w:hAnsi="宋体" w:cs="宋体"/>
                <w:color w:val="auto"/>
                <w:sz w:val="21"/>
                <w:szCs w:val="21"/>
                <w:highlight w:val="none"/>
              </w:rPr>
              <w:t>*-1</w:t>
            </w:r>
          </w:p>
        </w:tc>
        <w:tc>
          <w:tcPr>
            <w:tcW w:w="1547" w:type="dxa"/>
            <w:shd w:val="clear" w:color="auto" w:fill="auto"/>
            <w:tcMar>
              <w:top w:w="0" w:type="dxa"/>
              <w:left w:w="105" w:type="dxa"/>
              <w:bottom w:w="0" w:type="dxa"/>
              <w:right w:w="105" w:type="dxa"/>
            </w:tcMar>
          </w:tcPr>
          <w:p w14:paraId="2A8B3E36">
            <w:pPr>
              <w:widowControl/>
              <w:jc w:val="left"/>
              <w:rPr>
                <w:color w:val="auto"/>
                <w:highlight w:val="none"/>
              </w:rPr>
            </w:pPr>
          </w:p>
        </w:tc>
        <w:tc>
          <w:tcPr>
            <w:tcW w:w="864" w:type="dxa"/>
            <w:shd w:val="clear" w:color="auto" w:fill="auto"/>
            <w:tcMar>
              <w:top w:w="0" w:type="dxa"/>
              <w:left w:w="105" w:type="dxa"/>
              <w:bottom w:w="0" w:type="dxa"/>
              <w:right w:w="105" w:type="dxa"/>
            </w:tcMar>
          </w:tcPr>
          <w:p w14:paraId="089BEAD8">
            <w:pPr>
              <w:widowControl/>
              <w:jc w:val="left"/>
              <w:rPr>
                <w:color w:val="auto"/>
                <w:highlight w:val="none"/>
              </w:rPr>
            </w:pPr>
          </w:p>
        </w:tc>
        <w:tc>
          <w:tcPr>
            <w:tcW w:w="1146" w:type="dxa"/>
            <w:shd w:val="clear" w:color="auto" w:fill="auto"/>
            <w:tcMar>
              <w:top w:w="0" w:type="dxa"/>
              <w:left w:w="105" w:type="dxa"/>
              <w:bottom w:w="0" w:type="dxa"/>
              <w:right w:w="105" w:type="dxa"/>
            </w:tcMar>
          </w:tcPr>
          <w:p w14:paraId="44A041E7">
            <w:pPr>
              <w:widowControl/>
              <w:jc w:val="left"/>
              <w:rPr>
                <w:color w:val="auto"/>
                <w:highlight w:val="none"/>
              </w:rPr>
            </w:pPr>
          </w:p>
        </w:tc>
        <w:tc>
          <w:tcPr>
            <w:tcW w:w="1135" w:type="dxa"/>
            <w:shd w:val="clear" w:color="auto" w:fill="auto"/>
            <w:tcMar>
              <w:top w:w="0" w:type="dxa"/>
              <w:left w:w="105" w:type="dxa"/>
              <w:bottom w:w="0" w:type="dxa"/>
              <w:right w:w="105" w:type="dxa"/>
            </w:tcMar>
          </w:tcPr>
          <w:p w14:paraId="239F89C5">
            <w:pPr>
              <w:widowControl/>
              <w:jc w:val="left"/>
              <w:rPr>
                <w:color w:val="auto"/>
                <w:highlight w:val="none"/>
              </w:rPr>
            </w:pPr>
          </w:p>
        </w:tc>
        <w:tc>
          <w:tcPr>
            <w:tcW w:w="1863" w:type="dxa"/>
            <w:shd w:val="clear" w:color="auto" w:fill="auto"/>
            <w:tcMar>
              <w:top w:w="0" w:type="dxa"/>
              <w:left w:w="105" w:type="dxa"/>
              <w:bottom w:w="0" w:type="dxa"/>
              <w:right w:w="105" w:type="dxa"/>
            </w:tcMar>
          </w:tcPr>
          <w:p w14:paraId="34FE10CD">
            <w:pPr>
              <w:widowControl/>
              <w:jc w:val="left"/>
              <w:rPr>
                <w:color w:val="auto"/>
                <w:highlight w:val="none"/>
              </w:rPr>
            </w:pPr>
          </w:p>
        </w:tc>
      </w:tr>
      <w:tr w14:paraId="0CDF6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79" w:type="dxa"/>
            <w:vMerge w:val="continue"/>
            <w:shd w:val="clear" w:color="auto" w:fill="auto"/>
            <w:tcMar>
              <w:top w:w="0" w:type="dxa"/>
              <w:left w:w="105" w:type="dxa"/>
              <w:bottom w:w="0" w:type="dxa"/>
              <w:right w:w="105" w:type="dxa"/>
            </w:tcMar>
            <w:vAlign w:val="center"/>
          </w:tcPr>
          <w:p w14:paraId="002CF13F">
            <w:pPr>
              <w:rPr>
                <w:rFonts w:ascii="宋体"/>
                <w:color w:val="auto"/>
                <w:sz w:val="24"/>
                <w:highlight w:val="none"/>
              </w:rPr>
            </w:pPr>
          </w:p>
        </w:tc>
        <w:tc>
          <w:tcPr>
            <w:tcW w:w="986" w:type="dxa"/>
            <w:shd w:val="clear" w:color="auto" w:fill="auto"/>
            <w:tcMar>
              <w:top w:w="0" w:type="dxa"/>
              <w:left w:w="105" w:type="dxa"/>
              <w:bottom w:w="0" w:type="dxa"/>
              <w:right w:w="105" w:type="dxa"/>
            </w:tcMar>
            <w:vAlign w:val="center"/>
          </w:tcPr>
          <w:p w14:paraId="603F3FE7">
            <w:pPr>
              <w:pStyle w:val="19"/>
              <w:widowControl/>
              <w:jc w:val="center"/>
              <w:rPr>
                <w:color w:val="auto"/>
                <w:highlight w:val="none"/>
              </w:rPr>
            </w:pPr>
            <w:r>
              <w:rPr>
                <w:rFonts w:ascii="Calibri" w:hAnsi="Calibri" w:cs="Calibri"/>
                <w:color w:val="auto"/>
                <w:sz w:val="21"/>
                <w:szCs w:val="21"/>
                <w:highlight w:val="none"/>
              </w:rPr>
              <w:t>…</w:t>
            </w:r>
          </w:p>
        </w:tc>
        <w:tc>
          <w:tcPr>
            <w:tcW w:w="1547" w:type="dxa"/>
            <w:shd w:val="clear" w:color="auto" w:fill="auto"/>
            <w:tcMar>
              <w:top w:w="0" w:type="dxa"/>
              <w:left w:w="105" w:type="dxa"/>
              <w:bottom w:w="0" w:type="dxa"/>
              <w:right w:w="105" w:type="dxa"/>
            </w:tcMar>
          </w:tcPr>
          <w:p w14:paraId="67FF7ACC">
            <w:pPr>
              <w:widowControl/>
              <w:jc w:val="left"/>
              <w:rPr>
                <w:color w:val="auto"/>
                <w:highlight w:val="none"/>
              </w:rPr>
            </w:pPr>
          </w:p>
        </w:tc>
        <w:tc>
          <w:tcPr>
            <w:tcW w:w="864" w:type="dxa"/>
            <w:shd w:val="clear" w:color="auto" w:fill="auto"/>
            <w:tcMar>
              <w:top w:w="0" w:type="dxa"/>
              <w:left w:w="105" w:type="dxa"/>
              <w:bottom w:w="0" w:type="dxa"/>
              <w:right w:w="105" w:type="dxa"/>
            </w:tcMar>
          </w:tcPr>
          <w:p w14:paraId="52979173">
            <w:pPr>
              <w:widowControl/>
              <w:jc w:val="left"/>
              <w:rPr>
                <w:color w:val="auto"/>
                <w:highlight w:val="none"/>
              </w:rPr>
            </w:pPr>
          </w:p>
        </w:tc>
        <w:tc>
          <w:tcPr>
            <w:tcW w:w="1146" w:type="dxa"/>
            <w:shd w:val="clear" w:color="auto" w:fill="auto"/>
            <w:tcMar>
              <w:top w:w="0" w:type="dxa"/>
              <w:left w:w="105" w:type="dxa"/>
              <w:bottom w:w="0" w:type="dxa"/>
              <w:right w:w="105" w:type="dxa"/>
            </w:tcMar>
          </w:tcPr>
          <w:p w14:paraId="13AE6204">
            <w:pPr>
              <w:widowControl/>
              <w:jc w:val="left"/>
              <w:rPr>
                <w:color w:val="auto"/>
                <w:highlight w:val="none"/>
              </w:rPr>
            </w:pPr>
          </w:p>
        </w:tc>
        <w:tc>
          <w:tcPr>
            <w:tcW w:w="1135" w:type="dxa"/>
            <w:shd w:val="clear" w:color="auto" w:fill="auto"/>
            <w:tcMar>
              <w:top w:w="0" w:type="dxa"/>
              <w:left w:w="105" w:type="dxa"/>
              <w:bottom w:w="0" w:type="dxa"/>
              <w:right w:w="105" w:type="dxa"/>
            </w:tcMar>
          </w:tcPr>
          <w:p w14:paraId="7B942559">
            <w:pPr>
              <w:widowControl/>
              <w:jc w:val="left"/>
              <w:rPr>
                <w:color w:val="auto"/>
                <w:highlight w:val="none"/>
              </w:rPr>
            </w:pPr>
          </w:p>
        </w:tc>
        <w:tc>
          <w:tcPr>
            <w:tcW w:w="1863" w:type="dxa"/>
            <w:shd w:val="clear" w:color="auto" w:fill="auto"/>
            <w:tcMar>
              <w:top w:w="0" w:type="dxa"/>
              <w:left w:w="105" w:type="dxa"/>
              <w:bottom w:w="0" w:type="dxa"/>
              <w:right w:w="105" w:type="dxa"/>
            </w:tcMar>
          </w:tcPr>
          <w:p w14:paraId="7C03E755">
            <w:pPr>
              <w:widowControl/>
              <w:jc w:val="left"/>
              <w:rPr>
                <w:color w:val="auto"/>
                <w:highlight w:val="none"/>
              </w:rPr>
            </w:pPr>
          </w:p>
        </w:tc>
      </w:tr>
      <w:tr w14:paraId="142E1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79" w:type="dxa"/>
            <w:shd w:val="clear" w:color="auto" w:fill="auto"/>
            <w:tcMar>
              <w:top w:w="0" w:type="dxa"/>
              <w:left w:w="105" w:type="dxa"/>
              <w:bottom w:w="0" w:type="dxa"/>
              <w:right w:w="105" w:type="dxa"/>
            </w:tcMar>
            <w:vAlign w:val="center"/>
          </w:tcPr>
          <w:p w14:paraId="32597FF0">
            <w:pPr>
              <w:pStyle w:val="19"/>
              <w:widowControl/>
              <w:jc w:val="center"/>
              <w:rPr>
                <w:color w:val="auto"/>
                <w:highlight w:val="none"/>
              </w:rPr>
            </w:pPr>
            <w:r>
              <w:rPr>
                <w:rFonts w:ascii="Calibri" w:hAnsi="Calibri" w:cs="Calibri"/>
                <w:color w:val="auto"/>
                <w:sz w:val="21"/>
                <w:szCs w:val="21"/>
                <w:highlight w:val="none"/>
              </w:rPr>
              <w:t>…</w:t>
            </w:r>
          </w:p>
        </w:tc>
        <w:tc>
          <w:tcPr>
            <w:tcW w:w="986" w:type="dxa"/>
            <w:shd w:val="clear" w:color="auto" w:fill="auto"/>
            <w:tcMar>
              <w:top w:w="0" w:type="dxa"/>
              <w:left w:w="105" w:type="dxa"/>
              <w:bottom w:w="0" w:type="dxa"/>
              <w:right w:w="105" w:type="dxa"/>
            </w:tcMar>
            <w:vAlign w:val="center"/>
          </w:tcPr>
          <w:p w14:paraId="1AD9E7A8">
            <w:pPr>
              <w:widowControl/>
              <w:jc w:val="left"/>
              <w:rPr>
                <w:color w:val="auto"/>
                <w:highlight w:val="none"/>
              </w:rPr>
            </w:pPr>
          </w:p>
        </w:tc>
        <w:tc>
          <w:tcPr>
            <w:tcW w:w="1547" w:type="dxa"/>
            <w:shd w:val="clear" w:color="auto" w:fill="auto"/>
            <w:tcMar>
              <w:top w:w="0" w:type="dxa"/>
              <w:left w:w="105" w:type="dxa"/>
              <w:bottom w:w="0" w:type="dxa"/>
              <w:right w:w="105" w:type="dxa"/>
            </w:tcMar>
          </w:tcPr>
          <w:p w14:paraId="44C43B05">
            <w:pPr>
              <w:widowControl/>
              <w:jc w:val="left"/>
              <w:rPr>
                <w:color w:val="auto"/>
                <w:highlight w:val="none"/>
              </w:rPr>
            </w:pPr>
          </w:p>
        </w:tc>
        <w:tc>
          <w:tcPr>
            <w:tcW w:w="864" w:type="dxa"/>
            <w:shd w:val="clear" w:color="auto" w:fill="auto"/>
            <w:tcMar>
              <w:top w:w="0" w:type="dxa"/>
              <w:left w:w="105" w:type="dxa"/>
              <w:bottom w:w="0" w:type="dxa"/>
              <w:right w:w="105" w:type="dxa"/>
            </w:tcMar>
          </w:tcPr>
          <w:p w14:paraId="0D13F7E9">
            <w:pPr>
              <w:widowControl/>
              <w:jc w:val="left"/>
              <w:rPr>
                <w:color w:val="auto"/>
                <w:highlight w:val="none"/>
              </w:rPr>
            </w:pPr>
          </w:p>
        </w:tc>
        <w:tc>
          <w:tcPr>
            <w:tcW w:w="1146" w:type="dxa"/>
            <w:shd w:val="clear" w:color="auto" w:fill="auto"/>
            <w:tcMar>
              <w:top w:w="0" w:type="dxa"/>
              <w:left w:w="105" w:type="dxa"/>
              <w:bottom w:w="0" w:type="dxa"/>
              <w:right w:w="105" w:type="dxa"/>
            </w:tcMar>
          </w:tcPr>
          <w:p w14:paraId="7AC0494F">
            <w:pPr>
              <w:widowControl/>
              <w:jc w:val="left"/>
              <w:rPr>
                <w:color w:val="auto"/>
                <w:highlight w:val="none"/>
              </w:rPr>
            </w:pPr>
          </w:p>
        </w:tc>
        <w:tc>
          <w:tcPr>
            <w:tcW w:w="1135" w:type="dxa"/>
            <w:shd w:val="clear" w:color="auto" w:fill="auto"/>
            <w:tcMar>
              <w:top w:w="0" w:type="dxa"/>
              <w:left w:w="105" w:type="dxa"/>
              <w:bottom w:w="0" w:type="dxa"/>
              <w:right w:w="105" w:type="dxa"/>
            </w:tcMar>
          </w:tcPr>
          <w:p w14:paraId="5357E157">
            <w:pPr>
              <w:widowControl/>
              <w:jc w:val="left"/>
              <w:rPr>
                <w:color w:val="auto"/>
                <w:highlight w:val="none"/>
              </w:rPr>
            </w:pPr>
          </w:p>
        </w:tc>
        <w:tc>
          <w:tcPr>
            <w:tcW w:w="1863" w:type="dxa"/>
            <w:shd w:val="clear" w:color="auto" w:fill="auto"/>
            <w:tcMar>
              <w:top w:w="0" w:type="dxa"/>
              <w:left w:w="105" w:type="dxa"/>
              <w:bottom w:w="0" w:type="dxa"/>
              <w:right w:w="105" w:type="dxa"/>
            </w:tcMar>
          </w:tcPr>
          <w:p w14:paraId="3AA75E82">
            <w:pPr>
              <w:widowControl/>
              <w:jc w:val="left"/>
              <w:rPr>
                <w:color w:val="auto"/>
                <w:highlight w:val="none"/>
              </w:rPr>
            </w:pPr>
          </w:p>
        </w:tc>
      </w:tr>
    </w:tbl>
    <w:p w14:paraId="077B9D89">
      <w:pPr>
        <w:pStyle w:val="19"/>
        <w:widowControl/>
        <w:rPr>
          <w:color w:val="auto"/>
          <w:highlight w:val="none"/>
        </w:rPr>
      </w:pPr>
      <w:r>
        <w:rPr>
          <w:rFonts w:hint="eastAsia" w:ascii="宋体" w:hAnsi="宋体" w:cs="宋体"/>
          <w:color w:val="auto"/>
          <w:sz w:val="21"/>
          <w:szCs w:val="21"/>
          <w:highlight w:val="none"/>
        </w:rPr>
        <w:t>※注意：</w:t>
      </w:r>
    </w:p>
    <w:p w14:paraId="4BBAC7E4">
      <w:pPr>
        <w:pStyle w:val="19"/>
        <w:widowControl/>
        <w:rPr>
          <w:color w:val="auto"/>
          <w:highlight w:val="none"/>
        </w:rPr>
      </w:pPr>
      <w:r>
        <w:rPr>
          <w:rFonts w:hint="eastAsia" w:ascii="宋体" w:hAnsi="宋体" w:cs="宋体"/>
          <w:color w:val="auto"/>
          <w:sz w:val="21"/>
          <w:szCs w:val="21"/>
          <w:highlight w:val="none"/>
        </w:rPr>
        <w:t>1、本表应按照下列规定填写：</w:t>
      </w:r>
    </w:p>
    <w:p w14:paraId="4BC7432F">
      <w:pPr>
        <w:pStyle w:val="19"/>
        <w:widowControl/>
        <w:rPr>
          <w:color w:val="auto"/>
          <w:highlight w:val="none"/>
        </w:rPr>
      </w:pPr>
      <w:r>
        <w:rPr>
          <w:rFonts w:hint="eastAsia" w:ascii="宋体" w:hAnsi="宋体" w:cs="宋体"/>
          <w:color w:val="auto"/>
          <w:sz w:val="21"/>
          <w:szCs w:val="21"/>
          <w:highlight w:val="none"/>
        </w:rPr>
        <w:t>1.1“采购包”、“品目号”、“投标标的”及“数量”应与招标文件《采购标的一览表》中的有关内容（“采购包”、“品目号”、“采购标的”及“数量”）保持一致。</w:t>
      </w:r>
    </w:p>
    <w:p w14:paraId="263F9487">
      <w:pPr>
        <w:pStyle w:val="19"/>
        <w:widowControl/>
        <w:rPr>
          <w:color w:val="auto"/>
          <w:highlight w:val="none"/>
        </w:rPr>
      </w:pPr>
      <w:r>
        <w:rPr>
          <w:rFonts w:hint="eastAsia" w:ascii="宋体" w:hAnsi="宋体" w:cs="宋体"/>
          <w:color w:val="auto"/>
          <w:sz w:val="21"/>
          <w:szCs w:val="21"/>
          <w:highlight w:val="none"/>
        </w:rPr>
        <w:t>1.2“投标标的”为货物的：</w:t>
      </w:r>
      <w:r>
        <w:rPr>
          <w:rStyle w:val="26"/>
          <w:rFonts w:hint="eastAsia" w:ascii="宋体" w:hAnsi="宋体" w:cs="宋体"/>
          <w:color w:val="auto"/>
          <w:sz w:val="21"/>
          <w:szCs w:val="21"/>
          <w:highlight w:val="none"/>
        </w:rPr>
        <w:t>“规格”</w:t>
      </w:r>
      <w:r>
        <w:rPr>
          <w:rFonts w:hint="eastAsia" w:ascii="宋体" w:hAnsi="宋体" w:cs="宋体"/>
          <w:color w:val="auto"/>
          <w:sz w:val="21"/>
          <w:szCs w:val="21"/>
          <w:highlight w:val="none"/>
        </w:rPr>
        <w:t>项下应填写货物制造厂商赋予的品牌（属于节能、环保清单产品的货物，填写的品牌名称应与清单载明的品牌名称保持一致）及具体型号。</w:t>
      </w:r>
      <w:r>
        <w:rPr>
          <w:rStyle w:val="26"/>
          <w:rFonts w:hint="eastAsia" w:ascii="宋体" w:hAnsi="宋体" w:cs="宋体"/>
          <w:color w:val="auto"/>
          <w:sz w:val="21"/>
          <w:szCs w:val="21"/>
          <w:highlight w:val="none"/>
        </w:rPr>
        <w:t>“来源地”</w:t>
      </w:r>
      <w:r>
        <w:rPr>
          <w:rFonts w:hint="eastAsia" w:ascii="宋体" w:hAnsi="宋体" w:cs="宋体"/>
          <w:color w:val="auto"/>
          <w:sz w:val="21"/>
          <w:szCs w:val="21"/>
          <w:highlight w:val="none"/>
        </w:rPr>
        <w:t>应填写货物的原产地。</w:t>
      </w:r>
      <w:r>
        <w:rPr>
          <w:rStyle w:val="26"/>
          <w:rFonts w:hint="eastAsia" w:ascii="宋体" w:hAnsi="宋体" w:cs="宋体"/>
          <w:color w:val="auto"/>
          <w:sz w:val="21"/>
          <w:szCs w:val="21"/>
          <w:highlight w:val="none"/>
        </w:rPr>
        <w:t>“备注”</w:t>
      </w:r>
      <w:r>
        <w:rPr>
          <w:rFonts w:hint="eastAsia" w:ascii="宋体" w:hAnsi="宋体" w:cs="宋体"/>
          <w:color w:val="auto"/>
          <w:sz w:val="21"/>
          <w:szCs w:val="21"/>
          <w:highlight w:val="none"/>
        </w:rPr>
        <w:t>项下应填写货物的详细性能说明及供货范围清单（若有），其中供货范围清单包括但不限于：组成货物的主要件和关键件的名称、数量、原产地，专用工具（若有）的名称、数量、原产地，备品备件（若有）的名称、数量、原产地等。</w:t>
      </w:r>
    </w:p>
    <w:p w14:paraId="6835C7BB">
      <w:pPr>
        <w:pStyle w:val="19"/>
        <w:widowControl/>
        <w:rPr>
          <w:color w:val="auto"/>
          <w:highlight w:val="none"/>
        </w:rPr>
      </w:pPr>
      <w:r>
        <w:rPr>
          <w:rFonts w:hint="eastAsia" w:ascii="宋体" w:hAnsi="宋体" w:cs="宋体"/>
          <w:color w:val="auto"/>
          <w:sz w:val="21"/>
          <w:szCs w:val="21"/>
          <w:highlight w:val="none"/>
        </w:rPr>
        <w:t>1.3“投标标的”为服务的：</w:t>
      </w:r>
      <w:r>
        <w:rPr>
          <w:rStyle w:val="26"/>
          <w:rFonts w:hint="eastAsia" w:ascii="宋体" w:hAnsi="宋体" w:cs="宋体"/>
          <w:color w:val="auto"/>
          <w:sz w:val="21"/>
          <w:szCs w:val="21"/>
          <w:highlight w:val="none"/>
        </w:rPr>
        <w:t>“规格”</w:t>
      </w:r>
      <w:r>
        <w:rPr>
          <w:rFonts w:hint="eastAsia" w:ascii="宋体" w:hAnsi="宋体" w:cs="宋体"/>
          <w:color w:val="auto"/>
          <w:sz w:val="21"/>
          <w:szCs w:val="21"/>
          <w:highlight w:val="none"/>
        </w:rPr>
        <w:t>项下应填写服务提供者提供的服务标准及品牌（若有）。</w:t>
      </w:r>
      <w:r>
        <w:rPr>
          <w:rStyle w:val="26"/>
          <w:rFonts w:hint="eastAsia" w:ascii="宋体" w:hAnsi="宋体" w:cs="宋体"/>
          <w:color w:val="auto"/>
          <w:sz w:val="21"/>
          <w:szCs w:val="21"/>
          <w:highlight w:val="none"/>
        </w:rPr>
        <w:t>“来源地”</w:t>
      </w:r>
      <w:r>
        <w:rPr>
          <w:rFonts w:hint="eastAsia" w:ascii="宋体" w:hAnsi="宋体" w:cs="宋体"/>
          <w:color w:val="auto"/>
          <w:sz w:val="21"/>
          <w:szCs w:val="21"/>
          <w:highlight w:val="none"/>
        </w:rPr>
        <w:t>应填写服务提供者的所在地。</w:t>
      </w:r>
      <w:r>
        <w:rPr>
          <w:rStyle w:val="26"/>
          <w:rFonts w:hint="eastAsia" w:ascii="宋体" w:hAnsi="宋体" w:cs="宋体"/>
          <w:color w:val="auto"/>
          <w:sz w:val="21"/>
          <w:szCs w:val="21"/>
          <w:highlight w:val="none"/>
        </w:rPr>
        <w:t>“备注”</w:t>
      </w:r>
      <w:r>
        <w:rPr>
          <w:rFonts w:hint="eastAsia" w:ascii="宋体" w:hAnsi="宋体" w:cs="宋体"/>
          <w:color w:val="auto"/>
          <w:sz w:val="21"/>
          <w:szCs w:val="21"/>
          <w:highlight w:val="none"/>
        </w:rPr>
        <w:t>项下应填写关于服务标准所涵盖的具体项目或内容的说明等。</w:t>
      </w:r>
    </w:p>
    <w:p w14:paraId="6ADA621F">
      <w:pPr>
        <w:pStyle w:val="19"/>
        <w:widowControl/>
        <w:rPr>
          <w:color w:val="auto"/>
          <w:highlight w:val="none"/>
        </w:rPr>
      </w:pPr>
      <w:r>
        <w:rPr>
          <w:rFonts w:hint="eastAsia" w:ascii="宋体" w:hAnsi="宋体" w:cs="宋体"/>
          <w:color w:val="auto"/>
          <w:sz w:val="21"/>
          <w:szCs w:val="21"/>
          <w:highlight w:val="none"/>
        </w:rPr>
        <w:t>2、投标人需要说明的内容若需特殊表达，应先在本表中进行相应说明，再另页应答，但应做好标注说明，方便评委查阅评审。未标注说明可能导致的不利的评审后果由投标人自行承担。</w:t>
      </w:r>
    </w:p>
    <w:p w14:paraId="60267ABF">
      <w:pPr>
        <w:pStyle w:val="19"/>
        <w:widowControl/>
        <w:rPr>
          <w:color w:val="auto"/>
          <w:highlight w:val="none"/>
        </w:rPr>
      </w:pPr>
      <w:r>
        <w:rPr>
          <w:rFonts w:hint="eastAsia" w:ascii="宋体" w:hAnsi="宋体" w:cs="宋体"/>
          <w:color w:val="auto"/>
          <w:sz w:val="21"/>
          <w:szCs w:val="21"/>
          <w:highlight w:val="none"/>
        </w:rPr>
        <w:t>3、投标文件中涉及</w:t>
      </w:r>
      <w:r>
        <w:rPr>
          <w:rStyle w:val="26"/>
          <w:rFonts w:hint="eastAsia" w:ascii="宋体" w:hAnsi="宋体" w:cs="宋体"/>
          <w:color w:val="auto"/>
          <w:sz w:val="21"/>
          <w:szCs w:val="21"/>
          <w:highlight w:val="none"/>
        </w:rPr>
        <w:t>“投标标的”、“数量”、“规格”、“来源地”</w:t>
      </w:r>
      <w:r>
        <w:rPr>
          <w:rFonts w:hint="eastAsia" w:ascii="宋体" w:hAnsi="宋体" w:cs="宋体"/>
          <w:color w:val="auto"/>
          <w:sz w:val="21"/>
          <w:szCs w:val="21"/>
          <w:highlight w:val="none"/>
        </w:rPr>
        <w:t>的内容若不一致，</w:t>
      </w:r>
      <w:r>
        <w:rPr>
          <w:rStyle w:val="26"/>
          <w:rFonts w:hint="eastAsia" w:ascii="宋体" w:hAnsi="宋体" w:cs="宋体"/>
          <w:color w:val="auto"/>
          <w:sz w:val="21"/>
          <w:szCs w:val="21"/>
          <w:highlight w:val="none"/>
        </w:rPr>
        <w:t>应以本表为准</w:t>
      </w:r>
      <w:r>
        <w:rPr>
          <w:rFonts w:hint="eastAsia" w:ascii="宋体" w:hAnsi="宋体" w:cs="宋体"/>
          <w:color w:val="auto"/>
          <w:sz w:val="21"/>
          <w:szCs w:val="21"/>
          <w:highlight w:val="none"/>
        </w:rPr>
        <w:t>。</w:t>
      </w:r>
    </w:p>
    <w:p w14:paraId="290E892B">
      <w:pPr>
        <w:pStyle w:val="19"/>
        <w:widowControl/>
        <w:rPr>
          <w:color w:val="auto"/>
          <w:highlight w:val="none"/>
        </w:rPr>
      </w:pPr>
      <w:r>
        <w:rPr>
          <w:rFonts w:hint="eastAsia" w:ascii="宋体" w:hAnsi="宋体" w:cs="宋体"/>
          <w:color w:val="auto"/>
          <w:sz w:val="21"/>
          <w:szCs w:val="21"/>
          <w:highlight w:val="none"/>
        </w:rPr>
        <w:t> </w:t>
      </w:r>
    </w:p>
    <w:p w14:paraId="2D1CE99C">
      <w:pPr>
        <w:spacing w:line="440" w:lineRule="exact"/>
        <w:ind w:firstLine="480" w:firstLineChars="200"/>
        <w:rPr>
          <w:rFonts w:ascii="宋体" w:hAnsi="宋体" w:cs="宋体"/>
          <w:bCs/>
          <w:color w:val="auto"/>
          <w:sz w:val="24"/>
          <w:highlight w:val="none"/>
          <w:u w:val="single"/>
        </w:rPr>
      </w:pPr>
      <w:r>
        <w:rPr>
          <w:rFonts w:hint="eastAsia" w:ascii="宋体" w:hAnsi="宋体" w:cs="宋体"/>
          <w:bCs/>
          <w:color w:val="auto"/>
          <w:sz w:val="24"/>
          <w:highlight w:val="none"/>
        </w:rPr>
        <w:t>投标人：</w:t>
      </w:r>
      <w:r>
        <w:rPr>
          <w:rFonts w:hint="eastAsia" w:ascii="宋体" w:hAnsi="宋体" w:cs="宋体"/>
          <w:bCs/>
          <w:color w:val="auto"/>
          <w:sz w:val="24"/>
          <w:highlight w:val="none"/>
          <w:u w:val="single"/>
        </w:rPr>
        <w:t>（全称并加盖单位公章）</w:t>
      </w:r>
    </w:p>
    <w:p w14:paraId="3FE007A3">
      <w:pPr>
        <w:spacing w:line="440" w:lineRule="exact"/>
        <w:ind w:firstLine="480" w:firstLineChars="200"/>
        <w:rPr>
          <w:rFonts w:ascii="宋体" w:hAnsi="宋体" w:cs="宋体"/>
          <w:bCs/>
          <w:color w:val="auto"/>
          <w:sz w:val="24"/>
          <w:highlight w:val="none"/>
          <w:u w:val="single"/>
        </w:rPr>
      </w:pPr>
      <w:r>
        <w:rPr>
          <w:rFonts w:hint="eastAsia" w:ascii="宋体" w:hAnsi="宋体" w:cs="宋体"/>
          <w:bCs/>
          <w:color w:val="auto"/>
          <w:sz w:val="24"/>
          <w:highlight w:val="none"/>
        </w:rPr>
        <w:t>投标人代表签字：</w:t>
      </w:r>
      <w:r>
        <w:rPr>
          <w:rFonts w:hint="eastAsia" w:ascii="宋体" w:hAnsi="宋体" w:cs="宋体"/>
          <w:bCs/>
          <w:color w:val="auto"/>
          <w:sz w:val="24"/>
          <w:highlight w:val="none"/>
          <w:u w:val="single"/>
        </w:rPr>
        <w:t xml:space="preserve">          </w:t>
      </w:r>
    </w:p>
    <w:p w14:paraId="786704AB">
      <w:pPr>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日期：    年   月   日</w:t>
      </w:r>
    </w:p>
    <w:p w14:paraId="5E510ED4">
      <w:pPr>
        <w:pStyle w:val="19"/>
        <w:widowControl/>
        <w:rPr>
          <w:color w:val="auto"/>
          <w:highlight w:val="none"/>
        </w:rPr>
      </w:pPr>
      <w:r>
        <w:rPr>
          <w:rFonts w:hint="eastAsia" w:ascii="宋体" w:hAnsi="宋体" w:cs="宋体"/>
          <w:color w:val="auto"/>
          <w:sz w:val="21"/>
          <w:szCs w:val="21"/>
          <w:highlight w:val="none"/>
        </w:rPr>
        <w:t> </w:t>
      </w:r>
    </w:p>
    <w:p w14:paraId="2BE5C09A">
      <w:pPr>
        <w:pStyle w:val="19"/>
        <w:widowControl/>
        <w:rPr>
          <w:rStyle w:val="26"/>
          <w:rFonts w:ascii="宋体" w:hAnsi="宋体" w:cs="宋体"/>
          <w:color w:val="auto"/>
          <w:sz w:val="21"/>
          <w:szCs w:val="21"/>
          <w:highlight w:val="none"/>
        </w:rPr>
      </w:pPr>
      <w:r>
        <w:rPr>
          <w:rFonts w:hint="eastAsia" w:ascii="宋体" w:hAnsi="宋体" w:cs="宋体"/>
          <w:color w:val="auto"/>
          <w:sz w:val="21"/>
          <w:szCs w:val="21"/>
          <w:highlight w:val="none"/>
        </w:rPr>
        <w:t> </w:t>
      </w:r>
    </w:p>
    <w:p w14:paraId="5DE30DC8">
      <w:pPr>
        <w:pStyle w:val="19"/>
        <w:widowControl/>
        <w:jc w:val="center"/>
        <w:rPr>
          <w:rStyle w:val="26"/>
          <w:rFonts w:ascii="宋体" w:hAnsi="宋体" w:cs="宋体"/>
          <w:color w:val="auto"/>
          <w:sz w:val="21"/>
          <w:szCs w:val="21"/>
          <w:highlight w:val="none"/>
        </w:rPr>
      </w:pPr>
    </w:p>
    <w:p w14:paraId="3E4CA489">
      <w:pPr>
        <w:pStyle w:val="19"/>
        <w:widowControl/>
        <w:jc w:val="center"/>
        <w:rPr>
          <w:color w:val="auto"/>
          <w:highlight w:val="none"/>
        </w:rPr>
      </w:pPr>
      <w:r>
        <w:rPr>
          <w:rStyle w:val="26"/>
          <w:rFonts w:hint="eastAsia" w:ascii="宋体" w:hAnsi="宋体" w:cs="宋体"/>
          <w:color w:val="auto"/>
          <w:sz w:val="21"/>
          <w:szCs w:val="21"/>
          <w:highlight w:val="none"/>
        </w:rPr>
        <w:t>二、技术和服务要求响应表</w:t>
      </w:r>
    </w:p>
    <w:p w14:paraId="6366315E">
      <w:pPr>
        <w:pStyle w:val="19"/>
        <w:widowControl/>
        <w:rPr>
          <w:color w:val="auto"/>
          <w:highlight w:val="none"/>
        </w:rPr>
      </w:pPr>
      <w:r>
        <w:rPr>
          <w:rFonts w:hint="eastAsia" w:ascii="宋体" w:hAnsi="宋体" w:cs="宋体"/>
          <w:color w:val="auto"/>
          <w:sz w:val="21"/>
          <w:szCs w:val="21"/>
          <w:highlight w:val="none"/>
        </w:rPr>
        <w:t> </w:t>
      </w:r>
    </w:p>
    <w:p w14:paraId="4B3BC03B">
      <w:pPr>
        <w:pStyle w:val="19"/>
        <w:widowControl/>
        <w:rPr>
          <w:color w:val="auto"/>
          <w:highlight w:val="none"/>
        </w:rPr>
      </w:pP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u w:val="single"/>
        </w:rPr>
        <w:t>                   </w:t>
      </w:r>
    </w:p>
    <w:tbl>
      <w:tblPr>
        <w:tblStyle w:val="23"/>
        <w:tblW w:w="852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0"/>
        <w:gridCol w:w="969"/>
        <w:gridCol w:w="2834"/>
        <w:gridCol w:w="1834"/>
        <w:gridCol w:w="1893"/>
      </w:tblGrid>
      <w:tr w14:paraId="121DE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tblCellSpacing w:w="15" w:type="dxa"/>
        </w:trPr>
        <w:tc>
          <w:tcPr>
            <w:tcW w:w="990" w:type="dxa"/>
            <w:shd w:val="clear" w:color="auto" w:fill="auto"/>
            <w:tcMar>
              <w:top w:w="0" w:type="dxa"/>
              <w:left w:w="105" w:type="dxa"/>
              <w:bottom w:w="0" w:type="dxa"/>
              <w:right w:w="105" w:type="dxa"/>
            </w:tcMar>
            <w:vAlign w:val="center"/>
          </w:tcPr>
          <w:p w14:paraId="3B0EC6D8">
            <w:pPr>
              <w:pStyle w:val="19"/>
              <w:widowControl/>
              <w:jc w:val="center"/>
              <w:rPr>
                <w:color w:val="auto"/>
                <w:highlight w:val="none"/>
              </w:rPr>
            </w:pPr>
            <w:r>
              <w:rPr>
                <w:rFonts w:hint="eastAsia" w:ascii="宋体" w:hAnsi="宋体" w:cs="宋体"/>
                <w:color w:val="auto"/>
                <w:sz w:val="21"/>
                <w:szCs w:val="21"/>
                <w:highlight w:val="none"/>
              </w:rPr>
              <w:t>采购包</w:t>
            </w:r>
          </w:p>
        </w:tc>
        <w:tc>
          <w:tcPr>
            <w:tcW w:w="969" w:type="dxa"/>
            <w:shd w:val="clear" w:color="auto" w:fill="auto"/>
            <w:tcMar>
              <w:top w:w="0" w:type="dxa"/>
              <w:left w:w="105" w:type="dxa"/>
              <w:bottom w:w="0" w:type="dxa"/>
              <w:right w:w="105" w:type="dxa"/>
            </w:tcMar>
            <w:vAlign w:val="center"/>
          </w:tcPr>
          <w:p w14:paraId="23FFA84D">
            <w:pPr>
              <w:pStyle w:val="19"/>
              <w:widowControl/>
              <w:jc w:val="center"/>
              <w:rPr>
                <w:color w:val="auto"/>
                <w:highlight w:val="none"/>
              </w:rPr>
            </w:pPr>
            <w:r>
              <w:rPr>
                <w:rFonts w:hint="eastAsia" w:ascii="宋体" w:hAnsi="宋体" w:cs="宋体"/>
                <w:color w:val="auto"/>
                <w:sz w:val="21"/>
                <w:szCs w:val="21"/>
                <w:highlight w:val="none"/>
              </w:rPr>
              <w:t>品目号</w:t>
            </w:r>
          </w:p>
        </w:tc>
        <w:tc>
          <w:tcPr>
            <w:tcW w:w="2834" w:type="dxa"/>
            <w:shd w:val="clear" w:color="auto" w:fill="auto"/>
            <w:tcMar>
              <w:top w:w="0" w:type="dxa"/>
              <w:left w:w="105" w:type="dxa"/>
              <w:bottom w:w="0" w:type="dxa"/>
              <w:right w:w="105" w:type="dxa"/>
            </w:tcMar>
            <w:vAlign w:val="center"/>
          </w:tcPr>
          <w:p w14:paraId="1300EC4C">
            <w:pPr>
              <w:pStyle w:val="19"/>
              <w:widowControl/>
              <w:jc w:val="center"/>
              <w:rPr>
                <w:color w:val="auto"/>
                <w:highlight w:val="none"/>
              </w:rPr>
            </w:pPr>
            <w:r>
              <w:rPr>
                <w:rFonts w:hint="eastAsia" w:ascii="宋体" w:hAnsi="宋体" w:cs="宋体"/>
                <w:color w:val="auto"/>
                <w:sz w:val="21"/>
                <w:szCs w:val="21"/>
                <w:highlight w:val="none"/>
              </w:rPr>
              <w:t>技术和服务要求</w:t>
            </w:r>
          </w:p>
        </w:tc>
        <w:tc>
          <w:tcPr>
            <w:tcW w:w="1834" w:type="dxa"/>
            <w:shd w:val="clear" w:color="auto" w:fill="auto"/>
            <w:tcMar>
              <w:top w:w="0" w:type="dxa"/>
              <w:left w:w="105" w:type="dxa"/>
              <w:bottom w:w="0" w:type="dxa"/>
              <w:right w:w="105" w:type="dxa"/>
            </w:tcMar>
            <w:vAlign w:val="center"/>
          </w:tcPr>
          <w:p w14:paraId="023B4D64">
            <w:pPr>
              <w:pStyle w:val="19"/>
              <w:widowControl/>
              <w:jc w:val="center"/>
              <w:rPr>
                <w:color w:val="auto"/>
                <w:highlight w:val="none"/>
              </w:rPr>
            </w:pPr>
            <w:r>
              <w:rPr>
                <w:rFonts w:hint="eastAsia" w:ascii="宋体" w:hAnsi="宋体" w:cs="宋体"/>
                <w:color w:val="auto"/>
                <w:sz w:val="21"/>
                <w:szCs w:val="21"/>
                <w:highlight w:val="none"/>
              </w:rPr>
              <w:t>投标响应</w:t>
            </w:r>
          </w:p>
        </w:tc>
        <w:tc>
          <w:tcPr>
            <w:tcW w:w="1893" w:type="dxa"/>
            <w:shd w:val="clear" w:color="auto" w:fill="auto"/>
            <w:tcMar>
              <w:top w:w="0" w:type="dxa"/>
              <w:left w:w="105" w:type="dxa"/>
              <w:bottom w:w="0" w:type="dxa"/>
              <w:right w:w="105" w:type="dxa"/>
            </w:tcMar>
            <w:vAlign w:val="center"/>
          </w:tcPr>
          <w:p w14:paraId="6AD34149">
            <w:pPr>
              <w:pStyle w:val="19"/>
              <w:widowControl/>
              <w:jc w:val="center"/>
              <w:rPr>
                <w:color w:val="auto"/>
                <w:highlight w:val="none"/>
              </w:rPr>
            </w:pPr>
            <w:r>
              <w:rPr>
                <w:rFonts w:hint="eastAsia" w:ascii="宋体" w:hAnsi="宋体" w:cs="宋体"/>
                <w:color w:val="auto"/>
                <w:sz w:val="21"/>
                <w:szCs w:val="21"/>
                <w:highlight w:val="none"/>
              </w:rPr>
              <w:t>是否偏离及说明</w:t>
            </w:r>
          </w:p>
        </w:tc>
      </w:tr>
      <w:tr w14:paraId="1E75E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90" w:type="dxa"/>
            <w:vMerge w:val="restart"/>
            <w:shd w:val="clear" w:color="auto" w:fill="auto"/>
            <w:tcMar>
              <w:top w:w="0" w:type="dxa"/>
              <w:left w:w="105" w:type="dxa"/>
              <w:bottom w:w="0" w:type="dxa"/>
              <w:right w:w="105" w:type="dxa"/>
            </w:tcMar>
            <w:vAlign w:val="center"/>
          </w:tcPr>
          <w:p w14:paraId="64009E27">
            <w:pPr>
              <w:pStyle w:val="19"/>
              <w:widowControl/>
              <w:jc w:val="center"/>
              <w:rPr>
                <w:color w:val="auto"/>
                <w:highlight w:val="none"/>
              </w:rPr>
            </w:pPr>
            <w:r>
              <w:rPr>
                <w:rFonts w:hint="eastAsia" w:ascii="宋体" w:hAnsi="宋体" w:cs="宋体"/>
                <w:color w:val="auto"/>
                <w:sz w:val="21"/>
                <w:szCs w:val="21"/>
                <w:highlight w:val="none"/>
              </w:rPr>
              <w:t>*</w:t>
            </w:r>
          </w:p>
        </w:tc>
        <w:tc>
          <w:tcPr>
            <w:tcW w:w="969" w:type="dxa"/>
            <w:shd w:val="clear" w:color="auto" w:fill="auto"/>
            <w:tcMar>
              <w:top w:w="0" w:type="dxa"/>
              <w:left w:w="105" w:type="dxa"/>
              <w:bottom w:w="0" w:type="dxa"/>
              <w:right w:w="105" w:type="dxa"/>
            </w:tcMar>
            <w:vAlign w:val="center"/>
          </w:tcPr>
          <w:p w14:paraId="5730E27B">
            <w:pPr>
              <w:pStyle w:val="19"/>
              <w:widowControl/>
              <w:jc w:val="center"/>
              <w:rPr>
                <w:color w:val="auto"/>
                <w:highlight w:val="none"/>
              </w:rPr>
            </w:pPr>
            <w:r>
              <w:rPr>
                <w:rFonts w:hint="eastAsia" w:ascii="宋体" w:hAnsi="宋体" w:cs="宋体"/>
                <w:color w:val="auto"/>
                <w:sz w:val="21"/>
                <w:szCs w:val="21"/>
                <w:highlight w:val="none"/>
              </w:rPr>
              <w:t>*-1</w:t>
            </w:r>
          </w:p>
        </w:tc>
        <w:tc>
          <w:tcPr>
            <w:tcW w:w="2834" w:type="dxa"/>
            <w:shd w:val="clear" w:color="auto" w:fill="auto"/>
            <w:tcMar>
              <w:top w:w="0" w:type="dxa"/>
              <w:left w:w="105" w:type="dxa"/>
              <w:bottom w:w="0" w:type="dxa"/>
              <w:right w:w="105" w:type="dxa"/>
            </w:tcMar>
          </w:tcPr>
          <w:p w14:paraId="3456D3A6">
            <w:pPr>
              <w:widowControl/>
              <w:jc w:val="left"/>
              <w:rPr>
                <w:color w:val="auto"/>
                <w:highlight w:val="none"/>
              </w:rPr>
            </w:pPr>
          </w:p>
        </w:tc>
        <w:tc>
          <w:tcPr>
            <w:tcW w:w="1834" w:type="dxa"/>
            <w:shd w:val="clear" w:color="auto" w:fill="auto"/>
            <w:tcMar>
              <w:top w:w="0" w:type="dxa"/>
              <w:left w:w="105" w:type="dxa"/>
              <w:bottom w:w="0" w:type="dxa"/>
              <w:right w:w="105" w:type="dxa"/>
            </w:tcMar>
          </w:tcPr>
          <w:p w14:paraId="2AED87C9">
            <w:pPr>
              <w:widowControl/>
              <w:jc w:val="left"/>
              <w:rPr>
                <w:color w:val="auto"/>
                <w:highlight w:val="none"/>
              </w:rPr>
            </w:pPr>
          </w:p>
        </w:tc>
        <w:tc>
          <w:tcPr>
            <w:tcW w:w="1893" w:type="dxa"/>
            <w:shd w:val="clear" w:color="auto" w:fill="auto"/>
            <w:tcMar>
              <w:top w:w="0" w:type="dxa"/>
              <w:left w:w="105" w:type="dxa"/>
              <w:bottom w:w="0" w:type="dxa"/>
              <w:right w:w="105" w:type="dxa"/>
            </w:tcMar>
          </w:tcPr>
          <w:p w14:paraId="0DCF1BFE">
            <w:pPr>
              <w:widowControl/>
              <w:jc w:val="left"/>
              <w:rPr>
                <w:color w:val="auto"/>
                <w:highlight w:val="none"/>
              </w:rPr>
            </w:pPr>
          </w:p>
        </w:tc>
      </w:tr>
      <w:tr w14:paraId="6C004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90" w:type="dxa"/>
            <w:vMerge w:val="continue"/>
            <w:shd w:val="clear" w:color="auto" w:fill="auto"/>
            <w:tcMar>
              <w:top w:w="0" w:type="dxa"/>
              <w:left w:w="105" w:type="dxa"/>
              <w:bottom w:w="0" w:type="dxa"/>
              <w:right w:w="105" w:type="dxa"/>
            </w:tcMar>
            <w:vAlign w:val="center"/>
          </w:tcPr>
          <w:p w14:paraId="157B572D">
            <w:pPr>
              <w:rPr>
                <w:rFonts w:ascii="宋体"/>
                <w:color w:val="auto"/>
                <w:sz w:val="24"/>
                <w:highlight w:val="none"/>
              </w:rPr>
            </w:pPr>
          </w:p>
        </w:tc>
        <w:tc>
          <w:tcPr>
            <w:tcW w:w="969" w:type="dxa"/>
            <w:shd w:val="clear" w:color="auto" w:fill="auto"/>
            <w:tcMar>
              <w:top w:w="0" w:type="dxa"/>
              <w:left w:w="105" w:type="dxa"/>
              <w:bottom w:w="0" w:type="dxa"/>
              <w:right w:w="105" w:type="dxa"/>
            </w:tcMar>
            <w:vAlign w:val="center"/>
          </w:tcPr>
          <w:p w14:paraId="46961421">
            <w:pPr>
              <w:pStyle w:val="19"/>
              <w:widowControl/>
              <w:jc w:val="center"/>
              <w:rPr>
                <w:color w:val="auto"/>
                <w:highlight w:val="none"/>
              </w:rPr>
            </w:pPr>
            <w:r>
              <w:rPr>
                <w:rFonts w:ascii="Calibri" w:hAnsi="Calibri" w:cs="Calibri"/>
                <w:color w:val="auto"/>
                <w:sz w:val="21"/>
                <w:szCs w:val="21"/>
                <w:highlight w:val="none"/>
              </w:rPr>
              <w:t>…</w:t>
            </w:r>
          </w:p>
        </w:tc>
        <w:tc>
          <w:tcPr>
            <w:tcW w:w="2834" w:type="dxa"/>
            <w:shd w:val="clear" w:color="auto" w:fill="auto"/>
            <w:tcMar>
              <w:top w:w="0" w:type="dxa"/>
              <w:left w:w="105" w:type="dxa"/>
              <w:bottom w:w="0" w:type="dxa"/>
              <w:right w:w="105" w:type="dxa"/>
            </w:tcMar>
          </w:tcPr>
          <w:p w14:paraId="31CA11ED">
            <w:pPr>
              <w:widowControl/>
              <w:jc w:val="left"/>
              <w:rPr>
                <w:color w:val="auto"/>
                <w:highlight w:val="none"/>
              </w:rPr>
            </w:pPr>
          </w:p>
        </w:tc>
        <w:tc>
          <w:tcPr>
            <w:tcW w:w="1834" w:type="dxa"/>
            <w:shd w:val="clear" w:color="auto" w:fill="auto"/>
            <w:tcMar>
              <w:top w:w="0" w:type="dxa"/>
              <w:left w:w="105" w:type="dxa"/>
              <w:bottom w:w="0" w:type="dxa"/>
              <w:right w:w="105" w:type="dxa"/>
            </w:tcMar>
          </w:tcPr>
          <w:p w14:paraId="3CE520BE">
            <w:pPr>
              <w:widowControl/>
              <w:jc w:val="left"/>
              <w:rPr>
                <w:color w:val="auto"/>
                <w:highlight w:val="none"/>
              </w:rPr>
            </w:pPr>
          </w:p>
        </w:tc>
        <w:tc>
          <w:tcPr>
            <w:tcW w:w="1893" w:type="dxa"/>
            <w:shd w:val="clear" w:color="auto" w:fill="auto"/>
            <w:tcMar>
              <w:top w:w="0" w:type="dxa"/>
              <w:left w:w="105" w:type="dxa"/>
              <w:bottom w:w="0" w:type="dxa"/>
              <w:right w:w="105" w:type="dxa"/>
            </w:tcMar>
          </w:tcPr>
          <w:p w14:paraId="49516E43">
            <w:pPr>
              <w:widowControl/>
              <w:jc w:val="left"/>
              <w:rPr>
                <w:color w:val="auto"/>
                <w:highlight w:val="none"/>
              </w:rPr>
            </w:pPr>
          </w:p>
        </w:tc>
      </w:tr>
      <w:tr w14:paraId="4CE22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90" w:type="dxa"/>
            <w:shd w:val="clear" w:color="auto" w:fill="auto"/>
            <w:tcMar>
              <w:top w:w="0" w:type="dxa"/>
              <w:left w:w="105" w:type="dxa"/>
              <w:bottom w:w="0" w:type="dxa"/>
              <w:right w:w="105" w:type="dxa"/>
            </w:tcMar>
            <w:vAlign w:val="center"/>
          </w:tcPr>
          <w:p w14:paraId="75C2862D">
            <w:pPr>
              <w:pStyle w:val="19"/>
              <w:widowControl/>
              <w:jc w:val="center"/>
              <w:rPr>
                <w:color w:val="auto"/>
                <w:highlight w:val="none"/>
              </w:rPr>
            </w:pPr>
            <w:r>
              <w:rPr>
                <w:rFonts w:ascii="Calibri" w:hAnsi="Calibri" w:cs="Calibri"/>
                <w:color w:val="auto"/>
                <w:sz w:val="21"/>
                <w:szCs w:val="21"/>
                <w:highlight w:val="none"/>
              </w:rPr>
              <w:t>…</w:t>
            </w:r>
          </w:p>
        </w:tc>
        <w:tc>
          <w:tcPr>
            <w:tcW w:w="969" w:type="dxa"/>
            <w:shd w:val="clear" w:color="auto" w:fill="auto"/>
            <w:tcMar>
              <w:top w:w="0" w:type="dxa"/>
              <w:left w:w="105" w:type="dxa"/>
              <w:bottom w:w="0" w:type="dxa"/>
              <w:right w:w="105" w:type="dxa"/>
            </w:tcMar>
            <w:vAlign w:val="center"/>
          </w:tcPr>
          <w:p w14:paraId="19153CE7">
            <w:pPr>
              <w:widowControl/>
              <w:jc w:val="left"/>
              <w:rPr>
                <w:color w:val="auto"/>
                <w:highlight w:val="none"/>
              </w:rPr>
            </w:pPr>
          </w:p>
        </w:tc>
        <w:tc>
          <w:tcPr>
            <w:tcW w:w="2834" w:type="dxa"/>
            <w:shd w:val="clear" w:color="auto" w:fill="auto"/>
            <w:tcMar>
              <w:top w:w="0" w:type="dxa"/>
              <w:left w:w="105" w:type="dxa"/>
              <w:bottom w:w="0" w:type="dxa"/>
              <w:right w:w="105" w:type="dxa"/>
            </w:tcMar>
            <w:vAlign w:val="center"/>
          </w:tcPr>
          <w:p w14:paraId="7FE896C5">
            <w:pPr>
              <w:widowControl/>
              <w:jc w:val="left"/>
              <w:rPr>
                <w:color w:val="auto"/>
                <w:highlight w:val="none"/>
              </w:rPr>
            </w:pPr>
          </w:p>
        </w:tc>
        <w:tc>
          <w:tcPr>
            <w:tcW w:w="1834" w:type="dxa"/>
            <w:shd w:val="clear" w:color="auto" w:fill="auto"/>
            <w:tcMar>
              <w:top w:w="0" w:type="dxa"/>
              <w:left w:w="105" w:type="dxa"/>
              <w:bottom w:w="0" w:type="dxa"/>
              <w:right w:w="105" w:type="dxa"/>
            </w:tcMar>
            <w:vAlign w:val="center"/>
          </w:tcPr>
          <w:p w14:paraId="25C0EAD1">
            <w:pPr>
              <w:widowControl/>
              <w:jc w:val="left"/>
              <w:rPr>
                <w:color w:val="auto"/>
                <w:highlight w:val="none"/>
              </w:rPr>
            </w:pPr>
          </w:p>
        </w:tc>
        <w:tc>
          <w:tcPr>
            <w:tcW w:w="1893" w:type="dxa"/>
            <w:shd w:val="clear" w:color="auto" w:fill="auto"/>
            <w:tcMar>
              <w:top w:w="0" w:type="dxa"/>
              <w:left w:w="105" w:type="dxa"/>
              <w:bottom w:w="0" w:type="dxa"/>
              <w:right w:w="105" w:type="dxa"/>
            </w:tcMar>
            <w:vAlign w:val="center"/>
          </w:tcPr>
          <w:p w14:paraId="390B5A28">
            <w:pPr>
              <w:widowControl/>
              <w:jc w:val="left"/>
              <w:rPr>
                <w:color w:val="auto"/>
                <w:highlight w:val="none"/>
              </w:rPr>
            </w:pPr>
          </w:p>
        </w:tc>
      </w:tr>
    </w:tbl>
    <w:p w14:paraId="305E22F7">
      <w:pPr>
        <w:pStyle w:val="19"/>
        <w:widowControl/>
        <w:rPr>
          <w:color w:val="auto"/>
          <w:highlight w:val="none"/>
        </w:rPr>
      </w:pPr>
      <w:r>
        <w:rPr>
          <w:rFonts w:hint="eastAsia" w:ascii="宋体" w:hAnsi="宋体" w:cs="宋体"/>
          <w:color w:val="auto"/>
          <w:sz w:val="21"/>
          <w:szCs w:val="21"/>
          <w:highlight w:val="none"/>
        </w:rPr>
        <w:t>※注意：</w:t>
      </w:r>
    </w:p>
    <w:p w14:paraId="5A56F93E">
      <w:pPr>
        <w:pStyle w:val="19"/>
        <w:widowControl/>
        <w:rPr>
          <w:color w:val="auto"/>
          <w:highlight w:val="none"/>
        </w:rPr>
      </w:pPr>
      <w:r>
        <w:rPr>
          <w:rFonts w:hint="eastAsia" w:ascii="宋体" w:hAnsi="宋体" w:cs="宋体"/>
          <w:color w:val="auto"/>
          <w:sz w:val="21"/>
          <w:szCs w:val="21"/>
          <w:highlight w:val="none"/>
        </w:rPr>
        <w:t>1、本表应按照下列规定填写：</w:t>
      </w:r>
    </w:p>
    <w:p w14:paraId="60FCE433">
      <w:pPr>
        <w:pStyle w:val="19"/>
        <w:widowControl/>
        <w:rPr>
          <w:color w:val="auto"/>
          <w:highlight w:val="none"/>
        </w:rPr>
      </w:pPr>
      <w:r>
        <w:rPr>
          <w:rFonts w:hint="eastAsia" w:ascii="宋体" w:hAnsi="宋体" w:cs="宋体"/>
          <w:color w:val="auto"/>
          <w:sz w:val="21"/>
          <w:szCs w:val="21"/>
          <w:highlight w:val="none"/>
        </w:rPr>
        <w:t>1.1“技术和服务要求”项下填写的内容应与招标文件第五章“技术和服务要求”的内容保持一致。</w:t>
      </w:r>
    </w:p>
    <w:p w14:paraId="6ABCCDAD">
      <w:pPr>
        <w:pStyle w:val="19"/>
        <w:widowControl/>
        <w:rPr>
          <w:color w:val="auto"/>
          <w:highlight w:val="none"/>
        </w:rPr>
      </w:pPr>
      <w:r>
        <w:rPr>
          <w:rFonts w:hint="eastAsia" w:ascii="宋体" w:hAnsi="宋体" w:cs="宋体"/>
          <w:color w:val="auto"/>
          <w:sz w:val="21"/>
          <w:szCs w:val="21"/>
          <w:highlight w:val="none"/>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646348DE">
      <w:pPr>
        <w:pStyle w:val="19"/>
        <w:widowControl/>
        <w:rPr>
          <w:color w:val="auto"/>
          <w:highlight w:val="none"/>
        </w:rPr>
      </w:pPr>
      <w:r>
        <w:rPr>
          <w:rFonts w:hint="eastAsia" w:ascii="宋体" w:hAnsi="宋体" w:cs="宋体"/>
          <w:color w:val="auto"/>
          <w:sz w:val="21"/>
          <w:szCs w:val="21"/>
          <w:highlight w:val="none"/>
        </w:rPr>
        <w:t>1.3“是否偏离及说明”项下应按下列规定填写：优于的，填写“正偏离”；符合的，填写“无偏离”；低于的，填写“负偏离”。</w:t>
      </w:r>
    </w:p>
    <w:p w14:paraId="192EBCD2">
      <w:pPr>
        <w:pStyle w:val="19"/>
        <w:widowControl/>
        <w:spacing w:before="75" w:beforeAutospacing="0" w:after="75" w:afterAutospacing="0"/>
        <w:rPr>
          <w:color w:val="auto"/>
          <w:highlight w:val="none"/>
        </w:rPr>
      </w:pPr>
      <w:r>
        <w:rPr>
          <w:rFonts w:hint="eastAsia" w:ascii="宋体" w:hAnsi="宋体" w:cs="宋体"/>
          <w:color w:val="auto"/>
          <w:sz w:val="21"/>
          <w:szCs w:val="21"/>
          <w:highlight w:val="none"/>
        </w:rPr>
        <w:t>2、投标人需要说明的内容若需特殊表达，应先在本表中进行相应说明，再另页应答，但应做好标注说明，方便评委查阅评审。未标注说明可能导致的不利的评审后果由投标人自行承担。</w:t>
      </w:r>
    </w:p>
    <w:p w14:paraId="3132707A">
      <w:pPr>
        <w:spacing w:line="440" w:lineRule="exact"/>
        <w:ind w:firstLine="480" w:firstLineChars="200"/>
        <w:rPr>
          <w:rFonts w:ascii="宋体" w:hAnsi="宋体" w:cs="宋体"/>
          <w:bCs/>
          <w:color w:val="auto"/>
          <w:sz w:val="24"/>
          <w:highlight w:val="none"/>
        </w:rPr>
      </w:pPr>
    </w:p>
    <w:p w14:paraId="1C4CF5EA">
      <w:pPr>
        <w:spacing w:line="440" w:lineRule="exact"/>
        <w:ind w:firstLine="480" w:firstLineChars="200"/>
        <w:rPr>
          <w:rFonts w:ascii="宋体" w:hAnsi="宋体" w:cs="宋体"/>
          <w:bCs/>
          <w:color w:val="auto"/>
          <w:sz w:val="24"/>
          <w:highlight w:val="none"/>
          <w:u w:val="single"/>
        </w:rPr>
      </w:pPr>
      <w:r>
        <w:rPr>
          <w:rFonts w:hint="eastAsia" w:ascii="宋体" w:hAnsi="宋体" w:cs="宋体"/>
          <w:bCs/>
          <w:color w:val="auto"/>
          <w:sz w:val="24"/>
          <w:highlight w:val="none"/>
        </w:rPr>
        <w:t>投标人：</w:t>
      </w:r>
      <w:r>
        <w:rPr>
          <w:rFonts w:hint="eastAsia" w:ascii="宋体" w:hAnsi="宋体" w:cs="宋体"/>
          <w:bCs/>
          <w:color w:val="auto"/>
          <w:sz w:val="24"/>
          <w:highlight w:val="none"/>
          <w:u w:val="single"/>
        </w:rPr>
        <w:t>（全称并加盖单位公章）</w:t>
      </w:r>
    </w:p>
    <w:p w14:paraId="78E80760">
      <w:pPr>
        <w:spacing w:line="440" w:lineRule="exact"/>
        <w:ind w:firstLine="480" w:firstLineChars="200"/>
        <w:rPr>
          <w:rFonts w:ascii="宋体" w:hAnsi="宋体" w:cs="宋体"/>
          <w:bCs/>
          <w:color w:val="auto"/>
          <w:sz w:val="24"/>
          <w:highlight w:val="none"/>
          <w:u w:val="single"/>
        </w:rPr>
      </w:pPr>
      <w:r>
        <w:rPr>
          <w:rFonts w:hint="eastAsia" w:ascii="宋体" w:hAnsi="宋体" w:cs="宋体"/>
          <w:bCs/>
          <w:color w:val="auto"/>
          <w:sz w:val="24"/>
          <w:highlight w:val="none"/>
        </w:rPr>
        <w:t>投标人代表签字：</w:t>
      </w:r>
      <w:r>
        <w:rPr>
          <w:rFonts w:hint="eastAsia" w:ascii="宋体" w:hAnsi="宋体" w:cs="宋体"/>
          <w:bCs/>
          <w:color w:val="auto"/>
          <w:sz w:val="24"/>
          <w:highlight w:val="none"/>
          <w:u w:val="single"/>
        </w:rPr>
        <w:t xml:space="preserve">          </w:t>
      </w:r>
    </w:p>
    <w:p w14:paraId="5D496AF4">
      <w:pPr>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日期：    年   月   日</w:t>
      </w:r>
    </w:p>
    <w:p w14:paraId="06778376">
      <w:pPr>
        <w:pStyle w:val="19"/>
        <w:widowControl/>
        <w:rPr>
          <w:color w:val="auto"/>
          <w:highlight w:val="none"/>
        </w:rPr>
      </w:pPr>
      <w:r>
        <w:rPr>
          <w:rFonts w:hint="eastAsia" w:ascii="宋体" w:hAnsi="宋体" w:cs="宋体"/>
          <w:color w:val="auto"/>
          <w:sz w:val="21"/>
          <w:szCs w:val="21"/>
          <w:highlight w:val="none"/>
        </w:rPr>
        <w:t> </w:t>
      </w:r>
    </w:p>
    <w:p w14:paraId="762E8E24">
      <w:pPr>
        <w:pStyle w:val="19"/>
        <w:widowControl/>
        <w:rPr>
          <w:color w:val="auto"/>
          <w:highlight w:val="none"/>
        </w:rPr>
      </w:pPr>
      <w:r>
        <w:rPr>
          <w:rFonts w:hint="eastAsia" w:ascii="宋体" w:hAnsi="宋体" w:cs="宋体"/>
          <w:color w:val="auto"/>
          <w:sz w:val="21"/>
          <w:szCs w:val="21"/>
          <w:highlight w:val="none"/>
        </w:rPr>
        <w:t> </w:t>
      </w:r>
    </w:p>
    <w:p w14:paraId="7F81EC04">
      <w:pPr>
        <w:pStyle w:val="19"/>
        <w:widowControl/>
        <w:jc w:val="center"/>
        <w:rPr>
          <w:rFonts w:ascii="Calibri" w:hAnsi="Calibri" w:cs="Calibri"/>
          <w:color w:val="auto"/>
          <w:sz w:val="21"/>
          <w:szCs w:val="21"/>
          <w:highlight w:val="none"/>
        </w:rPr>
      </w:pPr>
    </w:p>
    <w:p w14:paraId="1C084AC2">
      <w:pPr>
        <w:pStyle w:val="19"/>
        <w:widowControl/>
        <w:jc w:val="center"/>
        <w:rPr>
          <w:rFonts w:ascii="Calibri" w:hAnsi="Calibri" w:cs="Calibri"/>
          <w:color w:val="auto"/>
          <w:sz w:val="21"/>
          <w:szCs w:val="21"/>
          <w:highlight w:val="none"/>
        </w:rPr>
      </w:pPr>
    </w:p>
    <w:p w14:paraId="32D207BD">
      <w:pPr>
        <w:pStyle w:val="19"/>
        <w:widowControl/>
        <w:jc w:val="center"/>
        <w:rPr>
          <w:rFonts w:ascii="Calibri" w:hAnsi="Calibri" w:cs="Calibri"/>
          <w:color w:val="auto"/>
          <w:sz w:val="21"/>
          <w:szCs w:val="21"/>
          <w:highlight w:val="none"/>
        </w:rPr>
      </w:pPr>
    </w:p>
    <w:p w14:paraId="1953A957">
      <w:pPr>
        <w:pStyle w:val="19"/>
        <w:widowControl/>
        <w:jc w:val="center"/>
        <w:rPr>
          <w:rStyle w:val="26"/>
          <w:rFonts w:ascii="宋体" w:hAnsi="宋体" w:cs="宋体"/>
          <w:color w:val="auto"/>
          <w:sz w:val="21"/>
          <w:szCs w:val="21"/>
          <w:highlight w:val="none"/>
        </w:rPr>
      </w:pPr>
    </w:p>
    <w:p w14:paraId="069C84B8">
      <w:pPr>
        <w:pStyle w:val="19"/>
        <w:widowControl/>
        <w:jc w:val="center"/>
        <w:rPr>
          <w:color w:val="auto"/>
          <w:highlight w:val="none"/>
        </w:rPr>
      </w:pPr>
      <w:r>
        <w:rPr>
          <w:rStyle w:val="26"/>
          <w:rFonts w:hint="eastAsia" w:ascii="宋体" w:hAnsi="宋体" w:cs="宋体"/>
          <w:color w:val="auto"/>
          <w:sz w:val="21"/>
          <w:szCs w:val="21"/>
          <w:highlight w:val="none"/>
        </w:rPr>
        <w:t>三、商务条件响应表</w:t>
      </w:r>
    </w:p>
    <w:p w14:paraId="2E6C6FDD">
      <w:pPr>
        <w:pStyle w:val="19"/>
        <w:widowControl/>
        <w:rPr>
          <w:color w:val="auto"/>
          <w:highlight w:val="none"/>
        </w:rPr>
      </w:pPr>
      <w:r>
        <w:rPr>
          <w:rFonts w:hint="eastAsia" w:ascii="宋体" w:hAnsi="宋体" w:cs="宋体"/>
          <w:color w:val="auto"/>
          <w:sz w:val="21"/>
          <w:szCs w:val="21"/>
          <w:highlight w:val="none"/>
        </w:rPr>
        <w:t> </w:t>
      </w:r>
    </w:p>
    <w:p w14:paraId="6D1402D6">
      <w:pPr>
        <w:pStyle w:val="19"/>
        <w:widowControl/>
        <w:rPr>
          <w:color w:val="auto"/>
          <w:highlight w:val="none"/>
        </w:rPr>
      </w:pP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u w:val="single"/>
        </w:rPr>
        <w:t>                   </w:t>
      </w:r>
    </w:p>
    <w:tbl>
      <w:tblPr>
        <w:tblStyle w:val="23"/>
        <w:tblW w:w="852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0"/>
        <w:gridCol w:w="1020"/>
        <w:gridCol w:w="2783"/>
        <w:gridCol w:w="1834"/>
        <w:gridCol w:w="1893"/>
      </w:tblGrid>
      <w:tr w14:paraId="64DA2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90" w:type="dxa"/>
            <w:shd w:val="clear" w:color="auto" w:fill="auto"/>
            <w:tcMar>
              <w:top w:w="0" w:type="dxa"/>
              <w:left w:w="105" w:type="dxa"/>
              <w:bottom w:w="0" w:type="dxa"/>
              <w:right w:w="105" w:type="dxa"/>
            </w:tcMar>
            <w:vAlign w:val="center"/>
          </w:tcPr>
          <w:p w14:paraId="67CDD5FB">
            <w:pPr>
              <w:pStyle w:val="19"/>
              <w:widowControl/>
              <w:jc w:val="center"/>
              <w:rPr>
                <w:color w:val="auto"/>
                <w:highlight w:val="none"/>
              </w:rPr>
            </w:pPr>
            <w:r>
              <w:rPr>
                <w:rFonts w:hint="eastAsia" w:ascii="宋体" w:hAnsi="宋体" w:cs="宋体"/>
                <w:color w:val="auto"/>
                <w:sz w:val="21"/>
                <w:szCs w:val="21"/>
                <w:highlight w:val="none"/>
              </w:rPr>
              <w:t>采购包</w:t>
            </w:r>
          </w:p>
        </w:tc>
        <w:tc>
          <w:tcPr>
            <w:tcW w:w="1020" w:type="dxa"/>
            <w:shd w:val="clear" w:color="auto" w:fill="auto"/>
            <w:tcMar>
              <w:top w:w="0" w:type="dxa"/>
              <w:left w:w="105" w:type="dxa"/>
              <w:bottom w:w="0" w:type="dxa"/>
              <w:right w:w="105" w:type="dxa"/>
            </w:tcMar>
            <w:vAlign w:val="center"/>
          </w:tcPr>
          <w:p w14:paraId="7D4CED4F">
            <w:pPr>
              <w:pStyle w:val="19"/>
              <w:widowControl/>
              <w:jc w:val="center"/>
              <w:rPr>
                <w:color w:val="auto"/>
                <w:highlight w:val="none"/>
              </w:rPr>
            </w:pPr>
            <w:r>
              <w:rPr>
                <w:rFonts w:hint="eastAsia" w:ascii="宋体" w:hAnsi="宋体" w:cs="宋体"/>
                <w:color w:val="auto"/>
                <w:sz w:val="21"/>
                <w:szCs w:val="21"/>
                <w:highlight w:val="none"/>
              </w:rPr>
              <w:t>品目号</w:t>
            </w:r>
          </w:p>
        </w:tc>
        <w:tc>
          <w:tcPr>
            <w:tcW w:w="2783" w:type="dxa"/>
            <w:shd w:val="clear" w:color="auto" w:fill="auto"/>
            <w:tcMar>
              <w:top w:w="0" w:type="dxa"/>
              <w:left w:w="105" w:type="dxa"/>
              <w:bottom w:w="0" w:type="dxa"/>
              <w:right w:w="105" w:type="dxa"/>
            </w:tcMar>
            <w:vAlign w:val="center"/>
          </w:tcPr>
          <w:p w14:paraId="49001F98">
            <w:pPr>
              <w:pStyle w:val="19"/>
              <w:widowControl/>
              <w:jc w:val="center"/>
              <w:rPr>
                <w:color w:val="auto"/>
                <w:highlight w:val="none"/>
              </w:rPr>
            </w:pPr>
            <w:r>
              <w:rPr>
                <w:rFonts w:hint="eastAsia" w:ascii="宋体" w:hAnsi="宋体" w:cs="宋体"/>
                <w:color w:val="auto"/>
                <w:sz w:val="21"/>
                <w:szCs w:val="21"/>
                <w:highlight w:val="none"/>
              </w:rPr>
              <w:t>商务条件</w:t>
            </w:r>
          </w:p>
        </w:tc>
        <w:tc>
          <w:tcPr>
            <w:tcW w:w="1834" w:type="dxa"/>
            <w:shd w:val="clear" w:color="auto" w:fill="auto"/>
            <w:tcMar>
              <w:top w:w="0" w:type="dxa"/>
              <w:left w:w="105" w:type="dxa"/>
              <w:bottom w:w="0" w:type="dxa"/>
              <w:right w:w="105" w:type="dxa"/>
            </w:tcMar>
            <w:vAlign w:val="center"/>
          </w:tcPr>
          <w:p w14:paraId="0EA79574">
            <w:pPr>
              <w:pStyle w:val="19"/>
              <w:widowControl/>
              <w:jc w:val="center"/>
              <w:rPr>
                <w:color w:val="auto"/>
                <w:highlight w:val="none"/>
              </w:rPr>
            </w:pPr>
            <w:r>
              <w:rPr>
                <w:rFonts w:hint="eastAsia" w:ascii="宋体" w:hAnsi="宋体" w:cs="宋体"/>
                <w:color w:val="auto"/>
                <w:sz w:val="21"/>
                <w:szCs w:val="21"/>
                <w:highlight w:val="none"/>
              </w:rPr>
              <w:t>投标响应</w:t>
            </w:r>
          </w:p>
        </w:tc>
        <w:tc>
          <w:tcPr>
            <w:tcW w:w="1893" w:type="dxa"/>
            <w:shd w:val="clear" w:color="auto" w:fill="auto"/>
            <w:tcMar>
              <w:top w:w="0" w:type="dxa"/>
              <w:left w:w="105" w:type="dxa"/>
              <w:bottom w:w="0" w:type="dxa"/>
              <w:right w:w="105" w:type="dxa"/>
            </w:tcMar>
            <w:vAlign w:val="center"/>
          </w:tcPr>
          <w:p w14:paraId="2E8985F4">
            <w:pPr>
              <w:pStyle w:val="19"/>
              <w:widowControl/>
              <w:jc w:val="center"/>
              <w:rPr>
                <w:color w:val="auto"/>
                <w:highlight w:val="none"/>
              </w:rPr>
            </w:pPr>
            <w:r>
              <w:rPr>
                <w:rFonts w:hint="eastAsia" w:ascii="宋体" w:hAnsi="宋体" w:cs="宋体"/>
                <w:color w:val="auto"/>
                <w:sz w:val="21"/>
                <w:szCs w:val="21"/>
                <w:highlight w:val="none"/>
              </w:rPr>
              <w:t>是否偏离及说明</w:t>
            </w:r>
          </w:p>
        </w:tc>
      </w:tr>
      <w:tr w14:paraId="66AB1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90" w:type="dxa"/>
            <w:vMerge w:val="restart"/>
            <w:shd w:val="clear" w:color="auto" w:fill="auto"/>
            <w:tcMar>
              <w:top w:w="0" w:type="dxa"/>
              <w:left w:w="105" w:type="dxa"/>
              <w:bottom w:w="0" w:type="dxa"/>
              <w:right w:w="105" w:type="dxa"/>
            </w:tcMar>
            <w:vAlign w:val="center"/>
          </w:tcPr>
          <w:p w14:paraId="63EFA814">
            <w:pPr>
              <w:pStyle w:val="19"/>
              <w:widowControl/>
              <w:jc w:val="center"/>
              <w:rPr>
                <w:color w:val="auto"/>
                <w:highlight w:val="none"/>
              </w:rPr>
            </w:pPr>
            <w:r>
              <w:rPr>
                <w:rFonts w:hint="eastAsia" w:ascii="宋体" w:hAnsi="宋体" w:cs="宋体"/>
                <w:color w:val="auto"/>
                <w:sz w:val="21"/>
                <w:szCs w:val="21"/>
                <w:highlight w:val="none"/>
              </w:rPr>
              <w:t>*</w:t>
            </w:r>
          </w:p>
        </w:tc>
        <w:tc>
          <w:tcPr>
            <w:tcW w:w="1020" w:type="dxa"/>
            <w:shd w:val="clear" w:color="auto" w:fill="auto"/>
            <w:tcMar>
              <w:top w:w="0" w:type="dxa"/>
              <w:left w:w="105" w:type="dxa"/>
              <w:bottom w:w="0" w:type="dxa"/>
              <w:right w:w="105" w:type="dxa"/>
            </w:tcMar>
            <w:vAlign w:val="center"/>
          </w:tcPr>
          <w:p w14:paraId="43906246">
            <w:pPr>
              <w:pStyle w:val="19"/>
              <w:widowControl/>
              <w:jc w:val="center"/>
              <w:rPr>
                <w:color w:val="auto"/>
                <w:highlight w:val="none"/>
              </w:rPr>
            </w:pPr>
            <w:r>
              <w:rPr>
                <w:rFonts w:hint="eastAsia" w:ascii="宋体" w:hAnsi="宋体" w:cs="宋体"/>
                <w:color w:val="auto"/>
                <w:sz w:val="21"/>
                <w:szCs w:val="21"/>
                <w:highlight w:val="none"/>
              </w:rPr>
              <w:t>*-1</w:t>
            </w:r>
          </w:p>
        </w:tc>
        <w:tc>
          <w:tcPr>
            <w:tcW w:w="2783" w:type="dxa"/>
            <w:shd w:val="clear" w:color="auto" w:fill="auto"/>
            <w:tcMar>
              <w:top w:w="0" w:type="dxa"/>
              <w:left w:w="105" w:type="dxa"/>
              <w:bottom w:w="0" w:type="dxa"/>
              <w:right w:w="105" w:type="dxa"/>
            </w:tcMar>
          </w:tcPr>
          <w:p w14:paraId="10A38653">
            <w:pPr>
              <w:widowControl/>
              <w:jc w:val="left"/>
              <w:rPr>
                <w:color w:val="auto"/>
                <w:highlight w:val="none"/>
              </w:rPr>
            </w:pPr>
          </w:p>
        </w:tc>
        <w:tc>
          <w:tcPr>
            <w:tcW w:w="1834" w:type="dxa"/>
            <w:shd w:val="clear" w:color="auto" w:fill="auto"/>
            <w:tcMar>
              <w:top w:w="0" w:type="dxa"/>
              <w:left w:w="105" w:type="dxa"/>
              <w:bottom w:w="0" w:type="dxa"/>
              <w:right w:w="105" w:type="dxa"/>
            </w:tcMar>
          </w:tcPr>
          <w:p w14:paraId="6D6BE421">
            <w:pPr>
              <w:widowControl/>
              <w:jc w:val="left"/>
              <w:rPr>
                <w:color w:val="auto"/>
                <w:highlight w:val="none"/>
              </w:rPr>
            </w:pPr>
          </w:p>
        </w:tc>
        <w:tc>
          <w:tcPr>
            <w:tcW w:w="1893" w:type="dxa"/>
            <w:shd w:val="clear" w:color="auto" w:fill="auto"/>
            <w:tcMar>
              <w:top w:w="0" w:type="dxa"/>
              <w:left w:w="105" w:type="dxa"/>
              <w:bottom w:w="0" w:type="dxa"/>
              <w:right w:w="105" w:type="dxa"/>
            </w:tcMar>
          </w:tcPr>
          <w:p w14:paraId="1A43B879">
            <w:pPr>
              <w:widowControl/>
              <w:jc w:val="left"/>
              <w:rPr>
                <w:color w:val="auto"/>
                <w:highlight w:val="none"/>
              </w:rPr>
            </w:pPr>
          </w:p>
        </w:tc>
      </w:tr>
      <w:tr w14:paraId="26232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90" w:type="dxa"/>
            <w:vMerge w:val="continue"/>
            <w:shd w:val="clear" w:color="auto" w:fill="auto"/>
            <w:tcMar>
              <w:top w:w="0" w:type="dxa"/>
              <w:left w:w="105" w:type="dxa"/>
              <w:bottom w:w="0" w:type="dxa"/>
              <w:right w:w="105" w:type="dxa"/>
            </w:tcMar>
            <w:vAlign w:val="center"/>
          </w:tcPr>
          <w:p w14:paraId="3592F819">
            <w:pPr>
              <w:rPr>
                <w:rFonts w:ascii="宋体"/>
                <w:color w:val="auto"/>
                <w:sz w:val="24"/>
                <w:highlight w:val="none"/>
              </w:rPr>
            </w:pPr>
          </w:p>
        </w:tc>
        <w:tc>
          <w:tcPr>
            <w:tcW w:w="1020" w:type="dxa"/>
            <w:shd w:val="clear" w:color="auto" w:fill="auto"/>
            <w:tcMar>
              <w:top w:w="0" w:type="dxa"/>
              <w:left w:w="105" w:type="dxa"/>
              <w:bottom w:w="0" w:type="dxa"/>
              <w:right w:w="105" w:type="dxa"/>
            </w:tcMar>
            <w:vAlign w:val="center"/>
          </w:tcPr>
          <w:p w14:paraId="5DEFBC5C">
            <w:pPr>
              <w:pStyle w:val="19"/>
              <w:widowControl/>
              <w:jc w:val="center"/>
              <w:rPr>
                <w:color w:val="auto"/>
                <w:highlight w:val="none"/>
              </w:rPr>
            </w:pPr>
            <w:r>
              <w:rPr>
                <w:rFonts w:ascii="Calibri" w:hAnsi="Calibri" w:cs="Calibri"/>
                <w:color w:val="auto"/>
                <w:sz w:val="21"/>
                <w:szCs w:val="21"/>
                <w:highlight w:val="none"/>
              </w:rPr>
              <w:t>…</w:t>
            </w:r>
          </w:p>
        </w:tc>
        <w:tc>
          <w:tcPr>
            <w:tcW w:w="2783" w:type="dxa"/>
            <w:shd w:val="clear" w:color="auto" w:fill="auto"/>
            <w:tcMar>
              <w:top w:w="0" w:type="dxa"/>
              <w:left w:w="105" w:type="dxa"/>
              <w:bottom w:w="0" w:type="dxa"/>
              <w:right w:w="105" w:type="dxa"/>
            </w:tcMar>
          </w:tcPr>
          <w:p w14:paraId="3F38149B">
            <w:pPr>
              <w:widowControl/>
              <w:jc w:val="left"/>
              <w:rPr>
                <w:color w:val="auto"/>
                <w:highlight w:val="none"/>
              </w:rPr>
            </w:pPr>
          </w:p>
        </w:tc>
        <w:tc>
          <w:tcPr>
            <w:tcW w:w="1834" w:type="dxa"/>
            <w:shd w:val="clear" w:color="auto" w:fill="auto"/>
            <w:tcMar>
              <w:top w:w="0" w:type="dxa"/>
              <w:left w:w="105" w:type="dxa"/>
              <w:bottom w:w="0" w:type="dxa"/>
              <w:right w:w="105" w:type="dxa"/>
            </w:tcMar>
          </w:tcPr>
          <w:p w14:paraId="5FF2EFE2">
            <w:pPr>
              <w:widowControl/>
              <w:jc w:val="left"/>
              <w:rPr>
                <w:color w:val="auto"/>
                <w:highlight w:val="none"/>
              </w:rPr>
            </w:pPr>
          </w:p>
        </w:tc>
        <w:tc>
          <w:tcPr>
            <w:tcW w:w="1893" w:type="dxa"/>
            <w:shd w:val="clear" w:color="auto" w:fill="auto"/>
            <w:tcMar>
              <w:top w:w="0" w:type="dxa"/>
              <w:left w:w="105" w:type="dxa"/>
              <w:bottom w:w="0" w:type="dxa"/>
              <w:right w:w="105" w:type="dxa"/>
            </w:tcMar>
          </w:tcPr>
          <w:p w14:paraId="3663D426">
            <w:pPr>
              <w:widowControl/>
              <w:jc w:val="left"/>
              <w:rPr>
                <w:color w:val="auto"/>
                <w:highlight w:val="none"/>
              </w:rPr>
            </w:pPr>
          </w:p>
        </w:tc>
      </w:tr>
      <w:tr w14:paraId="10054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90" w:type="dxa"/>
            <w:shd w:val="clear" w:color="auto" w:fill="auto"/>
            <w:tcMar>
              <w:top w:w="0" w:type="dxa"/>
              <w:left w:w="105" w:type="dxa"/>
              <w:bottom w:w="0" w:type="dxa"/>
              <w:right w:w="105" w:type="dxa"/>
            </w:tcMar>
            <w:vAlign w:val="center"/>
          </w:tcPr>
          <w:p w14:paraId="70E8C3EB">
            <w:pPr>
              <w:pStyle w:val="19"/>
              <w:widowControl/>
              <w:jc w:val="center"/>
              <w:rPr>
                <w:color w:val="auto"/>
                <w:highlight w:val="none"/>
              </w:rPr>
            </w:pPr>
            <w:r>
              <w:rPr>
                <w:rFonts w:ascii="Calibri" w:hAnsi="Calibri" w:cs="Calibri"/>
                <w:color w:val="auto"/>
                <w:sz w:val="21"/>
                <w:szCs w:val="21"/>
                <w:highlight w:val="none"/>
              </w:rPr>
              <w:t>…</w:t>
            </w:r>
          </w:p>
        </w:tc>
        <w:tc>
          <w:tcPr>
            <w:tcW w:w="1020" w:type="dxa"/>
            <w:shd w:val="clear" w:color="auto" w:fill="auto"/>
            <w:tcMar>
              <w:top w:w="0" w:type="dxa"/>
              <w:left w:w="105" w:type="dxa"/>
              <w:bottom w:w="0" w:type="dxa"/>
              <w:right w:w="105" w:type="dxa"/>
            </w:tcMar>
            <w:vAlign w:val="center"/>
          </w:tcPr>
          <w:p w14:paraId="12FD5FE2">
            <w:pPr>
              <w:widowControl/>
              <w:jc w:val="left"/>
              <w:rPr>
                <w:color w:val="auto"/>
                <w:highlight w:val="none"/>
              </w:rPr>
            </w:pPr>
          </w:p>
        </w:tc>
        <w:tc>
          <w:tcPr>
            <w:tcW w:w="2783" w:type="dxa"/>
            <w:shd w:val="clear" w:color="auto" w:fill="auto"/>
            <w:tcMar>
              <w:top w:w="0" w:type="dxa"/>
              <w:left w:w="105" w:type="dxa"/>
              <w:bottom w:w="0" w:type="dxa"/>
              <w:right w:w="105" w:type="dxa"/>
            </w:tcMar>
            <w:vAlign w:val="center"/>
          </w:tcPr>
          <w:p w14:paraId="534B13BD">
            <w:pPr>
              <w:widowControl/>
              <w:jc w:val="left"/>
              <w:rPr>
                <w:color w:val="auto"/>
                <w:highlight w:val="none"/>
              </w:rPr>
            </w:pPr>
          </w:p>
        </w:tc>
        <w:tc>
          <w:tcPr>
            <w:tcW w:w="1834" w:type="dxa"/>
            <w:shd w:val="clear" w:color="auto" w:fill="auto"/>
            <w:tcMar>
              <w:top w:w="0" w:type="dxa"/>
              <w:left w:w="105" w:type="dxa"/>
              <w:bottom w:w="0" w:type="dxa"/>
              <w:right w:w="105" w:type="dxa"/>
            </w:tcMar>
            <w:vAlign w:val="center"/>
          </w:tcPr>
          <w:p w14:paraId="6A8250B0">
            <w:pPr>
              <w:widowControl/>
              <w:jc w:val="left"/>
              <w:rPr>
                <w:color w:val="auto"/>
                <w:highlight w:val="none"/>
              </w:rPr>
            </w:pPr>
          </w:p>
        </w:tc>
        <w:tc>
          <w:tcPr>
            <w:tcW w:w="1893" w:type="dxa"/>
            <w:shd w:val="clear" w:color="auto" w:fill="auto"/>
            <w:tcMar>
              <w:top w:w="0" w:type="dxa"/>
              <w:left w:w="105" w:type="dxa"/>
              <w:bottom w:w="0" w:type="dxa"/>
              <w:right w:w="105" w:type="dxa"/>
            </w:tcMar>
            <w:vAlign w:val="center"/>
          </w:tcPr>
          <w:p w14:paraId="2A0E9FD8">
            <w:pPr>
              <w:widowControl/>
              <w:jc w:val="left"/>
              <w:rPr>
                <w:color w:val="auto"/>
                <w:highlight w:val="none"/>
              </w:rPr>
            </w:pPr>
          </w:p>
        </w:tc>
      </w:tr>
    </w:tbl>
    <w:p w14:paraId="273469EE">
      <w:pPr>
        <w:pStyle w:val="19"/>
        <w:widowControl/>
        <w:rPr>
          <w:color w:val="auto"/>
          <w:highlight w:val="none"/>
        </w:rPr>
      </w:pPr>
      <w:r>
        <w:rPr>
          <w:rFonts w:hint="eastAsia" w:ascii="宋体" w:hAnsi="宋体" w:cs="宋体"/>
          <w:color w:val="auto"/>
          <w:sz w:val="21"/>
          <w:szCs w:val="21"/>
          <w:highlight w:val="none"/>
        </w:rPr>
        <w:t>※注意：</w:t>
      </w:r>
    </w:p>
    <w:p w14:paraId="4030F67F">
      <w:pPr>
        <w:pStyle w:val="19"/>
        <w:widowControl/>
        <w:rPr>
          <w:color w:val="auto"/>
          <w:highlight w:val="none"/>
        </w:rPr>
      </w:pPr>
      <w:r>
        <w:rPr>
          <w:rFonts w:hint="eastAsia" w:ascii="宋体" w:hAnsi="宋体" w:cs="宋体"/>
          <w:color w:val="auto"/>
          <w:sz w:val="21"/>
          <w:szCs w:val="21"/>
          <w:highlight w:val="none"/>
        </w:rPr>
        <w:t>1、本表应按照下列规定填写：</w:t>
      </w:r>
    </w:p>
    <w:p w14:paraId="25C78174">
      <w:pPr>
        <w:pStyle w:val="19"/>
        <w:widowControl/>
        <w:rPr>
          <w:color w:val="auto"/>
          <w:highlight w:val="none"/>
        </w:rPr>
      </w:pPr>
      <w:r>
        <w:rPr>
          <w:rFonts w:hint="eastAsia" w:ascii="宋体" w:hAnsi="宋体" w:cs="宋体"/>
          <w:color w:val="auto"/>
          <w:sz w:val="21"/>
          <w:szCs w:val="21"/>
          <w:highlight w:val="none"/>
        </w:rPr>
        <w:t>1.1“商务条件”项下填写的内容应与招标文件第五章“商务条件”的内容保持一致。</w:t>
      </w:r>
    </w:p>
    <w:p w14:paraId="07A8DC10">
      <w:pPr>
        <w:pStyle w:val="19"/>
        <w:widowControl/>
        <w:rPr>
          <w:color w:val="auto"/>
          <w:highlight w:val="none"/>
        </w:rPr>
      </w:pPr>
      <w:r>
        <w:rPr>
          <w:rFonts w:hint="eastAsia" w:ascii="宋体" w:hAnsi="宋体" w:cs="宋体"/>
          <w:color w:val="auto"/>
          <w:sz w:val="21"/>
          <w:szCs w:val="21"/>
          <w:highlight w:val="none"/>
        </w:rPr>
        <w:t>1.2“投标响应”项下应填写具体的响应内容并与“商务条件”项下填写的内容逐项对应；对“商务条件”项下涉及“≥或＞”、“≤或＜”及某个区间值范围内的内容，应填写具体的数值。</w:t>
      </w:r>
    </w:p>
    <w:p w14:paraId="132E017E">
      <w:pPr>
        <w:pStyle w:val="19"/>
        <w:widowControl/>
        <w:rPr>
          <w:color w:val="auto"/>
          <w:highlight w:val="none"/>
        </w:rPr>
      </w:pPr>
      <w:r>
        <w:rPr>
          <w:rFonts w:hint="eastAsia" w:ascii="宋体" w:hAnsi="宋体" w:cs="宋体"/>
          <w:color w:val="auto"/>
          <w:sz w:val="21"/>
          <w:szCs w:val="21"/>
          <w:highlight w:val="none"/>
        </w:rPr>
        <w:t>1.3“是否偏离及说明”项下应按下列规定填写：优于的，填写“正偏离”；符合的，填写“无偏离”；低于的，填写“负偏离”。</w:t>
      </w:r>
    </w:p>
    <w:p w14:paraId="46127B31">
      <w:pPr>
        <w:pStyle w:val="19"/>
        <w:widowControl/>
        <w:rPr>
          <w:color w:val="auto"/>
          <w:highlight w:val="none"/>
        </w:rPr>
      </w:pPr>
      <w:r>
        <w:rPr>
          <w:rFonts w:hint="eastAsia" w:ascii="宋体" w:hAnsi="宋体" w:cs="宋体"/>
          <w:color w:val="auto"/>
          <w:sz w:val="21"/>
          <w:szCs w:val="21"/>
          <w:highlight w:val="none"/>
        </w:rPr>
        <w:t>2、投标人需要说明的内容若需特殊表达，应先在本表中进行相应说明，再另页应答，但应做好标注说明，方便评委查阅评审。未标注说明可能导致的不利的评审后果由投标人自行承担。</w:t>
      </w:r>
    </w:p>
    <w:p w14:paraId="7C3F7AD9">
      <w:pPr>
        <w:pStyle w:val="19"/>
        <w:widowControl/>
        <w:rPr>
          <w:color w:val="auto"/>
          <w:highlight w:val="none"/>
        </w:rPr>
      </w:pPr>
    </w:p>
    <w:p w14:paraId="78503554">
      <w:pPr>
        <w:spacing w:line="440" w:lineRule="exact"/>
        <w:ind w:firstLine="480" w:firstLineChars="200"/>
        <w:rPr>
          <w:rFonts w:ascii="宋体" w:hAnsi="宋体" w:cs="宋体"/>
          <w:bCs/>
          <w:color w:val="auto"/>
          <w:sz w:val="24"/>
          <w:highlight w:val="none"/>
          <w:u w:val="single"/>
        </w:rPr>
      </w:pPr>
      <w:r>
        <w:rPr>
          <w:rFonts w:hint="eastAsia" w:ascii="宋体" w:hAnsi="宋体" w:cs="宋体"/>
          <w:bCs/>
          <w:color w:val="auto"/>
          <w:sz w:val="24"/>
          <w:highlight w:val="none"/>
        </w:rPr>
        <w:t>投标人：</w:t>
      </w:r>
      <w:r>
        <w:rPr>
          <w:rFonts w:hint="eastAsia" w:ascii="宋体" w:hAnsi="宋体" w:cs="宋体"/>
          <w:bCs/>
          <w:color w:val="auto"/>
          <w:sz w:val="24"/>
          <w:highlight w:val="none"/>
          <w:u w:val="single"/>
        </w:rPr>
        <w:t>（全称并加盖单位公章）</w:t>
      </w:r>
    </w:p>
    <w:p w14:paraId="45FD2CF1">
      <w:pPr>
        <w:spacing w:line="440" w:lineRule="exact"/>
        <w:ind w:firstLine="480" w:firstLineChars="200"/>
        <w:rPr>
          <w:rFonts w:ascii="宋体" w:hAnsi="宋体" w:cs="宋体"/>
          <w:bCs/>
          <w:color w:val="auto"/>
          <w:sz w:val="24"/>
          <w:highlight w:val="none"/>
          <w:u w:val="single"/>
        </w:rPr>
      </w:pPr>
      <w:r>
        <w:rPr>
          <w:rFonts w:hint="eastAsia" w:ascii="宋体" w:hAnsi="宋体" w:cs="宋体"/>
          <w:bCs/>
          <w:color w:val="auto"/>
          <w:sz w:val="24"/>
          <w:highlight w:val="none"/>
        </w:rPr>
        <w:t>投标人代表签字：</w:t>
      </w:r>
      <w:r>
        <w:rPr>
          <w:rFonts w:hint="eastAsia" w:ascii="宋体" w:hAnsi="宋体" w:cs="宋体"/>
          <w:bCs/>
          <w:color w:val="auto"/>
          <w:sz w:val="24"/>
          <w:highlight w:val="none"/>
          <w:u w:val="single"/>
        </w:rPr>
        <w:t xml:space="preserve">          </w:t>
      </w:r>
    </w:p>
    <w:p w14:paraId="0AC0ECD2">
      <w:pPr>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日期：    年   月   日</w:t>
      </w:r>
    </w:p>
    <w:p w14:paraId="32EB2538">
      <w:pPr>
        <w:pStyle w:val="19"/>
        <w:widowControl/>
        <w:rPr>
          <w:color w:val="auto"/>
          <w:highlight w:val="none"/>
        </w:rPr>
      </w:pPr>
      <w:r>
        <w:rPr>
          <w:rFonts w:hint="eastAsia" w:ascii="宋体" w:hAnsi="宋体" w:cs="宋体"/>
          <w:color w:val="auto"/>
          <w:sz w:val="21"/>
          <w:szCs w:val="21"/>
          <w:highlight w:val="none"/>
        </w:rPr>
        <w:t> </w:t>
      </w:r>
    </w:p>
    <w:p w14:paraId="63E7C243">
      <w:pPr>
        <w:pStyle w:val="19"/>
        <w:widowControl/>
        <w:spacing w:after="240" w:afterAutospacing="0"/>
        <w:rPr>
          <w:rFonts w:ascii="宋体" w:hAnsi="宋体" w:cs="宋体"/>
          <w:color w:val="auto"/>
          <w:sz w:val="21"/>
          <w:szCs w:val="21"/>
          <w:highlight w:val="none"/>
        </w:rPr>
      </w:pPr>
      <w:r>
        <w:rPr>
          <w:rFonts w:hint="eastAsia" w:ascii="宋体" w:hAnsi="宋体" w:cs="宋体"/>
          <w:color w:val="auto"/>
          <w:sz w:val="21"/>
          <w:szCs w:val="21"/>
          <w:highlight w:val="none"/>
        </w:rPr>
        <w:t> </w:t>
      </w:r>
    </w:p>
    <w:p w14:paraId="3940E62D">
      <w:pPr>
        <w:pStyle w:val="19"/>
        <w:widowControl/>
        <w:spacing w:after="240" w:afterAutospacing="0"/>
        <w:rPr>
          <w:rFonts w:ascii="宋体" w:hAnsi="宋体" w:cs="宋体"/>
          <w:color w:val="auto"/>
          <w:sz w:val="21"/>
          <w:szCs w:val="21"/>
          <w:highlight w:val="none"/>
        </w:rPr>
      </w:pPr>
    </w:p>
    <w:p w14:paraId="41C08302">
      <w:pPr>
        <w:pStyle w:val="19"/>
        <w:widowControl/>
        <w:spacing w:after="240" w:afterAutospacing="0"/>
        <w:rPr>
          <w:rFonts w:ascii="宋体" w:hAnsi="宋体" w:cs="宋体"/>
          <w:color w:val="auto"/>
          <w:sz w:val="21"/>
          <w:szCs w:val="21"/>
          <w:highlight w:val="none"/>
        </w:rPr>
      </w:pPr>
    </w:p>
    <w:p w14:paraId="021F8526">
      <w:pPr>
        <w:pStyle w:val="19"/>
        <w:widowControl/>
        <w:spacing w:after="240" w:afterAutospacing="0"/>
        <w:rPr>
          <w:rFonts w:ascii="宋体" w:hAnsi="宋体" w:cs="宋体"/>
          <w:color w:val="auto"/>
          <w:sz w:val="21"/>
          <w:szCs w:val="21"/>
          <w:highlight w:val="none"/>
        </w:rPr>
      </w:pPr>
    </w:p>
    <w:p w14:paraId="0BA1F3DA">
      <w:pPr>
        <w:pStyle w:val="19"/>
        <w:widowControl/>
        <w:jc w:val="center"/>
        <w:rPr>
          <w:rStyle w:val="26"/>
          <w:rFonts w:ascii="宋体" w:hAnsi="宋体" w:cs="宋体"/>
          <w:color w:val="auto"/>
          <w:sz w:val="21"/>
          <w:szCs w:val="21"/>
          <w:highlight w:val="none"/>
        </w:rPr>
      </w:pPr>
    </w:p>
    <w:p w14:paraId="7C1E5258">
      <w:pPr>
        <w:pStyle w:val="19"/>
        <w:widowControl/>
        <w:jc w:val="center"/>
        <w:rPr>
          <w:color w:val="auto"/>
          <w:highlight w:val="none"/>
        </w:rPr>
      </w:pPr>
      <w:r>
        <w:rPr>
          <w:rStyle w:val="26"/>
          <w:rFonts w:hint="eastAsia" w:ascii="宋体" w:hAnsi="宋体" w:cs="宋体"/>
          <w:color w:val="auto"/>
          <w:sz w:val="21"/>
          <w:szCs w:val="21"/>
          <w:highlight w:val="none"/>
        </w:rPr>
        <w:t>四、投标人提交的其他资料（若有）</w:t>
      </w:r>
    </w:p>
    <w:p w14:paraId="7608FD01">
      <w:pPr>
        <w:pStyle w:val="19"/>
        <w:widowControl/>
        <w:rPr>
          <w:color w:val="auto"/>
          <w:highlight w:val="none"/>
        </w:rPr>
      </w:pPr>
      <w:r>
        <w:rPr>
          <w:rFonts w:hint="eastAsia" w:ascii="宋体" w:hAnsi="宋体" w:cs="宋体"/>
          <w:color w:val="auto"/>
          <w:sz w:val="21"/>
          <w:szCs w:val="21"/>
          <w:highlight w:val="none"/>
        </w:rPr>
        <w:t> </w:t>
      </w:r>
    </w:p>
    <w:p w14:paraId="58DBE54A">
      <w:pPr>
        <w:pStyle w:val="19"/>
        <w:widowControl/>
        <w:rPr>
          <w:color w:val="auto"/>
          <w:highlight w:val="none"/>
        </w:rPr>
      </w:pPr>
      <w:r>
        <w:rPr>
          <w:rFonts w:hint="eastAsia" w:ascii="宋体" w:hAnsi="宋体" w:cs="宋体"/>
          <w:color w:val="auto"/>
          <w:sz w:val="21"/>
          <w:szCs w:val="21"/>
          <w:highlight w:val="none"/>
        </w:rPr>
        <w:t> </w:t>
      </w:r>
    </w:p>
    <w:p w14:paraId="63F6F8FF">
      <w:pPr>
        <w:pStyle w:val="19"/>
        <w:widowControl/>
        <w:jc w:val="center"/>
        <w:rPr>
          <w:color w:val="auto"/>
          <w:highlight w:val="none"/>
        </w:rPr>
      </w:pPr>
      <w:r>
        <w:rPr>
          <w:rFonts w:hint="eastAsia" w:ascii="宋体" w:hAnsi="宋体" w:cs="宋体"/>
          <w:color w:val="auto"/>
          <w:sz w:val="21"/>
          <w:szCs w:val="21"/>
          <w:highlight w:val="none"/>
        </w:rPr>
        <w:t>编制说明</w:t>
      </w:r>
    </w:p>
    <w:p w14:paraId="5BB9241B">
      <w:pPr>
        <w:pStyle w:val="19"/>
        <w:widowControl/>
        <w:rPr>
          <w:color w:val="auto"/>
          <w:highlight w:val="none"/>
        </w:rPr>
      </w:pPr>
      <w:r>
        <w:rPr>
          <w:rFonts w:hint="eastAsia" w:ascii="宋体" w:hAnsi="宋体" w:cs="宋体"/>
          <w:color w:val="auto"/>
          <w:sz w:val="21"/>
          <w:szCs w:val="21"/>
          <w:highlight w:val="none"/>
        </w:rPr>
        <w:t> </w:t>
      </w:r>
    </w:p>
    <w:p w14:paraId="507847ED">
      <w:pPr>
        <w:pStyle w:val="19"/>
        <w:widowControl/>
        <w:rPr>
          <w:color w:val="auto"/>
          <w:highlight w:val="none"/>
        </w:rPr>
      </w:pPr>
      <w:r>
        <w:rPr>
          <w:rFonts w:hint="eastAsia" w:ascii="宋体" w:hAnsi="宋体" w:cs="宋体"/>
          <w:color w:val="auto"/>
          <w:sz w:val="21"/>
          <w:szCs w:val="21"/>
          <w:highlight w:val="none"/>
        </w:rPr>
        <w:t>1、招标文件要求提交的除</w:t>
      </w:r>
      <w:r>
        <w:rPr>
          <w:rStyle w:val="26"/>
          <w:rFonts w:hint="eastAsia" w:ascii="宋体" w:hAnsi="宋体" w:cs="宋体"/>
          <w:color w:val="auto"/>
          <w:sz w:val="21"/>
          <w:szCs w:val="21"/>
          <w:highlight w:val="none"/>
        </w:rPr>
        <w:t>“资格及资信证明部分”、“报价部分”</w:t>
      </w:r>
      <w:r>
        <w:rPr>
          <w:rFonts w:hint="eastAsia" w:ascii="宋体" w:hAnsi="宋体" w:cs="宋体"/>
          <w:color w:val="auto"/>
          <w:sz w:val="21"/>
          <w:szCs w:val="21"/>
          <w:highlight w:val="none"/>
        </w:rPr>
        <w:t>外的其他证明材料或资料加盖投标人的单位公章后应在此项下提交。</w:t>
      </w:r>
    </w:p>
    <w:p w14:paraId="5C864B75">
      <w:pPr>
        <w:pStyle w:val="19"/>
        <w:widowControl/>
        <w:rPr>
          <w:color w:val="auto"/>
          <w:highlight w:val="none"/>
        </w:rPr>
      </w:pPr>
      <w:r>
        <w:rPr>
          <w:rFonts w:hint="eastAsia" w:ascii="宋体" w:hAnsi="宋体" w:cs="宋体"/>
          <w:color w:val="auto"/>
          <w:sz w:val="21"/>
          <w:szCs w:val="21"/>
          <w:highlight w:val="none"/>
        </w:rPr>
        <w:t>2、招标文件要求投标人提供方案（包括但不限于：组织、实施、技术、服务方案等）的，投标人应在此项下提交。</w:t>
      </w:r>
    </w:p>
    <w:p w14:paraId="101BB1AD">
      <w:pPr>
        <w:pStyle w:val="19"/>
        <w:widowControl/>
        <w:rPr>
          <w:color w:val="auto"/>
          <w:highlight w:val="none"/>
        </w:rPr>
      </w:pPr>
      <w:r>
        <w:rPr>
          <w:rFonts w:hint="eastAsia" w:ascii="宋体" w:hAnsi="宋体" w:cs="宋体"/>
          <w:color w:val="auto"/>
          <w:sz w:val="21"/>
          <w:szCs w:val="21"/>
          <w:highlight w:val="none"/>
        </w:rPr>
        <w:t>3、除招标文件另有规定外，投标人认为需要提交的其他证明材料或资料加盖投标人的单位公章后应在此项下提交。</w:t>
      </w:r>
    </w:p>
    <w:p w14:paraId="5548840A">
      <w:pPr>
        <w:pStyle w:val="19"/>
        <w:widowControl/>
        <w:rPr>
          <w:color w:val="auto"/>
          <w:highlight w:val="none"/>
        </w:rPr>
      </w:pPr>
      <w:r>
        <w:rPr>
          <w:rFonts w:hint="eastAsia" w:ascii="宋体" w:hAnsi="宋体" w:cs="宋体"/>
          <w:color w:val="auto"/>
          <w:sz w:val="21"/>
          <w:szCs w:val="21"/>
          <w:highlight w:val="none"/>
        </w:rPr>
        <w:t> </w:t>
      </w:r>
    </w:p>
    <w:p w14:paraId="71FAE5C3">
      <w:pPr>
        <w:pStyle w:val="19"/>
        <w:widowControl/>
        <w:rPr>
          <w:color w:val="auto"/>
          <w:highlight w:val="none"/>
        </w:rPr>
      </w:pPr>
      <w:r>
        <w:rPr>
          <w:rFonts w:hint="eastAsia" w:ascii="宋体" w:hAnsi="宋体" w:cs="宋体"/>
          <w:color w:val="auto"/>
          <w:sz w:val="21"/>
          <w:szCs w:val="21"/>
          <w:highlight w:val="none"/>
        </w:rPr>
        <w:t> </w:t>
      </w:r>
    </w:p>
    <w:p w14:paraId="44971971">
      <w:pPr>
        <w:spacing w:line="360" w:lineRule="auto"/>
        <w:jc w:val="center"/>
        <w:outlineLvl w:val="9"/>
        <w:rPr>
          <w:rFonts w:ascii="宋体" w:hAnsi="宋体" w:eastAsia="宋体" w:cs="宋体"/>
          <w:color w:val="auto"/>
          <w:szCs w:val="20"/>
          <w:highlight w:val="none"/>
        </w:rPr>
      </w:pPr>
      <w:bookmarkStart w:id="0" w:name="_Toc332378755"/>
      <w:bookmarkStart w:id="1" w:name="_Toc394259021"/>
      <w:bookmarkStart w:id="2" w:name="附件2"/>
      <w:bookmarkStart w:id="3" w:name="_Toc308675462"/>
      <w:bookmarkStart w:id="4" w:name="_Toc6703"/>
      <w:bookmarkStart w:id="5" w:name="_Toc308607167"/>
      <w:bookmarkStart w:id="6" w:name="_Toc309199159"/>
      <w:bookmarkStart w:id="7" w:name="_Toc303755023"/>
      <w:r>
        <w:rPr>
          <w:rFonts w:hint="eastAsia" w:ascii="宋体" w:hAnsi="宋体" w:eastAsia="宋体" w:cs="宋体"/>
          <w:b/>
          <w:color w:val="auto"/>
          <w:sz w:val="24"/>
          <w:szCs w:val="20"/>
          <w:highlight w:val="none"/>
          <w:lang w:eastAsia="zh-CN"/>
        </w:rPr>
        <w:t>投标</w:t>
      </w:r>
      <w:r>
        <w:rPr>
          <w:rFonts w:hint="eastAsia" w:ascii="宋体" w:hAnsi="宋体" w:eastAsia="宋体" w:cs="宋体"/>
          <w:b/>
          <w:color w:val="auto"/>
          <w:sz w:val="24"/>
          <w:szCs w:val="20"/>
          <w:highlight w:val="none"/>
        </w:rPr>
        <w:t>文件标准装订参考范本</w:t>
      </w:r>
      <w:bookmarkEnd w:id="0"/>
      <w:bookmarkEnd w:id="1"/>
      <w:bookmarkEnd w:id="2"/>
      <w:bookmarkEnd w:id="3"/>
      <w:bookmarkEnd w:id="4"/>
      <w:bookmarkEnd w:id="5"/>
      <w:bookmarkEnd w:id="6"/>
      <w:bookmarkEnd w:id="7"/>
    </w:p>
    <w:p w14:paraId="1EEB970A">
      <w:pPr>
        <w:pStyle w:val="19"/>
        <w:widowControl/>
        <w:spacing w:before="75" w:beforeAutospacing="0" w:after="75" w:afterAutospacing="0"/>
        <w:rPr>
          <w:rFonts w:hint="default" w:ascii="宋体" w:hAnsi="宋体" w:cs="宋体"/>
          <w:color w:val="auto"/>
          <w:sz w:val="21"/>
          <w:szCs w:val="21"/>
          <w:highlight w:val="none"/>
        </w:rPr>
      </w:pPr>
      <w:r>
        <w:rPr>
          <w:rFonts w:hint="eastAsia" w:ascii="宋体" w:hAnsi="宋体" w:eastAsia="宋体" w:cs="宋体"/>
          <w:color w:val="auto"/>
          <w:kern w:val="2"/>
          <w:sz w:val="21"/>
          <w:szCs w:val="24"/>
          <w:highlight w:val="none"/>
          <w:lang w:val="en-US" w:eastAsia="zh-CN" w:bidi="ar-SA"/>
        </w:rPr>
        <w:drawing>
          <wp:inline distT="0" distB="0" distL="114300" distR="114300">
            <wp:extent cx="3314700" cy="3799840"/>
            <wp:effectExtent l="0" t="0" r="0"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lum/>
                    </a:blip>
                    <a:stretch>
                      <a:fillRect/>
                    </a:stretch>
                  </pic:blipFill>
                  <pic:spPr>
                    <a:xfrm>
                      <a:off x="0" y="0"/>
                      <a:ext cx="3314700" cy="3799840"/>
                    </a:xfrm>
                    <a:prstGeom prst="rect">
                      <a:avLst/>
                    </a:prstGeom>
                    <a:noFill/>
                    <a:ln>
                      <a:noFill/>
                    </a:ln>
                  </pic:spPr>
                </pic:pic>
              </a:graphicData>
            </a:graphic>
          </wp:inline>
        </w:drawing>
      </w:r>
    </w:p>
    <w:sectPr>
      <w:pgSz w:w="11906" w:h="16838"/>
      <w:pgMar w:top="1383" w:right="1293" w:bottom="1383" w:left="140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等线">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53AAB">
    <w:pPr>
      <w:pStyle w:val="16"/>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D121AB3">
                          <w:pPr>
                            <w:pStyle w:val="16"/>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naaT/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GdppP8kBAACSAwAADgAAAAAAAAABACAAAAAfAQAAZHJzL2Uyb0Rv&#10;Yy54bWxQSwUGAAAAAAYABgBZAQAAWgUAAAAA&#10;">
              <v:fill on="f" focussize="0,0"/>
              <v:stroke on="f"/>
              <v:imagedata o:title=""/>
              <o:lock v:ext="edit" aspectratio="f"/>
              <v:textbox inset="0mm,0mm,0mm,0mm" style="mso-fit-shape-to-text:t;">
                <w:txbxContent>
                  <w:p w14:paraId="3D121AB3">
                    <w:pPr>
                      <w:pStyle w:val="16"/>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4BB0F3"/>
    <w:multiLevelType w:val="singleLevel"/>
    <w:tmpl w:val="834BB0F3"/>
    <w:lvl w:ilvl="0" w:tentative="0">
      <w:start w:val="1"/>
      <w:numFmt w:val="decimal"/>
      <w:suff w:val="nothing"/>
      <w:lvlText w:val="（%1）"/>
      <w:lvlJc w:val="left"/>
    </w:lvl>
  </w:abstractNum>
  <w:abstractNum w:abstractNumId="1">
    <w:nsid w:val="9D144B29"/>
    <w:multiLevelType w:val="singleLevel"/>
    <w:tmpl w:val="9D144B29"/>
    <w:lvl w:ilvl="0" w:tentative="0">
      <w:start w:val="1"/>
      <w:numFmt w:val="decimal"/>
      <w:lvlText w:val="%1)"/>
      <w:lvlJc w:val="left"/>
      <w:pPr>
        <w:ind w:left="425" w:hanging="425"/>
      </w:pPr>
      <w:rPr>
        <w:rFonts w:hint="default"/>
      </w:rPr>
    </w:lvl>
  </w:abstractNum>
  <w:abstractNum w:abstractNumId="2">
    <w:nsid w:val="DA46142D"/>
    <w:multiLevelType w:val="singleLevel"/>
    <w:tmpl w:val="DA46142D"/>
    <w:lvl w:ilvl="0" w:tentative="0">
      <w:start w:val="1"/>
      <w:numFmt w:val="decimal"/>
      <w:lvlText w:val="%1)"/>
      <w:lvlJc w:val="left"/>
      <w:pPr>
        <w:ind w:left="425" w:hanging="425"/>
      </w:pPr>
      <w:rPr>
        <w:rFonts w:hint="default"/>
      </w:rPr>
    </w:lvl>
  </w:abstractNum>
  <w:abstractNum w:abstractNumId="3">
    <w:nsid w:val="DACDF162"/>
    <w:multiLevelType w:val="singleLevel"/>
    <w:tmpl w:val="DACDF162"/>
    <w:lvl w:ilvl="0" w:tentative="0">
      <w:start w:val="1"/>
      <w:numFmt w:val="decimalEnclosedCircleChinese"/>
      <w:suff w:val="nothing"/>
      <w:lvlText w:val="%1　"/>
      <w:lvlJc w:val="left"/>
      <w:pPr>
        <w:ind w:left="0" w:firstLine="400"/>
      </w:pPr>
      <w:rPr>
        <w:rFonts w:hint="eastAsia"/>
      </w:rPr>
    </w:lvl>
  </w:abstractNum>
  <w:abstractNum w:abstractNumId="4">
    <w:nsid w:val="ED7AFBF6"/>
    <w:multiLevelType w:val="singleLevel"/>
    <w:tmpl w:val="ED7AFBF6"/>
    <w:lvl w:ilvl="0" w:tentative="0">
      <w:start w:val="1"/>
      <w:numFmt w:val="decimal"/>
      <w:suff w:val="nothing"/>
      <w:lvlText w:val="%1）"/>
      <w:lvlJc w:val="left"/>
    </w:lvl>
  </w:abstractNum>
  <w:abstractNum w:abstractNumId="5">
    <w:nsid w:val="F3FEF597"/>
    <w:multiLevelType w:val="singleLevel"/>
    <w:tmpl w:val="F3FEF597"/>
    <w:lvl w:ilvl="0" w:tentative="0">
      <w:start w:val="1"/>
      <w:numFmt w:val="decimal"/>
      <w:suff w:val="nothing"/>
      <w:lvlText w:val="%1）"/>
      <w:lvlJc w:val="left"/>
    </w:lvl>
  </w:abstractNum>
  <w:abstractNum w:abstractNumId="6">
    <w:nsid w:val="00000001"/>
    <w:multiLevelType w:val="multilevel"/>
    <w:tmpl w:val="00000001"/>
    <w:lvl w:ilvl="0" w:tentative="0">
      <w:start w:val="1"/>
      <w:numFmt w:val="decimal"/>
      <w:lvlText w:val="%1)"/>
      <w:lvlJc w:val="left"/>
      <w:pPr>
        <w:tabs>
          <w:tab w:val="left" w:pos="927"/>
        </w:tabs>
        <w:ind w:left="927" w:hanging="420"/>
      </w:pPr>
    </w:lvl>
    <w:lvl w:ilvl="1" w:tentative="0">
      <w:start w:val="1"/>
      <w:numFmt w:val="decimal"/>
      <w:lvlText w:val="%2）"/>
      <w:lvlJc w:val="left"/>
      <w:pPr>
        <w:tabs>
          <w:tab w:val="left" w:pos="454"/>
        </w:tabs>
        <w:ind w:left="454" w:hanging="454"/>
      </w:pPr>
      <w:rPr>
        <w:rFonts w:hint="eastAsia"/>
        <w:b w:val="0"/>
        <w:i w:val="0"/>
        <w:sz w:val="24"/>
      </w:rPr>
    </w:lvl>
    <w:lvl w:ilvl="2" w:tentative="0">
      <w:start w:val="1"/>
      <w:numFmt w:val="lowerRoman"/>
      <w:lvlText w:val="%3."/>
      <w:lvlJc w:val="right"/>
      <w:pPr>
        <w:tabs>
          <w:tab w:val="left" w:pos="1767"/>
        </w:tabs>
        <w:ind w:left="1767" w:hanging="420"/>
      </w:pPr>
    </w:lvl>
    <w:lvl w:ilvl="3" w:tentative="0">
      <w:start w:val="1"/>
      <w:numFmt w:val="decimal"/>
      <w:lvlText w:val="%4、"/>
      <w:lvlJc w:val="left"/>
      <w:pPr>
        <w:tabs>
          <w:tab w:val="left" w:pos="2127"/>
        </w:tabs>
        <w:ind w:left="2127" w:hanging="360"/>
      </w:pPr>
      <w:rPr>
        <w:rFonts w:hint="default"/>
        <w:color w:val="auto"/>
      </w:rPr>
    </w:lvl>
    <w:lvl w:ilvl="4" w:tentative="0">
      <w:start w:val="1"/>
      <w:numFmt w:val="lowerLetter"/>
      <w:lvlText w:val="%5)"/>
      <w:lvlJc w:val="left"/>
      <w:pPr>
        <w:tabs>
          <w:tab w:val="left" w:pos="2607"/>
        </w:tabs>
        <w:ind w:left="2607" w:hanging="420"/>
      </w:pPr>
    </w:lvl>
    <w:lvl w:ilvl="5" w:tentative="0">
      <w:start w:val="1"/>
      <w:numFmt w:val="lowerRoman"/>
      <w:lvlText w:val="%6."/>
      <w:lvlJc w:val="right"/>
      <w:pPr>
        <w:tabs>
          <w:tab w:val="left" w:pos="3027"/>
        </w:tabs>
        <w:ind w:left="3027" w:hanging="420"/>
      </w:pPr>
    </w:lvl>
    <w:lvl w:ilvl="6" w:tentative="0">
      <w:start w:val="1"/>
      <w:numFmt w:val="decimal"/>
      <w:lvlText w:val="%7."/>
      <w:lvlJc w:val="left"/>
      <w:pPr>
        <w:tabs>
          <w:tab w:val="left" w:pos="3447"/>
        </w:tabs>
        <w:ind w:left="3447" w:hanging="420"/>
      </w:pPr>
    </w:lvl>
    <w:lvl w:ilvl="7" w:tentative="0">
      <w:start w:val="1"/>
      <w:numFmt w:val="lowerLetter"/>
      <w:lvlText w:val="%8)"/>
      <w:lvlJc w:val="left"/>
      <w:pPr>
        <w:tabs>
          <w:tab w:val="left" w:pos="3867"/>
        </w:tabs>
        <w:ind w:left="3867" w:hanging="420"/>
      </w:pPr>
    </w:lvl>
    <w:lvl w:ilvl="8" w:tentative="0">
      <w:start w:val="1"/>
      <w:numFmt w:val="lowerRoman"/>
      <w:lvlText w:val="%9."/>
      <w:lvlJc w:val="right"/>
      <w:pPr>
        <w:tabs>
          <w:tab w:val="left" w:pos="4287"/>
        </w:tabs>
        <w:ind w:left="4287" w:hanging="420"/>
      </w:pPr>
    </w:lvl>
  </w:abstractNum>
  <w:abstractNum w:abstractNumId="7">
    <w:nsid w:val="078039B8"/>
    <w:multiLevelType w:val="singleLevel"/>
    <w:tmpl w:val="078039B8"/>
    <w:lvl w:ilvl="0" w:tentative="0">
      <w:start w:val="1"/>
      <w:numFmt w:val="decimal"/>
      <w:suff w:val="nothing"/>
      <w:lvlText w:val="%1．"/>
      <w:lvlJc w:val="left"/>
      <w:pPr>
        <w:ind w:left="0" w:firstLine="400"/>
      </w:pPr>
      <w:rPr>
        <w:rFonts w:hint="default"/>
      </w:rPr>
    </w:lvl>
  </w:abstractNum>
  <w:abstractNum w:abstractNumId="8">
    <w:nsid w:val="0D743359"/>
    <w:multiLevelType w:val="singleLevel"/>
    <w:tmpl w:val="0D743359"/>
    <w:lvl w:ilvl="0" w:tentative="0">
      <w:start w:val="1"/>
      <w:numFmt w:val="decimal"/>
      <w:suff w:val="nothing"/>
      <w:lvlText w:val="%1）"/>
      <w:lvlJc w:val="left"/>
    </w:lvl>
  </w:abstractNum>
  <w:abstractNum w:abstractNumId="9">
    <w:nsid w:val="1ADFEE20"/>
    <w:multiLevelType w:val="singleLevel"/>
    <w:tmpl w:val="1ADFEE20"/>
    <w:lvl w:ilvl="0" w:tentative="0">
      <w:start w:val="1"/>
      <w:numFmt w:val="decimal"/>
      <w:lvlText w:val="%1)"/>
      <w:lvlJc w:val="left"/>
      <w:pPr>
        <w:ind w:left="425" w:hanging="425"/>
      </w:pPr>
      <w:rPr>
        <w:rFonts w:hint="default"/>
      </w:rPr>
    </w:lvl>
  </w:abstractNum>
  <w:abstractNum w:abstractNumId="10">
    <w:nsid w:val="1B45CA86"/>
    <w:multiLevelType w:val="singleLevel"/>
    <w:tmpl w:val="1B45CA86"/>
    <w:lvl w:ilvl="0" w:tentative="0">
      <w:start w:val="1"/>
      <w:numFmt w:val="decimal"/>
      <w:suff w:val="nothing"/>
      <w:lvlText w:val="（%1）"/>
      <w:lvlJc w:val="left"/>
    </w:lvl>
  </w:abstractNum>
  <w:abstractNum w:abstractNumId="11">
    <w:nsid w:val="3192C43C"/>
    <w:multiLevelType w:val="singleLevel"/>
    <w:tmpl w:val="3192C43C"/>
    <w:lvl w:ilvl="0" w:tentative="0">
      <w:start w:val="1"/>
      <w:numFmt w:val="decimal"/>
      <w:suff w:val="nothing"/>
      <w:lvlText w:val="%1）"/>
      <w:lvlJc w:val="left"/>
    </w:lvl>
  </w:abstractNum>
  <w:abstractNum w:abstractNumId="12">
    <w:nsid w:val="3B48864F"/>
    <w:multiLevelType w:val="singleLevel"/>
    <w:tmpl w:val="3B48864F"/>
    <w:lvl w:ilvl="0" w:tentative="0">
      <w:start w:val="3"/>
      <w:numFmt w:val="decimal"/>
      <w:suff w:val="nothing"/>
      <w:lvlText w:val="（%1）"/>
      <w:lvlJc w:val="left"/>
    </w:lvl>
  </w:abstractNum>
  <w:abstractNum w:abstractNumId="13">
    <w:nsid w:val="3F01C5CB"/>
    <w:multiLevelType w:val="singleLevel"/>
    <w:tmpl w:val="3F01C5CB"/>
    <w:lvl w:ilvl="0" w:tentative="0">
      <w:start w:val="1"/>
      <w:numFmt w:val="decimal"/>
      <w:suff w:val="nothing"/>
      <w:lvlText w:val="%1）"/>
      <w:lvlJc w:val="left"/>
    </w:lvl>
  </w:abstractNum>
  <w:abstractNum w:abstractNumId="14">
    <w:nsid w:val="4AD797A1"/>
    <w:multiLevelType w:val="singleLevel"/>
    <w:tmpl w:val="4AD797A1"/>
    <w:lvl w:ilvl="0" w:tentative="0">
      <w:start w:val="1"/>
      <w:numFmt w:val="decimal"/>
      <w:suff w:val="nothing"/>
      <w:lvlText w:val="%1．"/>
      <w:lvlJc w:val="left"/>
      <w:pPr>
        <w:ind w:left="0" w:firstLine="400"/>
      </w:pPr>
      <w:rPr>
        <w:rFonts w:hint="default"/>
      </w:rPr>
    </w:lvl>
  </w:abstractNum>
  <w:abstractNum w:abstractNumId="15">
    <w:nsid w:val="51075000"/>
    <w:multiLevelType w:val="singleLevel"/>
    <w:tmpl w:val="51075000"/>
    <w:lvl w:ilvl="0" w:tentative="0">
      <w:start w:val="1"/>
      <w:numFmt w:val="decimal"/>
      <w:suff w:val="nothing"/>
      <w:lvlText w:val="%1）"/>
      <w:lvlJc w:val="left"/>
    </w:lvl>
  </w:abstractNum>
  <w:abstractNum w:abstractNumId="16">
    <w:nsid w:val="5240AECD"/>
    <w:multiLevelType w:val="singleLevel"/>
    <w:tmpl w:val="5240AECD"/>
    <w:lvl w:ilvl="0" w:tentative="0">
      <w:start w:val="1"/>
      <w:numFmt w:val="decimal"/>
      <w:suff w:val="nothing"/>
      <w:lvlText w:val="%1）"/>
      <w:lvlJc w:val="left"/>
      <w:rPr>
        <w:rFonts w:hint="default"/>
        <w:b w:val="0"/>
        <w:bCs w:val="0"/>
      </w:rPr>
    </w:lvl>
  </w:abstractNum>
  <w:abstractNum w:abstractNumId="17">
    <w:nsid w:val="54FCB9BD"/>
    <w:multiLevelType w:val="singleLevel"/>
    <w:tmpl w:val="54FCB9BD"/>
    <w:lvl w:ilvl="0" w:tentative="0">
      <w:start w:val="1"/>
      <w:numFmt w:val="chineseCounting"/>
      <w:suff w:val="nothing"/>
      <w:lvlText w:val="%1、"/>
      <w:lvlJc w:val="left"/>
      <w:rPr>
        <w:rFonts w:hint="eastAsia"/>
      </w:rPr>
    </w:lvl>
  </w:abstractNum>
  <w:abstractNum w:abstractNumId="18">
    <w:nsid w:val="5E782B47"/>
    <w:multiLevelType w:val="singleLevel"/>
    <w:tmpl w:val="5E782B47"/>
    <w:lvl w:ilvl="0" w:tentative="0">
      <w:start w:val="1"/>
      <w:numFmt w:val="decimal"/>
      <w:suff w:val="nothing"/>
      <w:lvlText w:val="%1．"/>
      <w:lvlJc w:val="left"/>
      <w:pPr>
        <w:ind w:left="0" w:firstLine="400"/>
      </w:pPr>
      <w:rPr>
        <w:rFonts w:hint="default"/>
      </w:rPr>
    </w:lvl>
  </w:abstractNum>
  <w:abstractNum w:abstractNumId="19">
    <w:nsid w:val="676BF533"/>
    <w:multiLevelType w:val="singleLevel"/>
    <w:tmpl w:val="676BF533"/>
    <w:lvl w:ilvl="0" w:tentative="0">
      <w:start w:val="1"/>
      <w:numFmt w:val="chineseCounting"/>
      <w:suff w:val="nothing"/>
      <w:lvlText w:val="%1、"/>
      <w:lvlJc w:val="left"/>
      <w:pPr>
        <w:ind w:left="0" w:firstLine="420"/>
      </w:pPr>
      <w:rPr>
        <w:rFonts w:hint="eastAsia"/>
      </w:rPr>
    </w:lvl>
  </w:abstractNum>
  <w:num w:numId="1">
    <w:abstractNumId w:val="12"/>
  </w:num>
  <w:num w:numId="2">
    <w:abstractNumId w:val="17"/>
  </w:num>
  <w:num w:numId="3">
    <w:abstractNumId w:val="0"/>
  </w:num>
  <w:num w:numId="4">
    <w:abstractNumId w:val="10"/>
  </w:num>
  <w:num w:numId="5">
    <w:abstractNumId w:val="11"/>
  </w:num>
  <w:num w:numId="6">
    <w:abstractNumId w:val="13"/>
  </w:num>
  <w:num w:numId="7">
    <w:abstractNumId w:val="16"/>
  </w:num>
  <w:num w:numId="8">
    <w:abstractNumId w:val="8"/>
  </w:num>
  <w:num w:numId="9">
    <w:abstractNumId w:val="4"/>
  </w:num>
  <w:num w:numId="10">
    <w:abstractNumId w:val="5"/>
  </w:num>
  <w:num w:numId="11">
    <w:abstractNumId w:val="15"/>
  </w:num>
  <w:num w:numId="12">
    <w:abstractNumId w:val="3"/>
  </w:num>
  <w:num w:numId="13">
    <w:abstractNumId w:val="9"/>
  </w:num>
  <w:num w:numId="14">
    <w:abstractNumId w:val="1"/>
  </w:num>
  <w:num w:numId="15">
    <w:abstractNumId w:val="2"/>
  </w:num>
  <w:num w:numId="16">
    <w:abstractNumId w:val="19"/>
  </w:num>
  <w:num w:numId="17">
    <w:abstractNumId w:val="14"/>
  </w:num>
  <w:num w:numId="18">
    <w:abstractNumId w:val="7"/>
  </w:num>
  <w:num w:numId="19">
    <w:abstractNumId w:val="1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903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cs="宋体"/>
      <w:b/>
      <w:bCs/>
      <w:kern w:val="44"/>
      <w:sz w:val="48"/>
      <w:szCs w:val="48"/>
    </w:rPr>
  </w:style>
  <w:style w:type="paragraph" w:styleId="3">
    <w:name w:val="heading 2"/>
    <w:basedOn w:val="1"/>
    <w:next w:val="4"/>
    <w:qFormat/>
    <w:uiPriority w:val="99"/>
    <w:pPr>
      <w:keepNext/>
      <w:keepLines/>
      <w:spacing w:before="260" w:after="260" w:line="416" w:lineRule="auto"/>
      <w:outlineLvl w:val="1"/>
    </w:pPr>
    <w:rPr>
      <w:rFonts w:ascii="Arial" w:hAnsi="Arial" w:eastAsia="黑体" w:cs="Arial"/>
      <w:b/>
      <w:bCs/>
      <w:sz w:val="32"/>
      <w:szCs w:val="32"/>
    </w:rPr>
  </w:style>
  <w:style w:type="paragraph" w:styleId="5">
    <w:name w:val="heading 3"/>
    <w:basedOn w:val="1"/>
    <w:next w:val="1"/>
    <w:qFormat/>
    <w:uiPriority w:val="9"/>
    <w:pPr>
      <w:spacing w:before="100" w:beforeAutospacing="1" w:after="100" w:afterAutospacing="1"/>
      <w:jc w:val="left"/>
      <w:outlineLvl w:val="2"/>
    </w:pPr>
    <w:rPr>
      <w:rFonts w:hint="eastAsia" w:ascii="宋体" w:hAnsi="宋体" w:cs="宋体"/>
      <w:b/>
      <w:kern w:val="0"/>
      <w:sz w:val="27"/>
      <w:szCs w:val="27"/>
    </w:rPr>
  </w:style>
  <w:style w:type="paragraph" w:styleId="6">
    <w:name w:val="heading 4"/>
    <w:basedOn w:val="1"/>
    <w:next w:val="1"/>
    <w:qFormat/>
    <w:uiPriority w:val="9"/>
    <w:pPr>
      <w:spacing w:before="100" w:beforeAutospacing="1" w:after="100" w:afterAutospacing="1"/>
      <w:jc w:val="left"/>
      <w:outlineLvl w:val="3"/>
    </w:pPr>
    <w:rPr>
      <w:rFonts w:hint="eastAsia" w:ascii="宋体" w:hAnsi="宋体" w:cs="宋体"/>
      <w:b/>
      <w:bCs/>
      <w:kern w:val="0"/>
      <w:sz w:val="24"/>
    </w:rPr>
  </w:style>
  <w:style w:type="paragraph" w:styleId="7">
    <w:name w:val="heading 5"/>
    <w:basedOn w:val="1"/>
    <w:next w:val="1"/>
    <w:qFormat/>
    <w:uiPriority w:val="9"/>
    <w:pPr>
      <w:spacing w:before="100" w:beforeAutospacing="1" w:after="100" w:afterAutospacing="1"/>
      <w:jc w:val="left"/>
      <w:outlineLvl w:val="4"/>
    </w:pPr>
    <w:rPr>
      <w:rFonts w:hint="eastAsia" w:ascii="宋体" w:hAnsi="宋体" w:cs="宋体"/>
      <w:b/>
      <w:bCs/>
      <w:kern w:val="0"/>
      <w:sz w:val="20"/>
      <w:szCs w:val="20"/>
    </w:rPr>
  </w:style>
  <w:style w:type="paragraph" w:styleId="8">
    <w:name w:val="heading 6"/>
    <w:basedOn w:val="1"/>
    <w:next w:val="1"/>
    <w:qFormat/>
    <w:uiPriority w:val="9"/>
    <w:pPr>
      <w:spacing w:before="100" w:beforeAutospacing="1" w:after="100" w:afterAutospacing="1"/>
      <w:jc w:val="left"/>
      <w:outlineLvl w:val="5"/>
    </w:pPr>
    <w:rPr>
      <w:rFonts w:hint="eastAsia" w:ascii="宋体" w:hAnsi="宋体" w:cs="宋体"/>
      <w:b/>
      <w:bCs/>
      <w:kern w:val="0"/>
      <w:sz w:val="15"/>
      <w:szCs w:val="15"/>
    </w:rPr>
  </w:style>
  <w:style w:type="character" w:default="1" w:styleId="25">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0"/>
    <w:pPr>
      <w:ind w:firstLine="420" w:firstLineChars="200"/>
    </w:pPr>
  </w:style>
  <w:style w:type="paragraph" w:styleId="9">
    <w:name w:val="annotation text"/>
    <w:basedOn w:val="1"/>
    <w:qFormat/>
    <w:uiPriority w:val="0"/>
    <w:pPr>
      <w:jc w:val="left"/>
    </w:pPr>
  </w:style>
  <w:style w:type="paragraph" w:styleId="10">
    <w:name w:val="Body Text"/>
    <w:basedOn w:val="1"/>
    <w:next w:val="1"/>
    <w:qFormat/>
    <w:uiPriority w:val="0"/>
    <w:pPr>
      <w:spacing w:line="380" w:lineRule="exact"/>
    </w:pPr>
    <w:rPr>
      <w:sz w:val="24"/>
    </w:rPr>
  </w:style>
  <w:style w:type="paragraph" w:styleId="11">
    <w:name w:val="Body Text Indent"/>
    <w:basedOn w:val="1"/>
    <w:next w:val="12"/>
    <w:qFormat/>
    <w:uiPriority w:val="0"/>
    <w:pPr>
      <w:ind w:left="570"/>
    </w:pPr>
    <w:rPr>
      <w:sz w:val="28"/>
    </w:rPr>
  </w:style>
  <w:style w:type="paragraph" w:styleId="12">
    <w:name w:val="envelope return"/>
    <w:basedOn w:val="1"/>
    <w:qFormat/>
    <w:uiPriority w:val="99"/>
    <w:pPr>
      <w:snapToGrid w:val="0"/>
    </w:pPr>
    <w:rPr>
      <w:rFonts w:ascii="Arial" w:hAnsi="Arial"/>
    </w:rPr>
  </w:style>
  <w:style w:type="paragraph" w:styleId="13">
    <w:name w:val="toc 5"/>
    <w:basedOn w:val="1"/>
    <w:next w:val="1"/>
    <w:unhideWhenUsed/>
    <w:qFormat/>
    <w:uiPriority w:val="39"/>
    <w:pPr>
      <w:ind w:left="1680" w:leftChars="800"/>
    </w:pPr>
  </w:style>
  <w:style w:type="paragraph" w:styleId="14">
    <w:name w:val="Plain Text"/>
    <w:basedOn w:val="1"/>
    <w:next w:val="1"/>
    <w:qFormat/>
    <w:uiPriority w:val="0"/>
    <w:pPr>
      <w:jc w:val="left"/>
    </w:pPr>
    <w:rPr>
      <w:rFonts w:ascii="宋体" w:hAnsi="Courier New"/>
      <w:kern w:val="0"/>
      <w:szCs w:val="20"/>
    </w:rPr>
  </w:style>
  <w:style w:type="paragraph" w:styleId="15">
    <w:name w:val="Body Text Indent 2"/>
    <w:basedOn w:val="1"/>
    <w:qFormat/>
    <w:uiPriority w:val="0"/>
    <w:pPr>
      <w:spacing w:after="120" w:line="480" w:lineRule="auto"/>
      <w:ind w:left="420" w:leftChars="200"/>
    </w:p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next w:val="1"/>
    <w:unhideWhenUsed/>
    <w:qFormat/>
    <w:uiPriority w:val="39"/>
    <w:pPr>
      <w:tabs>
        <w:tab w:val="left" w:pos="720"/>
      </w:tabs>
      <w:spacing w:line="480" w:lineRule="exact"/>
      <w:jc w:val="center"/>
      <w:textAlignment w:val="baseline"/>
    </w:pPr>
    <w:rPr>
      <w:rFonts w:ascii="宋体" w:hAnsi="Times New Roman" w:eastAsia="宋体" w:cs="Times New Roman"/>
      <w:b/>
      <w:bCs/>
      <w:kern w:val="2"/>
      <w:sz w:val="28"/>
      <w:szCs w:val="28"/>
      <w:lang w:val="en-US" w:eastAsia="zh-CN" w:bidi="ar-SA"/>
    </w:rPr>
  </w:style>
  <w:style w:type="paragraph" w:styleId="19">
    <w:name w:val="Normal (Web)"/>
    <w:basedOn w:val="1"/>
    <w:qFormat/>
    <w:uiPriority w:val="99"/>
    <w:pPr>
      <w:spacing w:before="100" w:beforeAutospacing="1" w:after="100" w:afterAutospacing="1"/>
      <w:jc w:val="left"/>
    </w:pPr>
    <w:rPr>
      <w:kern w:val="0"/>
      <w:sz w:val="24"/>
    </w:rPr>
  </w:style>
  <w:style w:type="paragraph" w:styleId="20">
    <w:name w:val="Title"/>
    <w:next w:val="1"/>
    <w:qFormat/>
    <w:uiPriority w:val="99"/>
    <w:pPr>
      <w:widowControl w:val="0"/>
      <w:jc w:val="center"/>
      <w:outlineLvl w:val="0"/>
    </w:pPr>
    <w:rPr>
      <w:rFonts w:ascii="Arial" w:hAnsi="Arial" w:eastAsia="宋体" w:cs="Arial"/>
      <w:b/>
      <w:bCs/>
      <w:kern w:val="2"/>
      <w:sz w:val="32"/>
      <w:szCs w:val="32"/>
      <w:lang w:val="en-US" w:eastAsia="zh-CN" w:bidi="ar-SA"/>
    </w:rPr>
  </w:style>
  <w:style w:type="paragraph" w:styleId="21">
    <w:name w:val="Body Text First Indent"/>
    <w:basedOn w:val="10"/>
    <w:qFormat/>
    <w:uiPriority w:val="99"/>
    <w:pPr>
      <w:widowControl w:val="0"/>
      <w:tabs>
        <w:tab w:val="left" w:pos="8100"/>
      </w:tabs>
      <w:adjustRightInd/>
      <w:snapToGrid/>
      <w:spacing w:line="360" w:lineRule="auto"/>
      <w:ind w:firstLine="420" w:firstLineChars="100"/>
      <w:jc w:val="both"/>
    </w:pPr>
    <w:rPr>
      <w:rFonts w:ascii="Calibri" w:hAnsi="Calibri" w:eastAsia="宋体" w:cs="Times New Roman"/>
      <w:kern w:val="2"/>
      <w:sz w:val="21"/>
      <w:szCs w:val="24"/>
    </w:rPr>
  </w:style>
  <w:style w:type="paragraph" w:styleId="22">
    <w:name w:val="Body Text First Indent 2"/>
    <w:basedOn w:val="11"/>
    <w:next w:val="1"/>
    <w:qFormat/>
    <w:uiPriority w:val="0"/>
    <w:pPr>
      <w:ind w:firstLine="420"/>
    </w:pPr>
  </w:style>
  <w:style w:type="table" w:styleId="24">
    <w:name w:val="Table Grid"/>
    <w:basedOn w:val="2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rPr>
  </w:style>
  <w:style w:type="paragraph" w:customStyle="1" w:styleId="27">
    <w:name w:val="Char"/>
    <w:basedOn w:val="1"/>
    <w:qFormat/>
    <w:uiPriority w:val="0"/>
  </w:style>
  <w:style w:type="paragraph" w:customStyle="1" w:styleId="28">
    <w:name w:val="Char Char Char1 Char"/>
    <w:basedOn w:val="1"/>
    <w:qFormat/>
    <w:uiPriority w:val="0"/>
    <w:pPr>
      <w:widowControl/>
      <w:spacing w:after="160" w:line="240" w:lineRule="exact"/>
      <w:jc w:val="left"/>
    </w:pPr>
    <w:rPr>
      <w:rFonts w:ascii="Verdana" w:hAnsi="Verdana" w:eastAsia="仿宋_GB2312" w:cs="Verdana"/>
      <w:kern w:val="0"/>
      <w:sz w:val="24"/>
      <w:lang w:eastAsia="en-US"/>
    </w:rPr>
  </w:style>
  <w:style w:type="character" w:customStyle="1" w:styleId="29">
    <w:name w:val="NormalCharacter"/>
    <w:link w:val="30"/>
    <w:qFormat/>
    <w:uiPriority w:val="0"/>
    <w:rPr>
      <w:rFonts w:ascii="Times New Roman" w:hAnsi="Times New Roman" w:eastAsia="宋体" w:cs="Times New Roman"/>
      <w:kern w:val="2"/>
      <w:sz w:val="21"/>
      <w:szCs w:val="24"/>
      <w:lang w:val="en-US" w:eastAsia="zh-CN" w:bidi="ar-SA"/>
    </w:rPr>
  </w:style>
  <w:style w:type="paragraph" w:customStyle="1" w:styleId="30">
    <w:name w:val="UserStyle_9"/>
    <w:basedOn w:val="1"/>
    <w:link w:val="29"/>
    <w:qFormat/>
    <w:uiPriority w:val="0"/>
    <w:rPr>
      <w:rFonts w:ascii="Tahoma" w:hAnsi="Tahoma"/>
      <w:sz w:val="24"/>
      <w:szCs w:val="20"/>
    </w:rPr>
  </w:style>
  <w:style w:type="paragraph" w:customStyle="1" w:styleId="31">
    <w:name w:val="Fließtext"/>
    <w:basedOn w:val="1"/>
    <w:qFormat/>
    <w:uiPriority w:val="99"/>
    <w:pPr>
      <w:overflowPunct w:val="0"/>
      <w:autoSpaceDE w:val="0"/>
      <w:autoSpaceDN w:val="0"/>
      <w:adjustRightInd w:val="0"/>
      <w:textAlignment w:val="baseline"/>
    </w:pPr>
    <w:rPr>
      <w:kern w:val="28"/>
    </w:rPr>
  </w:style>
  <w:style w:type="paragraph" w:customStyle="1" w:styleId="32">
    <w:name w:val="新正文"/>
    <w:basedOn w:val="1"/>
    <w:qFormat/>
    <w:uiPriority w:val="0"/>
    <w:pPr>
      <w:spacing w:after="120" w:line="360" w:lineRule="auto"/>
      <w:ind w:firstLine="200" w:firstLineChars="200"/>
    </w:pPr>
    <w:rPr>
      <w:sz w:val="24"/>
    </w:rPr>
  </w:style>
  <w:style w:type="paragraph" w:customStyle="1" w:styleId="33">
    <w:name w:val="null3"/>
    <w:hidden/>
    <w:qFormat/>
    <w:uiPriority w:val="0"/>
    <w:rPr>
      <w:rFonts w:hint="eastAsia" w:asciiTheme="minorHAnsi" w:hAnsiTheme="minorHAnsi" w:eastAsiaTheme="minorEastAsia" w:cstheme="minorBidi"/>
      <w:lang w:val="en-US" w:eastAsia="zh-Hans" w:bidi="ar-SA"/>
    </w:rPr>
  </w:style>
  <w:style w:type="paragraph" w:customStyle="1" w:styleId="34">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35">
    <w:name w:val="默认段落字体 Para Char"/>
    <w:basedOn w:val="1"/>
    <w:qFormat/>
    <w:uiPriority w:val="99"/>
    <w:rPr>
      <w:sz w:val="30"/>
      <w:szCs w:val="30"/>
    </w:rPr>
  </w:style>
  <w:style w:type="paragraph" w:customStyle="1" w:styleId="36">
    <w:name w:val="正文格式"/>
    <w:basedOn w:val="10"/>
    <w:qFormat/>
    <w:uiPriority w:val="0"/>
    <w:pPr>
      <w:tabs>
        <w:tab w:val="left" w:pos="978"/>
        <w:tab w:val="left" w:pos="8100"/>
      </w:tabs>
      <w:spacing w:after="0" w:line="276" w:lineRule="auto"/>
      <w:ind w:firstLine="480"/>
    </w:pPr>
    <w:rPr>
      <w:rFonts w:ascii="宋体" w:hAnsi="宋体"/>
      <w:color w:val="000000"/>
      <w:sz w:val="24"/>
    </w:rPr>
  </w:style>
  <w:style w:type="paragraph" w:customStyle="1" w:styleId="37">
    <w:name w:val="样式3"/>
    <w:basedOn w:val="14"/>
    <w:qFormat/>
    <w:uiPriority w:val="0"/>
    <w:pPr>
      <w:spacing w:line="0" w:lineRule="atLeast"/>
      <w:outlineLvl w:val="0"/>
    </w:pPr>
    <w:rPr>
      <w:sz w:val="28"/>
    </w:rPr>
  </w:style>
  <w:style w:type="paragraph" w:customStyle="1" w:styleId="38">
    <w:name w:val="List Paragraph"/>
    <w:qFormat/>
    <w:uiPriority w:val="99"/>
    <w:pPr>
      <w:widowControl w:val="0"/>
      <w:ind w:firstLine="420" w:firstLineChars="200"/>
      <w:jc w:val="both"/>
    </w:pPr>
    <w:rPr>
      <w:rFonts w:ascii="Times New Roman" w:hAnsi="Times New Roman" w:eastAsia="宋体" w:cs="Times New Roman"/>
      <w:kern w:val="2"/>
      <w:sz w:val="21"/>
      <w:szCs w:val="22"/>
      <w:lang w:val="en-US" w:eastAsia="zh-CN" w:bidi="ar-SA"/>
    </w:rPr>
  </w:style>
  <w:style w:type="character" w:customStyle="1" w:styleId="39">
    <w:name w:val="font51"/>
    <w:qFormat/>
    <w:uiPriority w:val="0"/>
    <w:rPr>
      <w:rFonts w:hint="eastAsia" w:ascii="华文中宋" w:hAnsi="华文中宋" w:eastAsia="华文中宋" w:cs="华文中宋"/>
      <w:color w:val="000000"/>
      <w:sz w:val="32"/>
      <w:szCs w:val="32"/>
      <w:u w:val="none"/>
    </w:rPr>
  </w:style>
  <w:style w:type="character" w:customStyle="1" w:styleId="40">
    <w:name w:val="font21"/>
    <w:qFormat/>
    <w:uiPriority w:val="0"/>
    <w:rPr>
      <w:rFonts w:hint="eastAsia" w:ascii="华文中宋" w:hAnsi="华文中宋" w:eastAsia="华文中宋" w:cs="华文中宋"/>
      <w:color w:val="000000"/>
      <w:sz w:val="32"/>
      <w:szCs w:val="3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91</Pages>
  <Words>33722</Words>
  <Characters>34939</Characters>
  <Lines>341</Lines>
  <Paragraphs>96</Paragraphs>
  <TotalTime>5</TotalTime>
  <ScaleCrop>false</ScaleCrop>
  <LinksUpToDate>false</LinksUpToDate>
  <CharactersWithSpaces>35161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2012-06-06T09:30:00Z</dcterms:created>
  <dc:creator>Administrator</dc:creator>
  <cp:lastModifiedBy>゜ 漠颜</cp:lastModifiedBy>
  <cp:lastPrinted>2024-12-06T08:27:00Z</cp:lastPrinted>
  <dcterms:modified xsi:type="dcterms:W3CDTF">2025-07-11T04:17:00Z</dcterms:modified>
  <dc:title>福建省政府采购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A5AAE01549924CA1BF63CBDC18FACF15_13</vt:lpwstr>
  </property>
  <property fmtid="{D5CDD505-2E9C-101B-9397-08002B2CF9AE}" pid="4" name="KSOTemplateDocerSaveRecord">
    <vt:lpwstr>eyJoZGlkIjoiYzE0Mjc4YTQwOTQ1YTkwZmM4NzE3YmJiN2Q2NDZkNTUiLCJ1c2VySWQiOiIxMDg2NTk1ODQ3In0=</vt:lpwstr>
  </property>
</Properties>
</file>